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29" w:name="version-and-agent-history"/>
    <w:p>
      <w:pPr>
        <w:pStyle w:val="Heading1"/>
      </w:pPr>
      <w:r>
        <w:t xml:space="preserve">VERSION AND AGENT HISTORY</w:t>
      </w:r>
    </w:p>
    <w:p>
      <w:pPr>
        <w:pStyle w:val="FirstParagraph"/>
      </w:pPr>
      <w:r>
        <w:t xml:space="preserve">Version: 3.87</w:t>
      </w:r>
      <w:r>
        <w:t xml:space="preserve"> </w:t>
      </w:r>
      <w:r>
        <w:t xml:space="preserve">Sessions &amp; Modifications:</w:t>
      </w:r>
    </w:p>
    <w:p>
      <w:pPr>
        <w:numPr>
          <w:ilvl w:val="0"/>
          <w:numId w:val="1001"/>
        </w:numPr>
      </w:pPr>
      <w:r>
        <w:t xml:space="preserve">Version: 3.87 | Tool: Claude Code (claude-opus-5) | Session: claude/greg-isenberg-field-notes-a2r544 | Date: 25.07.2026 | Changes: Lockstep version bump 3.86 → 3.87 per the CLAUDE.md Thesis Rule. No content change in this file; the sharpening applies to master’s §10.27 (reconciliation debt; the default-to-internal platform principle).</w:t>
      </w:r>
    </w:p>
    <w:p>
      <w:pPr>
        <w:numPr>
          <w:ilvl w:val="0"/>
          <w:numId w:val="1001"/>
        </w:numPr>
      </w:pPr>
      <w:r>
        <w:t xml:space="preserve">Version: 3.86 | Tool: Claude Code (claude-opus-5) | Session: claude/greg-isenberg-field-notes-a2r544 | Date: 25.07.2026 | Changes: Lockstep version bump 3.85 → 3.86 across all 4 thesis files per the CLAUDE.md Thesis Rule. No content change in this file: the session’s new material (§10.27, the artifact–legitimacy gap and the platform design principles it yields) is engineering-practice and product-design content and belongs to the master’s thesis under the Thesis Content Scope Rule. Its scientific counterpart — the standardisation-route and jurisdiction-architecture analysis — is already at §14.42/§14.43.</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br/>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generic skill count</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tokens consumed — those are operating costs.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28"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16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1320"/>
        <w:gridCol w:w="2904"/>
        <w:gridCol w:w="1320"/>
        <w:gridCol w:w="2376"/>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27"/>
    <w:bookmarkEnd w:id="328"/>
    <w:bookmarkEnd w:id="3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2026-07-25T04:34:05Z</dcterms:created>
  <dcterms:modified xsi:type="dcterms:W3CDTF">2026-07-25T04:34:05Z</dcterms:modified>
</cp:coreProperties>
</file>

<file path=docProps/custom.xml><?xml version="1.0" encoding="utf-8"?>
<Properties xmlns="http://schemas.openxmlformats.org/officeDocument/2006/custom-properties" xmlns:vt="http://schemas.openxmlformats.org/officeDocument/2006/docPropsVTypes"/>
</file>