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34" w:name="version-and-agent-history"/>
    <w:p>
      <w:pPr>
        <w:pStyle w:val="Heading1"/>
      </w:pPr>
      <w:r>
        <w:t xml:space="preserve">VERSION AND AGENT HISTORY</w:t>
      </w:r>
    </w:p>
    <w:p>
      <w:pPr>
        <w:pStyle w:val="FirstParagraph"/>
      </w:pPr>
      <w:r>
        <w:t xml:space="preserve">Version: 3.99</w:t>
      </w:r>
      <w:r>
        <w:t xml:space="preserve"> </w:t>
      </w:r>
      <w:r>
        <w:t xml:space="preserve">Sessions &amp; Modifications:</w:t>
      </w:r>
    </w:p>
    <w:p>
      <w:pPr>
        <w:numPr>
          <w:ilvl w:val="0"/>
          <w:numId w:val="1001"/>
        </w:numPr>
      </w:pPr>
      <w:r>
        <w:t xml:space="preserve">Version: 3.99 | Tool: Claude Code | Session: claude/kya-audit-update | Date: 10.08.2026 | Changes: Added §14.49 (KYA Governance, Autonomy Phasing, and Evidence Drift) and Key Contribution #54. Market-signal/scientific framing per the §1.4 scope rule. Signal: KYA audit on 10.08.2026. Finding 1 identifies the restriction of proactive advisor-phase nudges to a vetted subset (compliance, customer-sat, sitesense) as a necessary governance constraint for enterprise AI adoption, leaving others in silent_pilot. Finding 2 clarifies that performance metrics like latency serve as observability telemetry rather than direct inputs to trust scoring (ATS) to ensure scoring stability. Finding 3 highlights the epistemological separation of implemented system state (69 live registered agents) from conceptual market claims (88 capabilities/roles) as a required anti-drift measure. Companion: V3Thesis §10.29, added in the same lockstep. Lockstep 3.98-&gt;3.99.</w:t>
      </w:r>
    </w:p>
    <w:p>
      <w:pPr>
        <w:numPr>
          <w:ilvl w:val="0"/>
          <w:numId w:val="1001"/>
        </w:numPr>
      </w:pPr>
      <w:r>
        <w:t xml:space="preserve">Version: 3.98 | Tool: Claude Code (Sonnet 5) | Session: claude/arvonluonnin-ajurit-research-hpiipo | Date: 06.08.2026 | Changes: Added §14.48 (The Text-Provenance Extension: Machine Translation as a Second Obligation-Capability Instance) and Key Contribution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CORRECTION to §14.45 (external review, Boardy). The prior text asserted that marginal token cost approaches EUR 0 on owned hardware. That is not literally true and would not survive investor or technical scrutiny: electricity, capacity amortisation, maintenance, model serving and bottlenecks all remain. Every such assertion in Act III, the Finding 2 substrate table and the Finding 5 economics row is replaced with the defensible formulation - the EXTERNAL per-token bill disappears and residual cost becomes bounded and largely fixed, i.e. an unpredictable variable charge is replaced by a predictable dimensioned one, NOT by zero. The canonical customer/investor sentence is stated verbatim in Finding 5 so it can be quoted without drift: DWS IQ 6 replaces unpredictable per-token API exposure with bounded, sovereign compute economics for known industrial workloads; deep harness workflows become commercially viable because concurrency and context depth can be dimensioned below the hardware throughput knee. Finding 2’s measurement spec extended: the depth sweep must report six quantities per operating point - tokens/task, latency, concurrent jobs, GPU memory occupancy, queue time, and EUR per audit-ready output - the last being what converts a systems benchmark into a commercial claim. Until those six exist for DWS hardware the 250k-340k depth argument is labelled an architectural hypothesis, not an investor claim. Lockstep 3.93-&gt;3.94.</w:t>
      </w:r>
    </w:p>
    <w:p>
      <w:pPr>
        <w:numPr>
          <w:ilvl w:val="0"/>
          <w:numId w:val="1001"/>
        </w:numPr>
      </w:pPr>
      <w:r>
        <w:t xml:space="preserve">Version: 3.93 | Tool: Claude Code | Session: claude/enterprise-ai-harness-0anl7s | Date: 30.07.2026 | Changes: Added §14.45 Finding 5 (the DWS application) and extended Key Contribution #50 accordingly. States the two operational profiles that select compute substrates structurally rather than by preference (unbounded-concurrency shallow-context consumer SaaS -&gt; metered APIs; bounded-concurrency deep-context sovereign industrial fleets -&gt; owned silicon, GN-100 / DGX Spark tier, §14.35), and establishes that the fixed-hardware throughput knee is DIMENSIONABLE rather than absent because fleet concurrency is a deployment parameter, not a function of public demand. Two qualifications added to the HIC-supplied argument so it survives examination: (a) metered vendors CAN reprice - provisioned-throughput and reserved-capacity offerings already do - so compute economics alone is not durable and the defensible claim is compute economics PLUS jurisdiction (a capacity contract answers the bill, not where evidence lives or who can compel it, §14.26/§14.31); (b) the knee is avoidable, not nonexistent - dimensioning left of it requires knowing where it is, which is the unrun measurement of Finding 2, so this is a design discipline awaiting its empirical constant. Resolves the positioning question: harness ownership alone remains table stakes (Finding 4), the COUPLING is the moat. Lockstep 3.92-&gt;3.93.</w:t>
      </w:r>
    </w:p>
    <w:p>
      <w:pPr>
        <w:numPr>
          <w:ilvl w:val="0"/>
          <w:numId w:val="1001"/>
        </w:numPr>
      </w:pPr>
      <w:r>
        <w:t xml:space="preserve">Version: 3.92 | Tool: Claude Code | Session: claude/enterprise-ai-harness-0anl7s | Date: 30.07.2026 | Changes: Added §14.45 (The Harness Paywall and the Depth Arbitrage) and Key Contribution #50. Market-signal/scientific framing per the §1.4 scope rule: a thesis-antithesis-synthesis account chaining three verified July 2026 signals - Nadella’s harness/model separation on the MSFT FY26 Q4 call (29.07.2026, quotes CONFIRMED), the Composio 3-harness benchmark (up to 30x token spread at fixed model and task set; VENDOR-RUN, declared), and hybrid-attention long-context local inference (Nemotron-Cascade-2-30B-A3B, 1M context, CONFIRMED; the 250K-depth throughput curve is a single unreproduced operator report). Finding 2 states the boundary condition as a cost-type transformation (variable financial cost -&gt; concurrency/queueing ceiling), derives the sovereign-industrial operating profile from the region of validity, and defines the fixed-hardware knee by two measurable transitions (KV-cache bandwidth vs interactive throughput; memory-bound generation vs batching-induced queueing) - making the depth measurement load-bearing rather than confirmatory. Finding 3 carries the evidential asymmetry across the three acts explicitly. Dialectical framing authored by Google Gemini, adopted on HIC instruction 30.07.2026 and attributed in-section per §14.24. Companions: docs/field-notes/2026-07-30-{nadella-harness-model-swappability-signal,composio-harness-token-efficiency-benchmark,hybrid-attention-long-context-local-inference}.md. Lockstep 3.91-&gt;3.92.</w:t>
      </w:r>
    </w:p>
    <w:p>
      <w:pPr>
        <w:numPr>
          <w:ilvl w:val="0"/>
          <w:numId w:val="1001"/>
        </w:numPr>
      </w:pPr>
      <w:r>
        <w:t xml:space="preserve">Version: 3.91 | Tool: Claude Code | Session: claude/ollama-orchestration-merge-047pj7 | Date: 26.07.2026 | Changes: Added a Mitigation paragraph to §14.44 Finding 3 (the NVIDIA supply-concentration risk): names a non-NVIDIA fallback compute layer runnable at testbed scale (AMD Instinct MI300 via ROCm/vLLM; Intel Gaudi 3 via SynapseAI) — the open base weights make the exit cost demonstrable, converting single-vendor lock-in into a governed, auditable managed dependency (a KYA/model-provenance predicate, §14.24). Records the IJS sovereignty scale (DGX on-prem 100 / NIM EU 55) and the honest caveat that the portable fallback is strongest for the LLM tier while Cosmos’s NVFP4 path is a re-quantise-and-port exercise. Lockstep 3.90→3.91.</w:t>
      </w:r>
    </w:p>
    <w:p>
      <w:pPr>
        <w:numPr>
          <w:ilvl w:val="0"/>
          <w:numId w:val="1001"/>
        </w:numPr>
      </w:pPr>
      <w:r>
        <w:t xml:space="preserve">Version: 3.90 | Tool: Claude Code | Session: claude/ollama-orchestration-merge-047pj7 | Date: 26.07.2026 | Changes: §14.44 specs VERIFIED against primary sources 26.07.2026 (Cosmos 3 Edge 4B + 2B Nemotron reasoner, DGX-Spark-native, launched 15.07.2026 Tokyo, edge tier of the Cosmos 3 family alongside 16B Nano / 64B Super; DeepSeek-V4-Pro 1.6T total / 49B active MoE on NVIDIA NIM). Upgraded the §14.44 caveat from unverified to verified with sources and added the family-tier + physical-AI-scope refinement (Cosmos 3 Edge fits the physical/fleet/Control-Room side, §14.35, not a general compliance-LLM swap). Sources: MarkTechPost / NVIDIA AI / AI Weekly / NVIDIA developer blog / build.nvidia.com. Lockstep 3.89→3.90.</w:t>
      </w:r>
    </w:p>
    <w:p>
      <w:pPr>
        <w:numPr>
          <w:ilvl w:val="0"/>
          <w:numId w:val="1001"/>
        </w:numPr>
      </w:pPr>
      <w:r>
        <w:t xml:space="preserve">Version: 3.89 | Tool: Claude Code | Session: claude/ollama-orchestration-merge-047pj7 | Date: 26.07.2026 | Changes: Added §14.44 (The On-Device World-Model Inflection: NVIDIA Cosmos 3 Edge and the Build→Adopt Reframe of the LWM) and Key Contribution #49. Market-signal / scientific framing per the §1.4 master-vs-PhD scope rule: NVIDIA’s reported Cosmos 3 Edge (open on-device world model, ~4B + ~2B Nemotron reasoner, DGX-Spark-native), the Nemotron family, DeepSeek-V4-Pro on NVIDIA NIM, and G4 Blackwell VMs converge to retire the from-scratch ~55B LWM plan (Appendix-E verification) in favour of adopt-an-open-edge-world-model-and-own-the-loop; defensibility migrates to the sovereign first-person corpus + private evals + KYA/Article-12 governance (composes §14.24/§14.25/§14.26/§14.31/§14.35); sharpens the data-sovereign vs supply-concentrated tension (a single US vendor at compute AND model layers; non-EU-origin open models gated). Specs recorded as EXTERNAL, UNVERIFIED (user-reported NVIDIA announcements, July 2026) — verify against primary source before propagation. Companion: docs/field-notes/2026-07-26-cosmos-3-edge-lwm-build-adopt-inflection.md; DGX eval: docs/pr-cleanup/next-prompts/DGX-cosmos3-edge-lwm-eval-v2.md. Lockstep 3.88→3.89 across all 4 thesis files; V3Thesis files receive a lockstep-only entry. Learn/ HTML regen PENDING.</w:t>
      </w:r>
    </w:p>
    <w:p>
      <w:pPr>
        <w:numPr>
          <w:ilvl w:val="0"/>
          <w:numId w:val="1001"/>
        </w:numPr>
      </w:pPr>
      <w:r>
        <w:t xml:space="preserve">Version: 3.88 | Tool: Claude Code | Session: claude/ollama-orchestration-merge-047pj7 | Date: 26.07.2026 | Changes: Lockstep version bump 3.87 → 3.88 across all 4 thesis files per the CLAUDE.md Thesis Rule. No content change in this PhD file: the v3.88 addition is implementation/hardware evidence (LWM training-hardware reality — the GN-100 is an edge inference/development node not a training cluster; the separate on-prem</w:t>
      </w:r>
      <w:r>
        <w:t xml:space="preserve"> </w:t>
      </w:r>
      <w:r>
        <w:t xml:space="preserve">“</w:t>
      </w:r>
      <w:r>
        <w:t xml:space="preserve">Acer Node</w:t>
      </w:r>
      <w:r>
        <w:t xml:space="preserve">”</w:t>
      </w:r>
      <w:r>
        <w:t xml:space="preserve"> </w:t>
      </w:r>
      <w:r>
        <w:t xml:space="preserve">training is Pending Hardware per the PR #1720 verification; cloud GCP A3 Mega is the full-training route; realistic pipeline = cloud pretrain/fine-tune → NVFP4 → GN-100 inference) and per the §1.4 master-vs-PhD scope rule lives in the master’s thesis V3Thesis Appendix E. Companion: docs/lab-notes/2026-07-26-lwm-training-hardware-reality.md.</w:t>
      </w:r>
    </w:p>
    <w:p>
      <w:pPr>
        <w:numPr>
          <w:ilvl w:val="0"/>
          <w:numId w:val="1001"/>
        </w:numPr>
      </w:pPr>
      <w:r>
        <w:t xml:space="preserve">Version: 3.87 | Tool: Claude Code (claude-opus-5) | Session: claude/greg-isenberg-field-notes-a2r544 | Date: 25.07.2026 | Changes: Lockstep version bump 3.86 → 3.87 per the CLAUDE.md Thesis Rule. No content change in this file; the sharpening applies to master’s §10.27 (reconciliation debt; the default-to-internal platform principle).</w:t>
      </w:r>
    </w:p>
    <w:p>
      <w:pPr>
        <w:numPr>
          <w:ilvl w:val="0"/>
          <w:numId w:val="1001"/>
        </w:numPr>
      </w:pPr>
      <w:r>
        <w:t xml:space="preserve">Version: 3.86 | Tool: Claude Code (claude-opus-5) | Session: claude/greg-isenberg-field-notes-a2r544 | Date: 25.07.2026 | Changes: Lockstep version bump 3.85 → 3.86 across all 4 thesis files per the CLAUDE.md Thesis Rule. No content change in this file: the session’s new material (§10.27, the artifact–legitimacy gap and the platform design principles it yields) is engineering-practice and product-design content and belongs to the master’s thesis under the Thesis Content Scope Rule. Its scientific counterpart — the standardisation-route and jurisdiction-architecture analysis — is already at §14.42/§14.43.</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br/>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a generic skill inventory</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 since superseded by the 4P Capital Classes (§14.26) —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 spend — that is an operating cost.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since superseded by the 4P Capital Classes (§14.26),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 since superseded by the 4P Capital Classes (§14.26) —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33"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covered EU-regulated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678"/>
        <w:gridCol w:w="930"/>
        <w:gridCol w:w="176"/>
        <w:gridCol w:w="6134"/>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bookmarkEnd w:id="327"/>
    <w:bookmarkStart w:id="328" w:name="X26c69d5430abf6bdde76cee4df4afd35edf4374"/>
    <w:p>
      <w:pPr>
        <w:pStyle w:val="Heading3"/>
      </w:pPr>
      <w:r>
        <w:t xml:space="preserve">14.44 The On-Device World-Model Inflection: NVIDIA Cosmos 3 Edge and the Build→Adopt Reframe of the Lifetime World Model</w:t>
      </w:r>
    </w:p>
    <w:p>
      <w:pPr>
        <w:pStyle w:val="FirstParagraph"/>
      </w:pPr>
      <w:r>
        <w:rPr>
          <w:bCs/>
          <w:b/>
        </w:rPr>
        <w:t xml:space="preserve">Signal (external, user-reported NVIDIA developer announcements, July 2026 — specifications VERIFIED against primary sources on 2026-07-26 (sources in the companion field note); Cosmos 3 Edge is the</w:t>
      </w:r>
      <w:r>
        <w:rPr>
          <w:bCs/>
          <w:b/>
        </w:rPr>
        <w:t xml:space="preserve"> </w:t>
      </w:r>
      <w:r>
        <w:t xml:space="preserve">edge tier** of the Cosmos 3 family (16B Nano / 64B Super, 31 May 2026) and a</w:t>
      </w:r>
      <w:r>
        <w:t xml:space="preserve"> </w:t>
      </w:r>
      <w:r>
        <w:rPr>
          <w:bCs/>
          <w:b/>
        </w:rPr>
        <w:t xml:space="preserve">physical-AI</w:t>
      </w:r>
      <w:r>
        <w:t xml:space="preserve"> </w:t>
      </w:r>
      <w:r>
        <w:t xml:space="preserve">world model (robot perception→action, 15 Hz), fitting the DWS physical/fleet/Control-Room side (§14.35)).** NVIDIA introduced</w:t>
      </w:r>
      <w:r>
        <w:t xml:space="preserve"> </w:t>
      </w:r>
      <w:r>
        <w:rPr>
          <w:bCs/>
          <w:b/>
        </w:rPr>
        <w:t xml:space="preserve">Cosmos 3 Edge</w:t>
      </w:r>
      <w:r>
        <w:t xml:space="preserve">, an open frontier</w:t>
      </w:r>
      <w:r>
        <w:t xml:space="preserve"> </w:t>
      </w:r>
      <w:r>
        <w:rPr>
          <w:iCs/>
          <w:i/>
        </w:rPr>
        <w:t xml:space="preserve">world model</w:t>
      </w:r>
      <w:r>
        <w:t xml:space="preserve"> </w:t>
      </w:r>
      <w:r>
        <w:t xml:space="preserve">built to run on-device: reportedly ~4B parameters plus a ~2B Nemotron-based reasoner, targeting robots (learning and acting), autonomous vehicles (scene understanding and intent prediction) and vision agents reasoning across live video, and stated to run on</w:t>
      </w:r>
      <w:r>
        <w:t xml:space="preserve"> </w:t>
      </w:r>
      <w:r>
        <w:rPr>
          <w:bCs/>
          <w:b/>
        </w:rPr>
        <w:t xml:space="preserve">DGX Spark</w:t>
      </w:r>
      <w:r>
        <w:t xml:space="preserve"> </w:t>
      </w:r>
      <w:r>
        <w:t xml:space="preserve">and NVIDIA Jetson. In the same window: the</w:t>
      </w:r>
      <w:r>
        <w:t xml:space="preserve"> </w:t>
      </w:r>
      <w:r>
        <w:rPr>
          <w:bCs/>
          <w:b/>
        </w:rPr>
        <w:t xml:space="preserve">Nemotron</w:t>
      </w:r>
      <w:r>
        <w:t xml:space="preserve"> </w:t>
      </w:r>
      <w:r>
        <w:t xml:space="preserve">open-model family (the reasoner’s base);</w:t>
      </w:r>
      <w:r>
        <w:t xml:space="preserve"> </w:t>
      </w:r>
      <w:r>
        <w:rPr>
          <w:bCs/>
          <w:b/>
        </w:rPr>
        <w:t xml:space="preserve">DeepSeek-V4-Pro</w:t>
      </w:r>
      <w:r>
        <w:t xml:space="preserve"> </w:t>
      </w:r>
      <w:r>
        <w:t xml:space="preserve">(reported ~1.6T parameters) served free on Blackwell via the</w:t>
      </w:r>
      <w:r>
        <w:t xml:space="preserve"> </w:t>
      </w:r>
      <w:r>
        <w:rPr>
          <w:bCs/>
          <w:b/>
        </w:rPr>
        <w:t xml:space="preserve">NVIDIA NIM API</w:t>
      </w:r>
      <w:r>
        <w:t xml:space="preserve"> </w:t>
      </w:r>
      <w:r>
        <w:t xml:space="preserve">(build.nvidia.com); and Google Cloud</w:t>
      </w:r>
      <w:r>
        <w:t xml:space="preserve"> </w:t>
      </w:r>
      <w:r>
        <w:rPr>
          <w:bCs/>
          <w:b/>
        </w:rPr>
        <w:t xml:space="preserve">G4 VMs</w:t>
      </w:r>
      <w:r>
        <w:t xml:space="preserve"> </w:t>
      </w:r>
      <w:r>
        <w:t xml:space="preserve">with RTX PRO 6000 Blackwell GPUs as a rentable training surface.</w:t>
      </w:r>
    </w:p>
    <w:p>
      <w:pPr>
        <w:pStyle w:val="BodyText"/>
      </w:pPr>
      <w:r>
        <w:rPr>
          <w:bCs/>
          <w:b/>
        </w:rPr>
        <w:t xml:space="preserve">Finding 1 — this is the adopt-target the Appendix-E / §14.35 LWM plan was missing.</w:t>
      </w:r>
      <w:r>
        <w:t xml:space="preserve"> </w:t>
      </w:r>
      <w:r>
        <w:t xml:space="preserve">The master’s-thesis Appendix-E verification established that the ~55B LWM cannot be pretrained on the GN-100 (128 GB unified is an inference budget, not a training one) and that on-prem full training remained</w:t>
      </w:r>
      <w:r>
        <w:t xml:space="preserve"> </w:t>
      </w:r>
      <w:r>
        <w:rPr>
          <w:iCs/>
          <w:i/>
        </w:rPr>
        <w:t xml:space="preserve">Pending Hardware</w:t>
      </w:r>
      <w:r>
        <w:t xml:space="preserve">. Cosmos 3 Edge inverts the build-vs-adopt calculus: a ~6B open world model purpose-built for the exact hardware DWS runs removes the need to pretrain a sovereign world model from scratch. The Lifetime World Model is thereby reframed from</w:t>
      </w:r>
      <w:r>
        <w:t xml:space="preserve"> </w:t>
      </w:r>
      <w:r>
        <w:rPr>
          <w:iCs/>
          <w:i/>
        </w:rPr>
        <w:t xml:space="preserve">train a 55B</w:t>
      </w:r>
      <w:r>
        <w:t xml:space="preserve"> </w:t>
      </w:r>
      <w:r>
        <w:t xml:space="preserve">to</w:t>
      </w:r>
      <w:r>
        <w:t xml:space="preserve"> </w:t>
      </w:r>
      <w:r>
        <w:rPr>
          <w:bCs/>
          <w:b/>
        </w:rPr>
        <w:t xml:space="preserve">adopt an open edge world model and own the loop on top of it.</w:t>
      </w:r>
    </w:p>
    <w:p>
      <w:pPr>
        <w:pStyle w:val="BodyText"/>
      </w:pPr>
      <w:r>
        <w:rPr>
          <w:bCs/>
          <w:b/>
        </w:rPr>
        <w:t xml:space="preserve">Finding 2 — the moat migrates to the owned loop (composes with §14.25, §14.26).</w:t>
      </w:r>
      <w:r>
        <w:t xml:space="preserve"> </w:t>
      </w:r>
      <w:r>
        <w:t xml:space="preserve">With an open base commoditised, the defensible asset is not the base but the DWS-specific layer: adaptation on a sovereign, consent-governed first-person operational corpus (§14.35), private evals, an RL environment, KYA governance (ASB/EAB/CSB/SIB) and Article-12 evidence. Perception Capital accrues to the operator of the loop, not the publisher of the weights.</w:t>
      </w:r>
    </w:p>
    <w:p>
      <w:pPr>
        <w:pStyle w:val="BodyText"/>
      </w:pPr>
      <w:r>
        <w:rPr>
          <w:bCs/>
          <w:b/>
        </w:rPr>
        <w:t xml:space="preserve">Finding 3 — the sovereignty-of-supply tension sharpens (composes with §14.31, §14.23).</w:t>
      </w:r>
      <w:r>
        <w:t xml:space="preserve"> </w:t>
      </w:r>
      <w:r>
        <w:t xml:space="preserve">Adopting Cosmos/Nemotron preserves</w:t>
      </w:r>
      <w:r>
        <w:t xml:space="preserve"> </w:t>
      </w:r>
      <w:r>
        <w:rPr>
          <w:iCs/>
          <w:i/>
        </w:rPr>
        <w:t xml:space="preserve">data</w:t>
      </w:r>
      <w:r>
        <w:t xml:space="preserve"> </w:t>
      </w:r>
      <w:r>
        <w:t xml:space="preserve">sovereignty (open weights, on-prem, EU-resident) while concentrating</w:t>
      </w:r>
      <w:r>
        <w:t xml:space="preserve"> </w:t>
      </w:r>
      <w:r>
        <w:rPr>
          <w:iCs/>
          <w:i/>
        </w:rPr>
        <w:t xml:space="preserve">supply</w:t>
      </w:r>
      <w:r>
        <w:t xml:space="preserve"> </w:t>
      </w:r>
      <w:r>
        <w:t xml:space="preserve">sovereignty on a single US vendor at both the compute AND the model layer — the exposure §14.31 named at the compute end, now extended to the model end. DeepSeek-V4-Pro via NIM adds a model-origin flag (non-EU-origin weights) a sovereign deployment must gate: usable for non-sensitive R&amp;D and benchmarking, excluded from the sovereign customer-data core. This does not defeat the operating model; it names the boundary the model-provenance predicate (§14.24) must attest.</w:t>
      </w:r>
    </w:p>
    <w:p>
      <w:pPr>
        <w:pStyle w:val="BodyText"/>
      </w:pPr>
      <w:r>
        <w:rPr>
          <w:bCs/>
          <w:b/>
        </w:rPr>
        <w:t xml:space="preserve">Mitigation — managed dependency, not lock-in.</w:t>
      </w:r>
      <w:r>
        <w:t xml:space="preserve"> </w:t>
      </w:r>
      <w:r>
        <w:t xml:space="preserve">The concentration is bounded rather than absolute because the base weights are</w:t>
      </w:r>
      <w:r>
        <w:t xml:space="preserve"> </w:t>
      </w:r>
      <w:r>
        <w:rPr>
          <w:bCs/>
          <w:b/>
        </w:rPr>
        <w:t xml:space="preserve">open</w:t>
      </w:r>
      <w:r>
        <w:t xml:space="preserve">. On the IJS sovereignty scale (DGX on-prem = 100, NIM EU = 55 — both inside the NVIDIA stack), the exit cost is</w:t>
      </w:r>
      <w:r>
        <w:t xml:space="preserve"> </w:t>
      </w:r>
      <w:r>
        <w:rPr>
          <w:iCs/>
          <w:i/>
        </w:rPr>
        <w:t xml:space="preserve">demonstrated</w:t>
      </w:r>
      <w:r>
        <w:t xml:space="preserve">, not merely asserted, by keeping at least one open model and one workload runnable on a</w:t>
      </w:r>
      <w:r>
        <w:t xml:space="preserve"> </w:t>
      </w:r>
      <w:r>
        <w:rPr>
          <w:bCs/>
          <w:b/>
        </w:rPr>
        <w:t xml:space="preserve">non-NVIDIA accelerator at testbed scale</w:t>
      </w:r>
      <w:r>
        <w:t xml:space="preserve"> </w:t>
      </w:r>
      <w:r>
        <w:t xml:space="preserve">(AMD Instinct MI300 via ROCm/vLLM, or Intel Gaudi 3 via SynapseAI). The generic worker tier (qwen2.5 via Ollama/vLLM) is already fully portable; the honest caveat is that Cosmos 3 Edge’s NVFP4/TensorRT path is NVIDIA-optimised, so the portable fallback is strongest for the LLM/reasoning tier and is a re-quantise-and-port exercise for the physical world-model tier. Naming both the concentration and a maintained, exercised exit converts a single-vendor lock-in into a</w:t>
      </w:r>
      <w:r>
        <w:t xml:space="preserve"> </w:t>
      </w:r>
      <w:r>
        <w:rPr>
          <w:bCs/>
          <w:b/>
        </w:rPr>
        <w:t xml:space="preserve">governed managed dependency</w:t>
      </w:r>
      <w:r>
        <w:t xml:space="preserve"> </w:t>
      </w:r>
      <w:r>
        <w:t xml:space="preserve">— itself a KYA / model-provenance predicate (§14.24) an investor or customer can audit.</w:t>
      </w:r>
    </w:p>
    <w:p>
      <w:pPr>
        <w:pStyle w:val="BodyText"/>
      </w:pPr>
      <w:r>
        <w:rPr>
          <w:bCs/>
          <w:b/>
        </w:rPr>
        <w:t xml:space="preserve">Research contribution.</w:t>
      </w:r>
      <w:r>
        <w:t xml:space="preserve"> </w:t>
      </w:r>
      <w:r>
        <w:t xml:space="preserve">Names the on-device open world model as the event that converts the Lifetime World Model from a training programme into an adoption-plus-governance programme, and identifies the resulting migration of defensibility from base weights to the owned learning loop — with a sharpened data-versus-supply sovereignty decomposition that the four-track KYA suite and the model-provenance predicate must carry.</w:t>
      </w:r>
    </w:p>
    <w:p>
      <w:pPr>
        <w:pStyle w:val="BodyText"/>
      </w:pPr>
      <w:r>
        <w:rPr>
          <w:bCs/>
          <w:b/>
        </w:rPr>
        <w:t xml:space="preserve">Key Contribution #49.</w:t>
      </w:r>
      <w:r>
        <w:t xml:space="preserve"> </w:t>
      </w:r>
      <w:r>
        <w:t xml:space="preserve">The Build→Adopt inflection for sovereign world models: an open, edge-native world model (NVIDIA Cosmos 3 Edge, ~4B + ~2B Nemotron reasoner, DGX-Spark-native) retires the from-scratch 55B LWM plan in favour of adopt-plus-own-the-loop; defensibility migrates to the sovereign first-person corpus, private evals and KYA/Article-12 governance; the data-sovereign / supply-concentrated tension (NVIDIA at compute and model layers; non-EU-origin open models gated to non-sensitive use) is named as the boundary the model-provenance attestation must resolve.</w:t>
      </w:r>
    </w:p>
    <w:bookmarkEnd w:id="328"/>
    <w:bookmarkStart w:id="329" w:name="X1c34aad4de7db29e3c4a408819cea81bc20cdb7"/>
    <w:p>
      <w:pPr>
        <w:pStyle w:val="Heading3"/>
      </w:pPr>
      <w:r>
        <w:t xml:space="preserve">14.45 The Harness Paywall and the Depth Arbitrage: A Thesis–Antithesis–Synthesis Account of Why Agentic Software Migrates to Hybrid Compute</w:t>
      </w:r>
    </w:p>
    <w:p>
      <w:pPr>
        <w:pStyle w:val="FirstParagraph"/>
      </w:pPr>
      <w:r>
        <w:rPr>
          <w:bCs/>
          <w:b/>
        </w:rPr>
        <w:t xml:space="preserve">Provenance of the argument structure (stated, per §14.24 attribution discipline).</w:t>
      </w:r>
      <w:r>
        <w:t xml:space="preserve"> </w:t>
      </w:r>
      <w:r>
        <w:t xml:space="preserve">The three-act dialectical framing used in this section was authored by</w:t>
      </w:r>
      <w:r>
        <w:t xml:space="preserve"> </w:t>
      </w:r>
      <w:r>
        <w:rPr>
          <w:bCs/>
          <w:b/>
        </w:rPr>
        <w:t xml:space="preserve">Google Gemini</w:t>
      </w:r>
      <w:r>
        <w:t xml:space="preserve">, supplied to the HIC and adopted here on the HIC’s instruction (30.07.2026). The underlying signals, their verification, and the boundary condition in Finding 4 are DWS’s own. The framing is attributed rather than absorbed because an argument structure adopted from an external model is itself a provenance claim — the same standard this thesis applies to weights and data.</w:t>
      </w:r>
    </w:p>
    <w:p>
      <w:pPr>
        <w:pStyle w:val="BodyText"/>
      </w:pPr>
      <w:r>
        <w:rPr>
          <w:bCs/>
          <w:b/>
        </w:rPr>
        <w:t xml:space="preserve">Signal (three events, 08–30.07.2026; per-claim verification in the companion field notes).</w:t>
      </w:r>
      <w:r>
        <w:t xml:space="preserve"> </w:t>
      </w:r>
      <w:r>
        <w:t xml:space="preserve">Within twenty-two days, three independent parties stated three parts of one economic argument. Individually each is unremarkable. Chained, they describe a migration.</w:t>
      </w:r>
    </w:p>
    <w:p>
      <w:pPr>
        <w:pStyle w:val="BodyText"/>
      </w:pPr>
      <w:r>
        <w:rPr>
          <w:bCs/>
          <w:b/>
        </w:rPr>
        <w:t xml:space="preserve">Act I — Thesis: the architectural shift (Nadella, Microsoft FY26 Q4 earnings call, 29.07.2026; quotes CONFIRMED).</w:t>
      </w:r>
      <w:r>
        <w:t xml:space="preserve"> </w:t>
      </w:r>
      <w:r>
        <w:t xml:space="preserve">Answering an analyst question on enterprise adoption of open models, Microsoft’s CEO described an architecture rather than defending a lab relationship:</w:t>
      </w:r>
      <w:r>
        <w:t xml:space="preserve"> </w:t>
      </w:r>
      <w:r>
        <w:rPr>
          <w:iCs/>
          <w:i/>
        </w:rPr>
        <w:t xml:space="preserve">“</w:t>
      </w:r>
      <w:r>
        <w:rPr>
          <w:iCs/>
          <w:i/>
        </w:rPr>
        <w:t xml:space="preserve">You’ve got to keep your harness separate from the model. The harness will ensure that your memory, your context, all of that is external. That means any given model at any given time is swappable.</w:t>
      </w:r>
      <w:r>
        <w:rPr>
          <w:iCs/>
          <w:i/>
        </w:rPr>
        <w:t xml:space="preserve">”</w:t>
      </w:r>
      <w:r>
        <w:t xml:space="preserve"> </w:t>
      </w:r>
      <w:r>
        <w:t xml:space="preserve">The claim generalises the §14.44 finding from world models to software at large:</w:t>
      </w:r>
      <w:r>
        <w:t xml:space="preserve"> </w:t>
      </w:r>
      <w:r>
        <w:rPr>
          <w:bCs/>
          <w:b/>
        </w:rPr>
        <w:t xml:space="preserve">models are ephemeral, the harness is durable.</w:t>
      </w:r>
      <w:r>
        <w:t xml:space="preserve"> </w:t>
      </w:r>
      <w:r>
        <w:t xml:space="preserve">Value accrues not to weights replaced on a six-month cadence but to the scaffolding around them — context routing, tool invocation, memory management, state loops. The implication is directive: build for the harness. Precursor, 08.07.2026: J. Huang, in conversation with LangChain’s H. Chase, framed most companies as being built on harnesses (corroborated; wording as reported).</w:t>
      </w:r>
    </w:p>
    <w:p>
      <w:pPr>
        <w:pStyle w:val="BodyText"/>
      </w:pPr>
      <w:r>
        <w:rPr>
          <w:bCs/>
          <w:b/>
        </w:rPr>
        <w:t xml:space="preserve">Act II — Antithesis: the economic friction (Composio 3-harness benchmark, 29–30.07.2026; vendor-run — see Finding 3).</w:t>
      </w:r>
      <w:r>
        <w:t xml:space="preserve"> </w:t>
      </w:r>
      <w:r>
        <w:t xml:space="preserve">The same durable scaffolding is a token monster. Holding the model and the task set fixed (Kimi K3, 28 identical tasks) and varying only the harness produced a token spread of up to</w:t>
      </w:r>
      <w:r>
        <w:t xml:space="preserve"> </w:t>
      </w:r>
      <w:r>
        <w:rPr>
          <w:bCs/>
          <w:b/>
        </w:rPr>
        <w:t xml:space="preserve">30×</w:t>
      </w:r>
      <w:r>
        <w:t xml:space="preserve"> </w:t>
      </w:r>
      <w:r>
        <w:t xml:space="preserve">at comparable success rates — median 61k, 67k and</w:t>
      </w:r>
      <w:r>
        <w:t xml:space="preserve"> </w:t>
      </w:r>
      <w:r>
        <w:rPr>
          <w:bCs/>
          <w:b/>
        </w:rPr>
        <w:t xml:space="preserve">340k</w:t>
      </w:r>
      <w:r>
        <w:t xml:space="preserve"> </w:t>
      </w:r>
      <w:r>
        <w:t xml:space="preserve">tokens per task across three harnesses, or roughly</w:t>
      </w:r>
      <w:r>
        <w:t xml:space="preserve"> </w:t>
      </w:r>
      <w:r>
        <w:rPr>
          <w:bCs/>
          <w:b/>
        </w:rPr>
        <w:t xml:space="preserve">$0.22, $0.28 and $2.00</w:t>
      </w:r>
      <w:r>
        <w:t xml:space="preserve"> </w:t>
      </w:r>
      <w:r>
        <w:t xml:space="preserve">per task at a $3/M input rate. The conflict with Act I is direct and unresolved by either party:</w:t>
      </w:r>
      <w:r>
        <w:t xml:space="preserve"> </w:t>
      </w:r>
      <w:r>
        <w:rPr>
          <w:bCs/>
          <w:b/>
        </w:rPr>
        <w:t xml:space="preserve">if the harness is where software value lives, and the harness consumes 340k tokens per task, then under metered API pricing the durable layer is financially unviable at scale.</w:t>
      </w:r>
      <w:r>
        <w:t xml:space="preserve"> </w:t>
      </w:r>
      <w:r>
        <w:t xml:space="preserve">The architectural thesis runs into a paywall.</w:t>
      </w:r>
    </w:p>
    <w:p>
      <w:pPr>
        <w:pStyle w:val="BodyText"/>
      </w:pPr>
      <w:r>
        <w:rPr>
          <w:bCs/>
          <w:b/>
        </w:rPr>
        <w:t xml:space="preserve">Act III — Synthesis: the depth arbitrage.</w:t>
      </w:r>
      <w:r>
        <w:t xml:space="preserve"> </w:t>
      </w:r>
      <w:r>
        <w:t xml:space="preserve">The resolution is not a cheaper harness but a change in the cost</w:t>
      </w:r>
      <w:r>
        <w:t xml:space="preserve"> </w:t>
      </w:r>
      <w:r>
        <w:rPr>
          <w:iCs/>
          <w:i/>
        </w:rPr>
        <w:t xml:space="preserve">substrate</w:t>
      </w:r>
      <w:r>
        <w:t xml:space="preserve">. On a metered API, 340k tokens are an exponential</w:t>
      </w:r>
      <w:r>
        <w:t xml:space="preserve"> </w:t>
      </w:r>
      <w:r>
        <w:rPr>
          <w:bCs/>
          <w:b/>
        </w:rPr>
        <w:t xml:space="preserve">variable cost</w:t>
      </w:r>
      <w:r>
        <w:t xml:space="preserve"> </w:t>
      </w:r>
      <w:r>
        <w:t xml:space="preserve">— a bill that scales with exactly the behaviour Act I says to maximise. On fixed hardware running an architecture that sustains throughput at depth, the</w:t>
      </w:r>
      <w:r>
        <w:t xml:space="preserve"> </w:t>
      </w:r>
      <w:r>
        <w:rPr>
          <w:bCs/>
          <w:b/>
        </w:rPr>
        <w:t xml:space="preserve">external per-token bill disappears</w:t>
      </w:r>
      <w:r>
        <w:t xml:space="preserve"> </w:t>
      </w:r>
      <w:r>
        <w:t xml:space="preserve">and what remains is a bounded, largely fixed cost base — electricity, capacity amortisation, maintenance, model serving. The claim is emphatically</w:t>
      </w:r>
      <w:r>
        <w:t xml:space="preserve"> </w:t>
      </w:r>
      <w:r>
        <w:rPr>
          <w:iCs/>
          <w:i/>
        </w:rPr>
        <w:t xml:space="preserve">not</w:t>
      </w:r>
      <w:r>
        <w:t xml:space="preserve"> </w:t>
      </w:r>
      <w:r>
        <w:t xml:space="preserve">that marginal cost is zero: it is that an unpredictable variable charge is replaced by a</w:t>
      </w:r>
      <w:r>
        <w:t xml:space="preserve"> </w:t>
      </w:r>
      <w:r>
        <w:rPr>
          <w:bCs/>
          <w:b/>
        </w:rPr>
        <w:t xml:space="preserve">predictable, dimensioned one</w:t>
      </w:r>
      <w:r>
        <w:t xml:space="preserve">. The same 340k tokens therefore cease to be an</w:t>
      </w:r>
      <w:r>
        <w:t xml:space="preserve"> </w:t>
      </w:r>
      <w:r>
        <w:rPr>
          <w:iCs/>
          <w:i/>
        </w:rPr>
        <w:t xml:space="preserve">elastic financial exposure</w:t>
      </w:r>
      <w:r>
        <w:t xml:space="preserve"> </w:t>
      </w:r>
      <w:r>
        <w:t xml:space="preserve">and become an</w:t>
      </w:r>
      <w:r>
        <w:t xml:space="preserve"> </w:t>
      </w:r>
      <w:r>
        <w:rPr>
          <w:iCs/>
          <w:i/>
        </w:rPr>
        <w:t xml:space="preserve">allocation of execution time</w:t>
      </w:r>
      <w:r>
        <w:t xml:space="preserve"> </w:t>
      </w:r>
      <w:r>
        <w:t xml:space="preserve">against capacity already provisioned. Same quantity, opposite sign. The enabling conditions are architectural and are now met by open models: sub-quadratic attention (hybrid Mamba-2 / attention designs such as Nemotron-Cascade-2-30B-A3B — 30B MoE / ~3B active, 1M context, CONFIRMED) makes a large window economically usable, since a nominal window under N² attention diverges from the working window; and an inference engine that holds throughput as context accumulates converts the window from a specification into a capability.</w:t>
      </w:r>
    </w:p>
    <w:p>
      <w:pPr>
        <w:pStyle w:val="BodyText"/>
      </w:pPr>
      <w:r>
        <w:rPr>
          <w:bCs/>
          <w:b/>
        </w:rPr>
        <w:t xml:space="preserve">Finding 1 — the three acts are one argument and lose their force when separated.</w:t>
      </w:r>
      <w:r>
        <w:t xml:space="preserve"> </w:t>
      </w:r>
      <w:r>
        <w:t xml:space="preserve">Act I alone reads as enterprise-software strategy. Act II alone reads as a warning about bloat and API bill shock. Act III alone reads as a technical result about local inference throughput. Chained, they constitute a single economic thesis with a directional conclusion:</w:t>
      </w:r>
      <w:r>
        <w:t xml:space="preserve"> </w:t>
      </w:r>
      <w:r>
        <w:rPr>
          <w:bCs/>
          <w:b/>
        </w:rPr>
        <w:t xml:space="preserve">the harness is the durable layer (I), its token intensity is disqualifying under metered pricing (II), and the resolution is a migration toward hybrid and sovereign compute (III).</w:t>
      </w:r>
      <w:r>
        <w:t xml:space="preserve"> </w:t>
      </w:r>
      <w:r>
        <w:t xml:space="preserve">This is a claim about industry structure, not about a product.</w:t>
      </w:r>
    </w:p>
    <w:p>
      <w:pPr>
        <w:pStyle w:val="BodyText"/>
      </w:pPr>
      <w:r>
        <w:rPr>
          <w:bCs/>
          <w:b/>
        </w:rPr>
        <w:t xml:space="preserve">Finding 2 — the arbitrage is a cost-type transformation with a boundary condition, not a universal law.</w:t>
      </w:r>
      <w:r>
        <w:t xml:space="preserve"> </w:t>
      </w:r>
      <w:r>
        <w:t xml:space="preserve">The synthesis does not abolish cost; it changes the</w:t>
      </w:r>
      <w:r>
        <w:t xml:space="preserve"> </w:t>
      </w:r>
      <w:r>
        <w:rPr>
          <w:iCs/>
          <w:i/>
        </w:rPr>
        <w:t xml:space="preserve">kind</w:t>
      </w:r>
      <w:r>
        <w:t xml:space="preserve"> </w:t>
      </w:r>
      <w:r>
        <w:t xml:space="preserve">of cost, and the honest formulation names the physics rather than eliding it. Hardware has finite memory bandwidth and finite compute units, so</w:t>
      </w:r>
      <w:r>
        <w:t xml:space="preserve"> </w:t>
      </w:r>
      <w:r>
        <w:t xml:space="preserve">“</w:t>
      </w:r>
      <w:r>
        <w:t xml:space="preserve">hybrid attention makes depth free</w:t>
      </w:r>
      <w:r>
        <w:t xml:space="preserve">”</w:t>
      </w:r>
      <w:r>
        <w:t xml:space="preserve"> </w:t>
      </w:r>
      <w:r>
        <w:t xml:space="preserve">is false as stated. What is true is a transformation:</w:t>
      </w:r>
    </w:p>
    <w:tbl>
      <w:tblPr>
        <w:tblStyle w:val="Table"/>
        <w:tblW w:type="pct" w:w="5000"/>
        <w:tblLook w:firstRow="1" w:lastRow="0" w:firstColumn="0" w:lastColumn="0" w:noHBand="0" w:noVBand="0" w:val="0020"/>
        <w:jc w:val="start"/>
      </w:tblPr>
      <w:tblGrid>
        <w:gridCol w:w="783"/>
        <w:gridCol w:w="3973"/>
        <w:gridCol w:w="973"/>
        <w:gridCol w:w="2189"/>
      </w:tblGrid>
      <w:tr>
        <w:trPr>
          <w:tblHeader w:val="true"/>
        </w:trPr>
        <w:tc>
          <w:tcPr/>
          <w:p>
            <w:pPr>
              <w:pStyle w:val="Compact"/>
              <w:jc w:val="left"/>
            </w:pPr>
            <w:r>
              <w:t xml:space="preserve">Substrate</w:t>
            </w:r>
          </w:p>
        </w:tc>
        <w:tc>
          <w:tcPr/>
          <w:p>
            <w:pPr>
              <w:pStyle w:val="Compact"/>
              <w:jc w:val="left"/>
            </w:pPr>
            <w:r>
              <w:t xml:space="preserve">Financial behaviour</w:t>
            </w:r>
          </w:p>
        </w:tc>
        <w:tc>
          <w:tcPr/>
          <w:p>
            <w:pPr>
              <w:pStyle w:val="Compact"/>
              <w:jc w:val="left"/>
            </w:pPr>
            <w:r>
              <w:t xml:space="preserve">Concurrency behaviour</w:t>
            </w:r>
          </w:p>
        </w:tc>
        <w:tc>
          <w:tcPr/>
          <w:p>
            <w:pPr>
              <w:pStyle w:val="Compact"/>
              <w:jc w:val="left"/>
            </w:pPr>
            <w:r>
              <w:t xml:space="preserve">The trade</w:t>
            </w:r>
          </w:p>
        </w:tc>
      </w:tr>
      <w:tr>
        <w:tc>
          <w:tcPr/>
          <w:p>
            <w:pPr>
              <w:pStyle w:val="Compact"/>
              <w:jc w:val="left"/>
            </w:pPr>
            <w:r>
              <w:rPr>
                <w:bCs/>
                <w:b/>
              </w:rPr>
              <w:t xml:space="preserve">Metered cloud API</w:t>
            </w:r>
          </w:p>
        </w:tc>
        <w:tc>
          <w:tcPr/>
          <w:p>
            <w:pPr>
              <w:pStyle w:val="Compact"/>
              <w:jc w:val="left"/>
            </w:pPr>
            <w:r>
              <w:t xml:space="preserve">Linear financial elasticity — cost scales with tokens</w:t>
            </w:r>
          </w:p>
        </w:tc>
        <w:tc>
          <w:tcPr/>
          <w:p>
            <w:pPr>
              <w:pStyle w:val="Compact"/>
              <w:jc w:val="left"/>
            </w:pPr>
            <w:r>
              <w:t xml:space="preserve">Near-infinite horizontal concurrency</w:t>
            </w:r>
          </w:p>
        </w:tc>
        <w:tc>
          <w:tcPr/>
          <w:p>
            <w:pPr>
              <w:pStyle w:val="Compact"/>
              <w:jc w:val="left"/>
            </w:pPr>
            <w:r>
              <w:t xml:space="preserve">Capital traded for capacity</w:t>
            </w:r>
          </w:p>
        </w:tc>
      </w:tr>
      <w:tr>
        <w:tc>
          <w:tcPr/>
          <w:p>
            <w:pPr>
              <w:pStyle w:val="Compact"/>
              <w:jc w:val="left"/>
            </w:pPr>
            <w:r>
              <w:rPr>
                <w:bCs/>
                <w:b/>
              </w:rPr>
              <w:t xml:space="preserve">Sovereign / hybrid engine</w:t>
            </w:r>
          </w:p>
        </w:tc>
        <w:tc>
          <w:tcPr/>
          <w:p>
            <w:pPr>
              <w:pStyle w:val="Compact"/>
              <w:jc w:val="left"/>
            </w:pPr>
            <w:r>
              <w:t xml:space="preserve">No external per-token billing; residual cost is bounded and largely fixed (power, amortisation, maintenance, model serving) — predictable, not zero</w:t>
            </w:r>
          </w:p>
        </w:tc>
        <w:tc>
          <w:tcPr/>
          <w:p>
            <w:pPr>
              <w:pStyle w:val="Compact"/>
              <w:jc w:val="left"/>
            </w:pPr>
            <w:r>
              <w:t xml:space="preserve">Strict concurrency limits</w:t>
            </w:r>
          </w:p>
        </w:tc>
        <w:tc>
          <w:tcPr/>
          <w:p>
            <w:pPr>
              <w:pStyle w:val="Compact"/>
              <w:jc w:val="left"/>
            </w:pPr>
            <w:r>
              <w:t xml:space="preserve">Peak horizontal scale traded for predictable, dimensioned execution at high depth</w:t>
            </w:r>
          </w:p>
        </w:tc>
      </w:tr>
    </w:tbl>
    <w:p>
      <w:pPr>
        <w:pStyle w:val="BodyText"/>
      </w:pPr>
      <w:r>
        <w:t xml:space="preserve">Amortised latency is therefore free only where slack exists. Under sufficient concurrency the amortisation becomes a</w:t>
      </w:r>
      <w:r>
        <w:t xml:space="preserve"> </w:t>
      </w:r>
      <w:r>
        <w:rPr>
          <w:bCs/>
          <w:b/>
        </w:rPr>
        <w:t xml:space="preserve">queueing constraint</w:t>
      </w:r>
      <w:r>
        <w:t xml:space="preserve">, and the fixed-hardware curve exhibits a knee the metered curve does not: beyond it, marginal work is paid in wall-clock and foregone throughput rather than euros. The arbitrage holds where</w:t>
      </w:r>
      <w:r>
        <w:t xml:space="preserve"> </w:t>
      </w:r>
      <w:r>
        <w:rPr>
          <w:bCs/>
          <w:b/>
        </w:rPr>
        <w:t xml:space="preserve">per-task context depth is high and concurrency is bounded</w:t>
      </w:r>
      <w:r>
        <w:t xml:space="preserve">, and fails for horizontal, high-concurrency workloads.</w:t>
      </w:r>
    </w:p>
    <w:p>
      <w:pPr>
        <w:pStyle w:val="BodyText"/>
      </w:pPr>
      <w:r>
        <w:rPr>
          <w:bCs/>
          <w:b/>
        </w:rPr>
        <w:t xml:space="preserve">This is also what selects the operating profile, and the selection is structural rather than preferential.</w:t>
      </w:r>
      <w:r>
        <w:t xml:space="preserve"> </w:t>
      </w:r>
      <w:r>
        <w:t xml:space="preserve">Consumer B2C agents present unpredictable high-concurrency bursts over comparatively shallow context — a workload metered APIs are correctly shaped for. An industrial fleet executes deep, multi-step harness tasks (Composio’s 340k-token median is the representative figure) across a</w:t>
      </w:r>
      <w:r>
        <w:t xml:space="preserve"> </w:t>
      </w:r>
      <w:r>
        <w:rPr>
          <w:iCs/>
          <w:i/>
        </w:rPr>
        <w:t xml:space="preserve">bounded</w:t>
      </w:r>
      <w:r>
        <w:t xml:space="preserve"> </w:t>
      </w:r>
      <w:r>
        <w:t xml:space="preserve">number of specialised operators. The fixed-hardware knee does not bind because the operational parameters sit strictly to the left of it. The architecture is designed for sovereign industrial B2B not by preference but because that is the region in which the arbitrage is valid (§14.35, §14.26).</w:t>
      </w:r>
    </w:p>
    <w:p>
      <w:pPr>
        <w:pStyle w:val="BodyText"/>
      </w:pPr>
      <w:r>
        <w:rPr>
          <w:bCs/>
          <w:b/>
        </w:rPr>
        <w:t xml:space="preserve">Consequently the depth measurement is load-bearing rather than confirmatory: its purpose is to locate the knee.</w:t>
      </w:r>
      <w:r>
        <w:t xml:space="preserve"> </w:t>
      </w:r>
      <w:r>
        <w:t xml:space="preserve">Two questions define it, and they are questions about mechanism, not about a score:</w:t>
      </w:r>
    </w:p>
    <w:p>
      <w:pPr>
        <w:numPr>
          <w:ilvl w:val="0"/>
          <w:numId w:val="1098"/>
        </w:numPr>
        <w:pStyle w:val="Compact"/>
      </w:pPr>
      <w:r>
        <w:t xml:space="preserve">At what context length</w:t>
      </w:r>
      <w:r>
        <w:t xml:space="preserve"> </w:t>
      </w:r>
      <w:r>
        <w:rPr>
          <w:iCs/>
          <w:i/>
        </w:rPr>
        <w:t xml:space="preserve">d</w:t>
      </w:r>
      <w:r>
        <w:t xml:space="preserve"> </w:t>
      </w:r>
      <w:r>
        <w:t xml:space="preserve">does KV-cache memory-bandwidth consumption push token generation below the interactive throughput threshold?</w:t>
      </w:r>
    </w:p>
    <w:p>
      <w:pPr>
        <w:numPr>
          <w:ilvl w:val="0"/>
          <w:numId w:val="1098"/>
        </w:numPr>
        <w:pStyle w:val="Compact"/>
      </w:pPr>
      <w:r>
        <w:t xml:space="preserve">Where does the regime transition from memory-bound generation to batching-induced queueing delay?</w:t>
      </w:r>
    </w:p>
    <w:p>
      <w:pPr>
        <w:pStyle w:val="FirstParagraph"/>
      </w:pPr>
      <w:r>
        <w:t xml:space="preserve">The sweep must report six quantities per operating point, not a single throughput figure:</w:t>
      </w:r>
      <w:r>
        <w:t xml:space="preserve"> </w:t>
      </w:r>
      <w:r>
        <w:rPr>
          <w:bCs/>
          <w:b/>
        </w:rPr>
        <w:t xml:space="preserve">tokens per task, latency, concurrent jobs, GPU memory occupancy, queue time, and € per audit-ready output.</w:t>
      </w:r>
      <w:r>
        <w:t xml:space="preserve"> </w:t>
      </w:r>
      <w:r>
        <w:t xml:space="preserve">The last is the one that converts the result from a systems benchmark into a commercial claim, because it is the unit an industrial buyer actually purchases. Until those six exist for DWS’s own hardware, the 250k–340k depth argument is an</w:t>
      </w:r>
      <w:r>
        <w:t xml:space="preserve"> </w:t>
      </w:r>
      <w:r>
        <w:rPr>
          <w:bCs/>
          <w:b/>
        </w:rPr>
        <w:t xml:space="preserve">architectural hypothesis, not an investor claim</w:t>
      </w:r>
      <w:r>
        <w:t xml:space="preserve">, and must be labelled as such wherever it appears.</w:t>
      </w:r>
    </w:p>
    <w:p>
      <w:pPr>
        <w:pStyle w:val="BodyText"/>
      </w:pPr>
      <w:r>
        <w:t xml:space="preserve">A sweep answering these converts Key Contribution #50 from a positioning claim into an</w:t>
      </w:r>
      <w:r>
        <w:t xml:space="preserve"> </w:t>
      </w:r>
      <w:r>
        <w:rPr>
          <w:bCs/>
          <w:b/>
        </w:rPr>
        <w:t xml:space="preserve">empirical capacity-planning model for enterprise agent harnesses</w:t>
      </w:r>
      <w:r>
        <w:t xml:space="preserve"> </w:t>
      </w:r>
      <w:r>
        <w:t xml:space="preserve">— the operating envelope inside which a sovereign harness is economically dominant, and outside which it is not. Stating the failure mode is what makes the contribution falsifiable rather than promotional.</w:t>
      </w:r>
    </w:p>
    <w:p>
      <w:pPr>
        <w:pStyle w:val="BodyText"/>
      </w:pPr>
      <w:r>
        <w:rPr>
          <w:bCs/>
          <w:b/>
        </w:rPr>
        <w:t xml:space="preserve">Finding 3 — evidential asymmetry across the three acts must be carried, not smoothed.</w:t>
      </w:r>
      <w:r>
        <w:t xml:space="preserve"> </w:t>
      </w:r>
      <w:r>
        <w:t xml:space="preserve">The three acts do not rest on equally firm ground and the argument must not present them as if they did. Act I is a verified primary quotation from a public earnings call. Act II is a</w:t>
      </w:r>
      <w:r>
        <w:t xml:space="preserve"> </w:t>
      </w:r>
      <w:r>
        <w:rPr>
          <w:bCs/>
          <w:b/>
        </w:rPr>
        <w:t xml:space="preserve">vendor-run benchmark</w:t>
      </w:r>
      <w:r>
        <w:t xml:space="preserve">: the publisher’s own harness was among those tested and placed near the top; the task set, success criteria, retry policy and per-harness tool load are unpublished; it is one model, one run. Act III’s architectural specifications are confirmed against primary sources, but its load-bearing throughput-at-depth measurement is a</w:t>
      </w:r>
      <w:r>
        <w:t xml:space="preserve"> </w:t>
      </w:r>
      <w:r>
        <w:rPr>
          <w:bCs/>
          <w:b/>
        </w:rPr>
        <w:t xml:space="preserve">single unreproduced operator report</w:t>
      </w:r>
      <w:r>
        <w:t xml:space="preserve">. The dialectic survives this asymmetry because its direction does not depend on Act II’s precise multiple — a 5× spread implies the same migration as 30× — but any restatement that presents 30× as an established constant misrepresents the evidence.</w:t>
      </w:r>
    </w:p>
    <w:p>
      <w:pPr>
        <w:pStyle w:val="BodyText"/>
      </w:pPr>
      <w:r>
        <w:rPr>
          <w:bCs/>
          <w:b/>
        </w:rPr>
        <w:t xml:space="preserve">Finding 4 — the strategic consequence for DWS is subtractive.</w:t>
      </w:r>
      <w:r>
        <w:t xml:space="preserve"> </w:t>
      </w:r>
      <w:r>
        <w:t xml:space="preserve">If Act I is correct, harness ownership is not a differentiator: the incumbent that stated it also sells both the harness and the models, which makes harness/swappability language table stakes from 29.07.2026 onward. What survives as defensible is narrower and unchanged from §14.44’s conclusion — the</w:t>
      </w:r>
      <w:r>
        <w:t xml:space="preserve"> </w:t>
      </w:r>
      <w:r>
        <w:rPr>
          <w:bCs/>
          <w:b/>
        </w:rPr>
        <w:t xml:space="preserve">sovereign compliance evidence loop</w:t>
      </w:r>
      <w:r>
        <w:t xml:space="preserve">: private evals, an RL environment on the customer’s own operational corpus, KYA governance and the Article 12 evidence chain. Evidence is jurisdictional; a horizontal harness is not. Act III supplies the economics that make that loop affordable to run at the depth compliance evidence actually requires.</w:t>
      </w:r>
    </w:p>
    <w:p>
      <w:pPr>
        <w:pStyle w:val="BodyText"/>
      </w:pPr>
      <w:r>
        <w:rPr>
          <w:bCs/>
          <w:b/>
        </w:rPr>
        <w:t xml:space="preserve">Finding 5 — the DWS application: two operational profiles, and why the moat is the coupling rather than the harness.</w:t>
      </w:r>
      <w:r>
        <w:t xml:space="preserve"> </w:t>
      </w:r>
      <w:r>
        <w:t xml:space="preserve">The general result of Finding 2 becomes concrete when the two workload profiles are stated side by side, because they select different substrates for reasons that are structural rather than commercial preference.</w:t>
      </w:r>
    </w:p>
    <w:tbl>
      <w:tblPr>
        <w:tblStyle w:val="Table"/>
        <w:tblW w:type="pct" w:w="5000"/>
        <w:tblLook w:firstRow="1" w:lastRow="0" w:firstColumn="0" w:lastColumn="0" w:noHBand="0" w:noVBand="0" w:val="0020"/>
        <w:jc w:val="start"/>
      </w:tblPr>
      <w:tblGrid>
        <w:gridCol w:w="813"/>
        <w:gridCol w:w="2192"/>
        <w:gridCol w:w="4914"/>
      </w:tblGrid>
      <w:tr>
        <w:trPr>
          <w:tblHeader w:val="true"/>
        </w:trPr>
        <w:tc>
          <w:tcPr/>
          <w:p>
            <w:pPr>
              <w:pStyle w:val="Compact"/>
            </w:pPr>
          </w:p>
        </w:tc>
        <w:tc>
          <w:tcPr/>
          <w:p>
            <w:pPr>
              <w:pStyle w:val="Compact"/>
              <w:jc w:val="left"/>
            </w:pPr>
            <w:r>
              <w:rPr>
                <w:bCs/>
                <w:b/>
              </w:rPr>
              <w:t xml:space="preserve">Public B2C SaaS</w:t>
            </w:r>
            <w:r>
              <w:t xml:space="preserve"> </w:t>
            </w:r>
            <w:r>
              <w:t xml:space="preserve">(the metered-cloud domain)</w:t>
            </w:r>
          </w:p>
        </w:tc>
        <w:tc>
          <w:tcPr/>
          <w:p>
            <w:pPr>
              <w:pStyle w:val="Compact"/>
              <w:jc w:val="left"/>
            </w:pPr>
            <w:r>
              <w:rPr>
                <w:bCs/>
                <w:b/>
              </w:rPr>
              <w:t xml:space="preserve">Sovereign industrial fleet</w:t>
            </w:r>
            <w:r>
              <w:t xml:space="preserve"> </w:t>
            </w:r>
            <w:r>
              <w:t xml:space="preserve">(the fixed-hardware domain)</w:t>
            </w:r>
          </w:p>
        </w:tc>
      </w:tr>
      <w:tr>
        <w:tc>
          <w:tcPr/>
          <w:p>
            <w:pPr>
              <w:pStyle w:val="Compact"/>
              <w:jc w:val="left"/>
            </w:pPr>
            <w:r>
              <w:t xml:space="preserve">Demand shape</w:t>
            </w:r>
          </w:p>
        </w:tc>
        <w:tc>
          <w:tcPr/>
          <w:p>
            <w:pPr>
              <w:pStyle w:val="Compact"/>
              <w:jc w:val="left"/>
            </w:pPr>
            <w:r>
              <w:t xml:space="preserve">Millions of external users; sudden, unpredictable spikes</w:t>
            </w:r>
          </w:p>
        </w:tc>
        <w:tc>
          <w:tcPr/>
          <w:p>
            <w:pPr>
              <w:pStyle w:val="Compact"/>
              <w:jc w:val="left"/>
            </w:pPr>
            <w:r>
              <w:t xml:space="preserve">A</w:t>
            </w:r>
            <w:r>
              <w:t xml:space="preserve"> </w:t>
            </w:r>
            <w:r>
              <w:rPr>
                <w:bCs/>
                <w:b/>
              </w:rPr>
              <w:t xml:space="preserve">known, bounded</w:t>
            </w:r>
            <w:r>
              <w:t xml:space="preserve"> </w:t>
            </w:r>
            <w:r>
              <w:t xml:space="preserve">set of internal agents — an operator headcount the deployer sets</w:t>
            </w:r>
          </w:p>
        </w:tc>
      </w:tr>
      <w:tr>
        <w:tc>
          <w:tcPr/>
          <w:p>
            <w:pPr>
              <w:pStyle w:val="Compact"/>
              <w:jc w:val="left"/>
            </w:pPr>
            <w:r>
              <w:t xml:space="preserve">Context per interaction</w:t>
            </w:r>
          </w:p>
        </w:tc>
        <w:tc>
          <w:tcPr/>
          <w:p>
            <w:pPr>
              <w:pStyle w:val="Compact"/>
              <w:jc w:val="left"/>
            </w:pPr>
            <w:r>
              <w:t xml:space="preserve">Shallow, ~1k–4k tokens</w:t>
            </w:r>
          </w:p>
        </w:tc>
        <w:tc>
          <w:tcPr/>
          <w:p>
            <w:pPr>
              <w:pStyle w:val="Compact"/>
              <w:jc w:val="left"/>
            </w:pPr>
            <w:r>
              <w:t xml:space="preserve">Deep, multi-turn harness workflows — the 340k-token median of Act II</w:t>
            </w:r>
          </w:p>
        </w:tc>
      </w:tr>
      <w:tr>
        <w:tc>
          <w:tcPr/>
          <w:p>
            <w:pPr>
              <w:pStyle w:val="Compact"/>
              <w:jc w:val="left"/>
            </w:pPr>
            <w:r>
              <w:t xml:space="preserve">Binding requirement</w:t>
            </w:r>
          </w:p>
        </w:tc>
        <w:tc>
          <w:tcPr/>
          <w:p>
            <w:pPr>
              <w:pStyle w:val="Compact"/>
              <w:jc w:val="left"/>
            </w:pPr>
            <w:r>
              <w:t xml:space="preserve">Elastic capacity for random concurrency bursts</w:t>
            </w:r>
          </w:p>
        </w:tc>
        <w:tc>
          <w:tcPr/>
          <w:p>
            <w:pPr>
              <w:pStyle w:val="Compact"/>
              <w:jc w:val="left"/>
            </w:pPr>
            <w:r>
              <w:t xml:space="preserve">Predictable execution at depth</w:t>
            </w:r>
          </w:p>
        </w:tc>
      </w:tr>
      <w:tr>
        <w:tc>
          <w:tcPr/>
          <w:p>
            <w:pPr>
              <w:pStyle w:val="Compact"/>
              <w:jc w:val="left"/>
            </w:pPr>
            <w:r>
              <w:t xml:space="preserve">Correct economics</w:t>
            </w:r>
          </w:p>
        </w:tc>
        <w:tc>
          <w:tcPr/>
          <w:p>
            <w:pPr>
              <w:pStyle w:val="Compact"/>
              <w:jc w:val="left"/>
            </w:pPr>
            <w:r>
              <w:t xml:space="preserve">Fractions of a cent per token beats GPU clusters idle off-peak</w:t>
            </w:r>
          </w:p>
        </w:tc>
        <w:tc>
          <w:tcPr/>
          <w:p>
            <w:pPr>
              <w:pStyle w:val="Compact"/>
              <w:jc w:val="left"/>
            </w:pPr>
            <w:r>
              <w:t xml:space="preserve">No external per-token exposure on silicon already acquired — bounded rather than zero cost; per-token billing at 340k depth destroys margin</w:t>
            </w:r>
          </w:p>
        </w:tc>
      </w:tr>
    </w:tbl>
    <w:p>
      <w:pPr>
        <w:pStyle w:val="BodyText"/>
      </w:pPr>
      <w:r>
        <w:t xml:space="preserve">DWS IQ does not build public consumer chat. It deploys bounded fleets of specialised agents running deep, multi-turn workflows — regulatory compliance audits, multi-agent state loops, evidence chains reasoning over long records — on sovereign infrastructure (the GN-100 / DGX Spark tier, §14.35). Under metered pricing the 340k-token median is an exponential variable tax with unpredictable bill exposure; on owned silicon those same tokens are amortised latency against a bounded cost base. The defensible formulation, and the only one that should reach a customer or investor document, is therefore:</w:t>
      </w:r>
      <w:r>
        <w:t xml:space="preserve"> </w:t>
      </w:r>
      <w:r>
        <w:rPr>
          <w:bCs/>
          <w:b/>
        </w:rPr>
        <w:t xml:space="preserve">DWS IQ 6 replaces unpredictable per-token API exposure with bounded, sovereign compute economics for known industrial workloads; deep harness workflows become commercially viable because concurrency and context depth can be dimensioned below the hardware throughput knee.</w:t>
      </w:r>
      <w:r>
        <w:t xml:space="preserve"> </w:t>
      </w:r>
      <w:r>
        <w:t xml:space="preserve">Any stronger phrasing —</w:t>
      </w:r>
      <w:r>
        <w:t xml:space="preserve"> </w:t>
      </w:r>
      <w:r>
        <w:t xml:space="preserve">‘</w:t>
      </w:r>
      <w:r>
        <w:t xml:space="preserve">zero marginal cost</w:t>
      </w:r>
      <w:r>
        <w:t xml:space="preserve">’</w:t>
      </w:r>
      <w:r>
        <w:t xml:space="preserve">,</w:t>
      </w:r>
      <w:r>
        <w:t xml:space="preserve"> </w:t>
      </w:r>
      <w:r>
        <w:t xml:space="preserve">‘</w:t>
      </w:r>
      <w:r>
        <w:t xml:space="preserve">free tokens</w:t>
      </w:r>
      <w:r>
        <w:t xml:space="preserve">’</w:t>
      </w:r>
      <w:r>
        <w:t xml:space="preserve"> </w:t>
      </w:r>
      <w:r>
        <w:t xml:space="preserve">— is false and will be dismantled by the first competent technical or financial reviewer.</w:t>
      </w:r>
    </w:p>
    <w:p>
      <w:pPr>
        <w:pStyle w:val="BodyText"/>
      </w:pPr>
      <w:r>
        <w:rPr>
          <w:bCs/>
          <w:b/>
        </w:rPr>
        <w:t xml:space="preserve">The knee is dimensionable here, which is not the same as absent.</w:t>
      </w:r>
      <w:r>
        <w:t xml:space="preserve"> </w:t>
      </w:r>
      <w:r>
        <w:t xml:space="preserve">A consumer application on local hardware would be pushed past the throughput knee by an unplanned demand surge, and generation would collapse non-linearly into queueing. An industrial fleet has</w:t>
      </w:r>
      <w:r>
        <w:t xml:space="preserve"> </w:t>
      </w:r>
      <w:r>
        <w:rPr>
          <w:bCs/>
          <w:b/>
        </w:rPr>
        <w:t xml:space="preserve">deterministic, bounded concurrency</w:t>
      </w:r>
      <w:r>
        <w:t xml:space="preserve"> </w:t>
      </w:r>
      <w:r>
        <w:t xml:space="preserve">— the number of active agents is a deployment parameter, not a function of public demand — so the engine can be dimensioned such that even at 250k–340k context depth the aggregate workload sits strictly to the left of the knee.</w:t>
      </w:r>
      <w:r>
        <w:t xml:space="preserve"> </w:t>
      </w:r>
      <w:r>
        <w:rPr>
          <w:bCs/>
          <w:b/>
        </w:rPr>
        <w:t xml:space="preserve">Two honest qualifications follow, and omitting either would overclaim.</w:t>
      </w:r>
      <w:r>
        <w:t xml:space="preserve"> </w:t>
      </w:r>
      <w:r>
        <w:t xml:space="preserve">First, this is a</w:t>
      </w:r>
      <w:r>
        <w:t xml:space="preserve"> </w:t>
      </w:r>
      <w:r>
        <w:rPr>
          <w:iCs/>
          <w:i/>
        </w:rPr>
        <w:t xml:space="preserve">design discipline</w:t>
      </w:r>
      <w:r>
        <w:t xml:space="preserve">, not a property: dimensioning to the left of a knee requires knowing where the knee is, which is precisely the unrun measurement of Finding 2 — the claim is currently a sound engineering argument awaiting its empirical constant. Second, an under-dimensioned or over-subscribed sovereign deployment hits the same wall as anyone else; bounded concurrency makes the wall</w:t>
      </w:r>
      <w:r>
        <w:t xml:space="preserve"> </w:t>
      </w:r>
      <w:r>
        <w:rPr>
          <w:iCs/>
          <w:i/>
        </w:rPr>
        <w:t xml:space="preserve">avoidable</w:t>
      </w:r>
      <w:r>
        <w:t xml:space="preserve">, not nonexistent.</w:t>
      </w:r>
    </w:p>
    <w:p>
      <w:pPr>
        <w:pStyle w:val="BodyText"/>
      </w:pPr>
      <w:r>
        <w:rPr>
          <w:bCs/>
          <w:b/>
        </w:rPr>
        <w:t xml:space="preserve">The positioning consequence, stated more narrowly than the market will.</w:t>
      </w:r>
      <w:r>
        <w:t xml:space="preserve"> </w:t>
      </w:r>
      <w:r>
        <w:t xml:space="preserve">Finding 4 holds: harness ownership alone is table stakes as of 29.07.2026. What is defensible is the</w:t>
      </w:r>
      <w:r>
        <w:t xml:space="preserve"> </w:t>
      </w:r>
      <w:r>
        <w:rPr>
          <w:bCs/>
          <w:b/>
        </w:rPr>
        <w:t xml:space="preserve">coupling</w:t>
      </w:r>
      <w:r>
        <w:t xml:space="preserve"> </w:t>
      </w:r>
      <w:r>
        <w:t xml:space="preserve">— deep scaffolding (Act I) executed on fixed sovereign compute (Act III) at bounded concurrency — because a vendor whose revenue scales with tokens has no incentive to make token-intensive workflows cheap. The precise claim must nonetheless resist one overstatement: metered vendors</w:t>
      </w:r>
      <w:r>
        <w:t xml:space="preserve"> </w:t>
      </w:r>
      <w:r>
        <w:rPr>
          <w:iCs/>
          <w:i/>
        </w:rPr>
        <w:t xml:space="preserve">can</w:t>
      </w:r>
      <w:r>
        <w:t xml:space="preserve"> </w:t>
      </w:r>
      <w:r>
        <w:t xml:space="preserve">reprice, and provisioned-throughput and reserved-capacity offerings already do exactly that. The durable half of the argument is therefore not compute economics alone but</w:t>
      </w:r>
      <w:r>
        <w:t xml:space="preserve"> </w:t>
      </w:r>
      <w:r>
        <w:rPr>
          <w:bCs/>
          <w:b/>
        </w:rPr>
        <w:t xml:space="preserve">compute economics plus jurisdiction</w:t>
      </w:r>
      <w:r>
        <w:t xml:space="preserve"> </w:t>
      </w:r>
      <w:r>
        <w:t xml:space="preserve">— a reserved-capacity contract answers the bill, and does not answer where the evidence lives, under whose law, or who can compel its disclosure (§14.26, §14.31). Compute makes deep harness work affordable; sovereignty makes it defensible; the two together are the moat, and neither is on its own.</w:t>
      </w:r>
    </w:p>
    <w:p>
      <w:pPr>
        <w:pStyle w:val="BodyText"/>
      </w:pPr>
      <w:r>
        <w:rPr>
          <w:bCs/>
          <w:b/>
        </w:rPr>
        <w:t xml:space="preserve">Research contribution.</w:t>
      </w:r>
      <w:r>
        <w:t xml:space="preserve"> </w:t>
      </w:r>
      <w:r>
        <w:t xml:space="preserve">Formalises as a dialectic the transition from metered-API to hybrid-compute agentic execution: an architectural thesis (harness durability) that generates its own economic antithesis (token intensity under metered pricing) and is resolved by a substrate synthesis (fixed-cost inference with sustained throughput at depth), with an explicitly stated boundary condition (bounded concurrency) that makes the synthesis falsifiable. Identifies context</w:t>
      </w:r>
      <w:r>
        <w:t xml:space="preserve"> </w:t>
      </w:r>
      <w:r>
        <w:rPr>
          <w:bCs/>
          <w:b/>
        </w:rPr>
        <w:t xml:space="preserve">depth</w:t>
      </w:r>
      <w:r>
        <w:t xml:space="preserve">, rather than model capability or call volume, as the binding constraint on local model tiers for agentic work — and therefore as the correct axis on which to specify an orchestrator tier.</w:t>
      </w:r>
    </w:p>
    <w:p>
      <w:pPr>
        <w:pStyle w:val="BodyText"/>
      </w:pPr>
      <w:r>
        <w:rPr>
          <w:bCs/>
          <w:b/>
        </w:rPr>
        <w:t xml:space="preserve">Key Contribution #50.</w:t>
      </w:r>
      <w:r>
        <w:t xml:space="preserve"> </w:t>
      </w:r>
      <w:r>
        <w:t xml:space="preserve">The Harness Paywall and the Depth Arbitrage: agentic value migrates to the durable harness layer (Act I), whose token intensity renders it economically unviable under metered API pricing (Act II, up to 30× harness-attributable token spread at fixed model and task set), and which is resolved by migration to hybrid/sovereign compute where sub-quadratic attention plus throughput-sustaining inference performs a</w:t>
      </w:r>
      <w:r>
        <w:t xml:space="preserve"> </w:t>
      </w:r>
      <w:r>
        <w:rPr>
          <w:bCs/>
          <w:b/>
        </w:rPr>
        <w:t xml:space="preserve">cost-type transformation</w:t>
      </w:r>
      <w:r>
        <w:t xml:space="preserve"> </w:t>
      </w:r>
      <w:r>
        <w:t xml:space="preserve">— variable financial cost into a concurrency-and-queueing ceiling — rather than a cost elimination (Act III). Valid where per-task depth is high and concurrency is bounded; failing beyond the fixed-hardware knee, whose location is defined by two measurable transitions (the context length at which KV-cache bandwidth drops generation below interactive throughput, and the crossover from memory-bound generation to batching-induced queueing delay). Corollaries: harness ownership is table stakes while the sovereign evidence loop remains defensible; orchestrator tiers must be specified on context depth rather than call volume; and the sovereign-industrial operating profile is</w:t>
      </w:r>
      <w:r>
        <w:t xml:space="preserve"> </w:t>
      </w:r>
      <w:r>
        <w:rPr>
          <w:iCs/>
          <w:i/>
        </w:rPr>
        <w:t xml:space="preserve">derived</w:t>
      </w:r>
      <w:r>
        <w:t xml:space="preserve"> </w:t>
      </w:r>
      <w:r>
        <w:t xml:space="preserve">from the region of validity rather than chosen — yielding an empirical capacity-planning model for enterprise agent harnesses rather than a positioning claim. Applied to DWS (Finding 5): the two workload profiles select substrates structurally — unbounded-concurrency shallow-context consumer traffic belongs on metered APIs, bounded-concurrency deep-context industrial fleets on owned silicon — so the knee is</w:t>
      </w:r>
      <w:r>
        <w:t xml:space="preserve"> </w:t>
      </w:r>
      <w:r>
        <w:rPr>
          <w:bCs/>
          <w:b/>
        </w:rPr>
        <w:t xml:space="preserve">dimensionable rather than absent</w:t>
      </w:r>
      <w:r>
        <w:t xml:space="preserve">, contingent on measuring it; and the defensible position is the</w:t>
      </w:r>
      <w:r>
        <w:t xml:space="preserve"> </w:t>
      </w:r>
      <w:r>
        <w:rPr>
          <w:bCs/>
          <w:b/>
        </w:rPr>
        <w:t xml:space="preserve">coupling</w:t>
      </w:r>
      <w:r>
        <w:t xml:space="preserve"> </w:t>
      </w:r>
      <w:r>
        <w:t xml:space="preserve">of deep scaffolding to fixed sovereign compute</w:t>
      </w:r>
      <w:r>
        <w:t xml:space="preserve"> </w:t>
      </w:r>
      <w:r>
        <w:rPr>
          <w:iCs/>
          <w:i/>
        </w:rPr>
        <w:t xml:space="preserve">plus jurisdiction</w:t>
      </w:r>
      <w:r>
        <w:t xml:space="preserve">, since metered vendors can reprice capacity but cannot reprice where the evidence lives or under whose law it can be compelled.</w:t>
      </w:r>
      <w:r>
        <w:t xml:space="preserve"> </w:t>
      </w:r>
      <w:r>
        <w:rPr>
          <w:iCs/>
          <w:i/>
        </w:rPr>
        <w:t xml:space="preserve">Dialectical framing authored by Google Gemini, adopted on HIC instruction 30.07.2026.</w:t>
      </w:r>
    </w:p>
    <w:bookmarkEnd w:id="329"/>
    <w:bookmarkStart w:id="330" w:name="Xc1618bb8008ae6b4cd61e437885577656f03f64"/>
    <w:p>
      <w:pPr>
        <w:pStyle w:val="Heading3"/>
      </w:pPr>
      <w:r>
        <w:t xml:space="preserve">14.46 The Enforcement Threshold: Article 50 and the Obligation–Capability Split in AI Content Provenance</w:t>
      </w:r>
    </w:p>
    <w:p>
      <w:pPr>
        <w:pStyle w:val="FirstParagraph"/>
      </w:pPr>
      <w:r>
        <w:rPr>
          <w:bCs/>
          <w:b/>
        </w:rPr>
        <w:t xml:space="preserve">Signal (EU AI Act enforcement commencement, 02.08.2026; primary sources: European Commission AI Pact Secretariat partner note 31.07.2026,</w:t>
      </w:r>
      <w:r>
        <w:rPr>
          <w:bCs/>
          <w:b/>
        </w:rPr>
        <w:t xml:space="preserve"> </w:t>
      </w:r>
      <w:r>
        <w:rPr>
          <w:rStyle w:val="VerbatimChar"/>
          <w:bCs/>
          <w:b/>
        </w:rPr>
        <w:t xml:space="preserve">digital-strategy.ec.europa.eu</w:t>
      </w:r>
      <w:r>
        <w:rPr>
          <w:bCs/>
          <w:b/>
        </w:rPr>
        <w:t xml:space="preserve"> </w:t>
      </w:r>
      <w:r>
        <w:rPr>
          <w:bCs/>
          <w:b/>
        </w:rPr>
        <w:t xml:space="preserve">enforcement and Article 50 pages, Commission Guidelines on Article 50 published 20.07.2026, AI Omnibus in force 27.07.2026).</w:t>
      </w:r>
      <w:r>
        <w:t xml:space="preserve"> </w:t>
      </w:r>
      <w:r>
        <w:t xml:space="preserve">From 2 August 2026 the AI Office and national market surveillance authorities began enforcing the AI Act, and the Article 50 transparency obligations entered application. Three facts in the same window are load-bearing. First, approximately</w:t>
      </w:r>
      <w:r>
        <w:t xml:space="preserve"> </w:t>
      </w:r>
      <w:r>
        <w:rPr>
          <w:bCs/>
          <w:b/>
        </w:rPr>
        <w:t xml:space="preserve">190 organisations signed the voluntary Code of Practice on Transparency of AI-generated Content</w:t>
      </w:r>
      <w:r>
        <w:rPr>
          <w:bCs/>
          <w:b/>
        </w:rPr>
        <w:t xml:space="preserve"> </w:t>
      </w:r>
      <w:r>
        <w:rPr>
          <w:iCs/>
          <w:i/>
          <w:bCs/>
          <w:b/>
        </w:rPr>
        <w:t xml:space="preserve">before</w:t>
      </w:r>
      <w:r>
        <w:rPr>
          <w:bCs/>
          <w:b/>
        </w:rPr>
        <w:t xml:space="preserve"> </w:t>
      </w:r>
      <w:r>
        <w:rPr>
          <w:bCs/>
          <w:b/>
        </w:rPr>
        <w:t xml:space="preserve">the mandatory obligation applied</w:t>
      </w:r>
      <w:r>
        <w:t xml:space="preserve">. Second, the obligation is</w:t>
      </w:r>
      <w:r>
        <w:t xml:space="preserve"> </w:t>
      </w:r>
      <w:r>
        <w:rPr>
          <w:bCs/>
          <w:b/>
        </w:rPr>
        <w:t xml:space="preserve">split by party</w:t>
      </w:r>
      <w:r>
        <w:t xml:space="preserve">: Article 50(2) binds</w:t>
      </w:r>
      <w:r>
        <w:t xml:space="preserve"> </w:t>
      </w:r>
      <w:r>
        <w:rPr>
          <w:iCs/>
          <w:i/>
        </w:rPr>
        <w:t xml:space="preserve">providers</w:t>
      </w:r>
      <w:r>
        <w:t xml:space="preserve"> </w:t>
      </w:r>
      <w:r>
        <w:t xml:space="preserve">to apply a machine-readable mark to synthetic content and enable its detection; Article 50(4) binds</w:t>
      </w:r>
      <w:r>
        <w:t xml:space="preserve"> </w:t>
      </w:r>
      <w:r>
        <w:rPr>
          <w:iCs/>
          <w:i/>
        </w:rPr>
        <w:t xml:space="preserve">deployers</w:t>
      </w:r>
      <w:r>
        <w:t xml:space="preserve"> </w:t>
      </w:r>
      <w:r>
        <w:t xml:space="preserve">to apply clear and perceivable labels to deepfakes and to AI-generated text on matters of public interest published without human review. Third, the grace periods are</w:t>
      </w:r>
      <w:r>
        <w:t xml:space="preserve"> </w:t>
      </w:r>
      <w:r>
        <w:rPr>
          <w:bCs/>
          <w:b/>
        </w:rPr>
        <w:t xml:space="preserve">asymmetric</w:t>
      </w:r>
      <w:r>
        <w:t xml:space="preserve">: the marking obligation is deferred to December 2026 for generative systems placed on the market before 2 August 2026, while deepfake labelling receives no equivalent deferral.</w:t>
      </w:r>
    </w:p>
    <w:p>
      <w:pPr>
        <w:pStyle w:val="BodyText"/>
      </w:pPr>
      <w:r>
        <w:rPr>
          <w:bCs/>
          <w:b/>
        </w:rPr>
        <w:t xml:space="preserve">Finding 1 — the obligation and the capability sit in different parties.</w:t>
      </w:r>
      <w:r>
        <w:t xml:space="preserve"> </w:t>
      </w:r>
      <w:r>
        <w:t xml:space="preserve">A deployer who did not build the generator cannot apply a machine-readable mark; they can only apply a perceivable label. The party carrying the visible legal duty under 50(4) is therefore structurally dependent, for the durable and machine-verifiable half of the evidence, on a party they do not control and may not be able to identify. This is not a drafting defect — it allocates each duty to the party technically able to discharge it — but it does mean</w:t>
      </w:r>
      <w:r>
        <w:t xml:space="preserve"> </w:t>
      </w:r>
      <w:r>
        <w:rPr>
          <w:bCs/>
          <w:b/>
        </w:rPr>
        <w:t xml:space="preserve">the deployer’s compliance is only as durable as the provider’s marking</w:t>
      </w:r>
      <w:r>
        <w:t xml:space="preserve">, and that a deployer using an unmarked upstream generator holds an obligation whose evidentiary substrate does not exist. This is the same asymmetry the KYA framework addresses at the agent layer (§14.24 model-provenance predicate), now appearing in statute at the content layer, and it is the structural argument for provenance attestation travelling with the artefact rather than being asserted at the point of publication.</w:t>
      </w:r>
    </w:p>
    <w:p>
      <w:pPr>
        <w:pStyle w:val="BodyText"/>
      </w:pPr>
      <w:r>
        <w:rPr>
          <w:bCs/>
          <w:b/>
        </w:rPr>
        <w:t xml:space="preserve">Finding 2 — soft law arrived before hard law, and signature is an evidentiary-cost strategy rather than an ethical one.</w:t>
      </w:r>
      <w:r>
        <w:t xml:space="preserve"> </w:t>
      </w:r>
      <w:r>
        <w:t xml:space="preserve">~190 signatories to a</w:t>
      </w:r>
      <w:r>
        <w:t xml:space="preserve"> </w:t>
      </w:r>
      <w:r>
        <w:rPr>
          <w:iCs/>
          <w:i/>
        </w:rPr>
        <w:t xml:space="preserve">voluntary</w:t>
      </w:r>
      <w:r>
        <w:t xml:space="preserve"> </w:t>
      </w:r>
      <w:r>
        <w:t xml:space="preserve">code in advance of a</w:t>
      </w:r>
      <w:r>
        <w:t xml:space="preserve"> </w:t>
      </w:r>
      <w:r>
        <w:rPr>
          <w:iCs/>
          <w:i/>
        </w:rPr>
        <w:t xml:space="preserve">mandatory</w:t>
      </w:r>
      <w:r>
        <w:t xml:space="preserve"> </w:t>
      </w:r>
      <w:r>
        <w:t xml:space="preserve">date is weak evidence of a shift in values and strong evidence of a shift in expected compliance cost. The Code confers a presumption of compliance; signing therefore converts an open-ended burden (</w:t>
      </w:r>
      <w:r>
        <w:t xml:space="preserve">“</w:t>
      </w:r>
      <w:r>
        <w:t xml:space="preserve">demonstrate your marking and labelling measures are adequate</w:t>
      </w:r>
      <w:r>
        <w:t xml:space="preserve">”</w:t>
      </w:r>
      <w:r>
        <w:t xml:space="preserve">) into a checklist with a safe harbour. Non-signatories retain the full demonstrative burden and, notably,</w:t>
      </w:r>
      <w:r>
        <w:t xml:space="preserve"> </w:t>
      </w:r>
      <w:r>
        <w:rPr>
          <w:bCs/>
          <w:b/>
        </w:rPr>
        <w:t xml:space="preserve">may use the EU icons without thereby claiming Code adherence</w:t>
      </w:r>
      <w:r>
        <w:t xml:space="preserve"> </w:t>
      </w:r>
      <w:r>
        <w:t xml:space="preserve">— the icons are optional, the disclosure duty is not, and conflating the two would itself be a misrepresentation. This supports the thesis’s broader claim (§14.42) that governance infrastructure forms around evidentiary burden-shifting rather than around principle, and it predicts that the signatory count is a leading indicator of where the regulator’s de-facto standard will settle, ahead of any harmonised standard.</w:t>
      </w:r>
    </w:p>
    <w:p>
      <w:pPr>
        <w:pStyle w:val="BodyText"/>
      </w:pPr>
      <w:r>
        <w:rPr>
          <w:bCs/>
          <w:b/>
        </w:rPr>
        <w:t xml:space="preserve">Finding 3 — empirical: on-page labelling does not satisfy a rule whose placement text requires the mark to survive redistribution.</w:t>
      </w:r>
      <w:r>
        <w:t xml:space="preserve"> </w:t>
      </w:r>
      <w:r>
        <w:t xml:space="preserve">DWS implemented Article 50 marking on two AI-generated videos on 31.07–01.08.2026. The instructive result is negative: an HTML/CSS overlay satisfies perceivability</w:t>
      </w:r>
      <w:r>
        <w:t xml:space="preserve"> </w:t>
      </w:r>
      <w:r>
        <w:rPr>
          <w:iCs/>
          <w:i/>
        </w:rPr>
        <w:t xml:space="preserve">on the page</w:t>
      </w:r>
      <w:r>
        <w:t xml:space="preserve"> </w:t>
      </w:r>
      <w:r>
        <w:t xml:space="preserve">and fails the moment the artefact is downloaded or re-shared, because the label is a property of the page rather than of the media. The only implementation that survives egress is compositing the mark into the media itself — here, burning the EU</w:t>
      </w:r>
      <w:r>
        <w:t xml:space="preserve"> </w:t>
      </w:r>
      <w:r>
        <w:rPr>
          <w:bCs/>
          <w:b/>
        </w:rPr>
        <w:t xml:space="preserve">AI GENERATED</w:t>
      </w:r>
      <w:r>
        <w:t xml:space="preserve"> </w:t>
      </w:r>
      <w:r>
        <w:t xml:space="preserve">icon into the video frames before publication. The rule’s technical demand is therefore</w:t>
      </w:r>
      <w:r>
        <w:t xml:space="preserve"> </w:t>
      </w:r>
      <w:r>
        <w:rPr>
          <w:bCs/>
          <w:b/>
        </w:rPr>
        <w:t xml:space="preserve">provenance that survives egress</w:t>
      </w:r>
      <w:r>
        <w:t xml:space="preserve">, which is the same property C2PA content credentials assert and the same property the Article 12 evidence chain requires of agent logs. Stated as a design rule:</w:t>
      </w:r>
      <w:r>
        <w:t xml:space="preserve"> </w:t>
      </w:r>
      <w:r>
        <w:rPr>
          <w:iCs/>
          <w:i/>
        </w:rPr>
        <w:t xml:space="preserve">a transparency marking implemented at the presentation layer is not a marking; it is a caption.</w:t>
      </w:r>
      <w:r>
        <w:t xml:space="preserve"> </w:t>
      </w:r>
      <w:r>
        <w:t xml:space="preserve">This is a small finding, but it is the kind that only appears from implementation and not from reading the text.</w:t>
      </w:r>
    </w:p>
    <w:p>
      <w:pPr>
        <w:pStyle w:val="BodyText"/>
      </w:pPr>
      <w:r>
        <w:rPr>
          <w:bCs/>
          <w:b/>
        </w:rPr>
        <w:t xml:space="preserve">Finding 4 — the grace-period asymmetry reveals the legislator’s ordering of urgency.</w:t>
      </w:r>
      <w:r>
        <w:t xml:space="preserve"> </w:t>
      </w:r>
      <w:r>
        <w:t xml:space="preserve">The deferral to December 2026 attaches to the</w:t>
      </w:r>
      <w:r>
        <w:t xml:space="preserve"> </w:t>
      </w:r>
      <w:r>
        <w:rPr>
          <w:bCs/>
          <w:b/>
        </w:rPr>
        <w:t xml:space="preserve">provider</w:t>
      </w:r>
      <w:r>
        <w:t xml:space="preserve">,</w:t>
      </w:r>
      <w:r>
        <w:t xml:space="preserve"> </w:t>
      </w:r>
      <w:r>
        <w:rPr>
          <w:bCs/>
          <w:b/>
        </w:rPr>
        <w:t xml:space="preserve">machine-readable</w:t>
      </w:r>
      <w:r>
        <w:t xml:space="preserve">, marking half of Article 50; the</w:t>
      </w:r>
      <w:r>
        <w:t xml:space="preserve"> </w:t>
      </w:r>
      <w:r>
        <w:rPr>
          <w:bCs/>
          <w:b/>
        </w:rPr>
        <w:t xml:space="preserve">deployer</w:t>
      </w:r>
      <w:r>
        <w:t xml:space="preserve">,</w:t>
      </w:r>
      <w:r>
        <w:t xml:space="preserve"> </w:t>
      </w:r>
      <w:r>
        <w:rPr>
          <w:bCs/>
          <w:b/>
        </w:rPr>
        <w:t xml:space="preserve">human-perceivable</w:t>
      </w:r>
      <w:r>
        <w:t xml:space="preserve">, deepfake half gets none. The legislator has therefore treated the risk of an unlabelled deepfake reaching a human as urgent, and the absence of a machine-detectable watermark as tolerable for a further four months. For a deployer this inverts the intuitive compliance ordering: the half that is cheap to implement and immediately verifiable by a regulator is the half with no grace period, while the half requiring upstream cooperation is the half with time. The operational corollary — confirmed by the DWS implementation above — is that</w:t>
      </w:r>
      <w:r>
        <w:t xml:space="preserve"> </w:t>
      </w:r>
      <w:r>
        <w:rPr>
          <w:bCs/>
          <w:b/>
        </w:rPr>
        <w:t xml:space="preserve">deployer-side labelling is the near-term binding constraint</w:t>
      </w:r>
      <w:r>
        <w:t xml:space="preserve">, not provider-side watermarking.</w:t>
      </w:r>
    </w:p>
    <w:p>
      <w:pPr>
        <w:pStyle w:val="BodyText"/>
      </w:pPr>
      <w:r>
        <w:rPr>
          <w:bCs/>
          <w:b/>
        </w:rPr>
        <w:t xml:space="preserve">Research contribution.</w:t>
      </w:r>
      <w:r>
        <w:t xml:space="preserve"> </w:t>
      </w:r>
      <w:r>
        <w:t xml:space="preserve">Names the commencement of Article 50 enforcement as the point at which AI content provenance moves from voluntary attestation to a statutorily allocated, party-split duty, and identifies the resulting obligation–capability asymmetry as the content-layer instance of the same provenance problem the KYA model-provenance predicate addresses at the agent layer. Supplies an implementation-derived design rule (marking must survive egress; presentation-layer labelling is not marking) and reads the grace-period asymmetry as a statement of regulatory priority that inverts the intuitive compliance ordering for deployers.</w:t>
      </w:r>
    </w:p>
    <w:p>
      <w:pPr>
        <w:pStyle w:val="BodyText"/>
      </w:pPr>
      <w:r>
        <w:rPr>
          <w:bCs/>
          <w:b/>
        </w:rPr>
        <w:t xml:space="preserve">Key Contribution #51.</w:t>
      </w:r>
      <w:r>
        <w:t xml:space="preserve"> </w:t>
      </w:r>
      <w:r>
        <w:t xml:space="preserve">The Obligation–Capability Split in statutory AI content provenance: Article 50 allocates machine-readable marking to providers (50(2)) and perceivable labelling to deployers (50(4)), so the party bearing the visible duty depends for the durable half of its evidence on a party it does not control — making provenance-that-travels-with-the-artefact a structural requirement rather than a best practice, and extending the KYA model-provenance predicate (§14.24) from the agent layer to the content layer. Corollaries: (a) pre-mandate signature of a voluntary code by ~190 organisations is an evidentiary-cost signal, not an ethical one, and the signatory count is a leading indicator of the de-facto standard ahead of harmonisation (§14.42); (b) an implementation-derived design rule — a marking applied at the presentation layer is a caption, not a marking, since the placement requirement is survival of redistribution, the same property asserted by C2PA and required of the Article 12 chain; (c) the grace-period asymmetry (marking deferred to December 2026, deepfake labelling not deferred) identifies deployer-side labelling as the near-term binding constraint and inverts the intuitive compliance ordering.</w:t>
      </w:r>
    </w:p>
    <w:bookmarkEnd w:id="330"/>
    <w:bookmarkStart w:id="331" w:name="Xe0f7e10116b95affe37635ae3e43928d7574766"/>
    <w:p>
      <w:pPr>
        <w:pStyle w:val="Heading3"/>
      </w:pPr>
      <w:r>
        <w:t xml:space="preserve">14.47 Routing-as-a-Service and the Decision-Layer Egress Channel: What the SageRoute Signal Reveals About Agent-Infrastructure Markets</w:t>
      </w:r>
    </w:p>
    <w:p>
      <w:pPr>
        <w:pStyle w:val="FirstParagraph"/>
      </w:pPr>
      <w:r>
        <w:rPr>
          <w:bCs/>
          <w:b/>
        </w:rPr>
        <w:t xml:space="preserve">Signal (July–August 2026, verified at source level).</w:t>
      </w:r>
      <w:r>
        <w:t xml:space="preserve"> </w:t>
      </w:r>
      <w:r>
        <w:t xml:space="preserve">Within one week of a viral</w:t>
      </w:r>
      <w:r>
        <w:t xml:space="preserve"> </w:t>
      </w:r>
      <w:r>
        <w:t xml:space="preserve">“</w:t>
      </w:r>
      <w:r>
        <w:t xml:space="preserve">Agent Factory</w:t>
      </w:r>
      <w:r>
        <w:t xml:space="preserve">”</w:t>
      </w:r>
      <w:r>
        <w:t xml:space="preserve"> </w:t>
      </w:r>
      <w:r>
        <w:t xml:space="preserve">build guide, a companion model-routing proxy (SageRoute, MIT) reached distribution: an OpenAI-compatible proxy that starts agent tasks on cheap models and escalates on execution evidence, with routing verdicts purchased from a</w:t>
      </w:r>
      <w:r>
        <w:t xml:space="preserve"> </w:t>
      </w:r>
      <w:r>
        <w:t xml:space="preserve">“</w:t>
      </w:r>
      <w:r>
        <w:t xml:space="preserve">calibrated confidence</w:t>
      </w:r>
      <w:r>
        <w:t xml:space="preserve">”</w:t>
      </w:r>
      <w:r>
        <w:t xml:space="preserve"> </w:t>
      </w:r>
      <w:r>
        <w:t xml:space="preserve">decision API (Levanto Sage). Three properties of the artifact are the signal. First, the entire codebase was written in two days by one author working with an agent, and its deterministic core survived an adversarial source-level audit intact. Second, the business model places a third party at the decision point of every agent session: each verdict ships the task statement and bounded tool-argument and error fragments to the vendor. Third, the proxy’s authentication module impersonates first-party CLI clients (hardcoded Claude Code and Codex OAuth client IDs) to route consumer-subscription quota through infrastructure the providers never approved.</w:t>
      </w:r>
    </w:p>
    <w:p>
      <w:pPr>
        <w:pStyle w:val="BodyText"/>
      </w:pPr>
      <w:r>
        <w:rPr>
          <w:bCs/>
          <w:b/>
        </w:rPr>
        <w:t xml:space="preserve">Finding 1 — the decision layer is a new, unpriced egress channel.</w:t>
      </w:r>
      <w:r>
        <w:t xml:space="preserve"> </w:t>
      </w:r>
      <w:r>
        <w:t xml:space="preserve">A router that judges trajectories must see trajectories. Even minimized to digests and previews, the decision API receives a longitudinal projection of every session an organisation runs: what its agents attempt, how they fail, what its error surfaces look like. This telemetry is not covered by the model-provider DPA (the router vendor is a separate controller relationship) and in the observed case had no discoverable retention policy, team, or EU hosting statement. For the sovereignty framework of §14.26/§14.31 the implication is structural: the compute substrate can be sovereign while the</w:t>
      </w:r>
      <w:r>
        <w:t xml:space="preserve"> </w:t>
      </w:r>
      <w:r>
        <w:rPr>
          <w:iCs/>
          <w:i/>
        </w:rPr>
        <w:t xml:space="preserve">decision</w:t>
      </w:r>
      <w:r>
        <w:t xml:space="preserve"> </w:t>
      </w:r>
      <w:r>
        <w:t xml:space="preserve">substrate silently is not. Routing-as-a-service therefore belongs in the same jurisdiction analysis as inference itself.</w:t>
      </w:r>
    </w:p>
    <w:p>
      <w:pPr>
        <w:pStyle w:val="BodyText"/>
      </w:pPr>
      <w:r>
        <w:rPr>
          <w:bCs/>
          <w:b/>
        </w:rPr>
        <w:t xml:space="preserve">Finding 2 — subscription arbitrage via client impersonation is an emergent gray-market pattern.</w:t>
      </w:r>
      <w:r>
        <w:t xml:space="preserve"> </w:t>
      </w:r>
      <w:r>
        <w:t xml:space="preserve">Hardcoding a first-party client ID converts a consumer subscription into metered infrastructure capacity, transferring ToS risk to the end user (the artifact’s own documentation concedes</w:t>
      </w:r>
      <w:r>
        <w:t xml:space="preserve"> </w:t>
      </w:r>
      <w:r>
        <w:t xml:space="preserve">“</w:t>
      </w:r>
      <w:r>
        <w:t xml:space="preserve">users are responsible for subscription compliance</w:t>
      </w:r>
      <w:r>
        <w:t xml:space="preserve">”</w:t>
      </w:r>
      <w:r>
        <w:t xml:space="preserve">). This is a provenance failure in the KYA sense (§14.24): the provider can no longer distinguish which harness actually originated a request, and the operator can no longer prove under whose terms their tokens flowed. The pattern predicts a countermeasure cycle — client attestation at the API boundary — analogous to the content-layer marking obligations of §14.46.</w:t>
      </w:r>
    </w:p>
    <w:p>
      <w:pPr>
        <w:pStyle w:val="BodyText"/>
      </w:pPr>
      <w:r>
        <w:rPr>
          <w:bCs/>
          <w:b/>
        </w:rPr>
        <w:t xml:space="preserve">Finding 3 — the defensible asset is the evidence loop, not the verdict.</w:t>
      </w:r>
      <w:r>
        <w:t xml:space="preserve"> </w:t>
      </w:r>
      <w:r>
        <w:t xml:space="preserve">The DWS adaptation test: the deterministic majority of the capability (trajectory recovery, loop/thrash/stall detectors, guarded escalation ladder) ported into the sovereign harness in one day with zero external dependency, replacing the paid verdict API with a transparent local heuristic (V3Thesis §10.28;</w:t>
      </w:r>
      <w:r>
        <w:t xml:space="preserve"> </w:t>
      </w:r>
      <w:r>
        <w:rPr>
          <w:rStyle w:val="VerbatimChar"/>
        </w:rPr>
        <w:t xml:space="preserve">src/factory/</w:t>
      </w:r>
      <w:r>
        <w:t xml:space="preserve">). What could</w:t>
      </w:r>
      <w:r>
        <w:t xml:space="preserve"> </w:t>
      </w:r>
      <w:r>
        <w:rPr>
          <w:iCs/>
          <w:i/>
        </w:rPr>
        <w:t xml:space="preserve">not</w:t>
      </w:r>
      <w:r>
        <w:t xml:space="preserve"> </w:t>
      </w:r>
      <w:r>
        <w:t xml:space="preserve">be ported is exactly what the vendor keeps: calibration data from many customers’ trajectories. This confirms the §14.45 coupling argument from a new direction — in agent infrastructure, the durable moat accrues to whoever owns the trajectory evidence, and a firm that exports its trajectories to buy verdicts is converting its own token capital into a vendor’s.</w:t>
      </w:r>
    </w:p>
    <w:p>
      <w:pPr>
        <w:pStyle w:val="BodyText"/>
      </w:pPr>
      <w:r>
        <w:rPr>
          <w:bCs/>
          <w:b/>
        </w:rPr>
        <w:t xml:space="preserve">Finding 4 — 48-hour distribution-grade artifacts move the due-diligence boundary.</w:t>
      </w:r>
      <w:r>
        <w:t xml:space="preserve"> </w:t>
      </w:r>
      <w:r>
        <w:t xml:space="preserve">An agent-written system now reaches</w:t>
      </w:r>
      <w:r>
        <w:t xml:space="preserve"> </w:t>
      </w:r>
      <w:r>
        <w:t xml:space="preserve">“</w:t>
      </w:r>
      <w:r>
        <w:t xml:space="preserve">adoptable</w:t>
      </w:r>
      <w:r>
        <w:t xml:space="preserve">”</w:t>
      </w:r>
      <w:r>
        <w:t xml:space="preserve"> </w:t>
      </w:r>
      <w:r>
        <w:t xml:space="preserve">polish faster than institutional trust signals (team, DPA, track record) can form. The artifact–legitimacy gap (§10.27, V3Thesis) thus acquires a supply-side corollary: evaluation must shift from proxies of effort (age, stars, team size) to direct inspection of data-flow and authentication posture, because effort proxies are now manufacturable in a weekend. The audit protocol that produced this section — clone, read the egress paths, read the auth module, decide adopt/adapt/reject — is offered as the minimum viable form of that inspection.</w:t>
      </w:r>
    </w:p>
    <w:p>
      <w:pPr>
        <w:pStyle w:val="BodyText"/>
      </w:pPr>
      <w:r>
        <w:rPr>
          <w:bCs/>
          <w:b/>
        </w:rPr>
        <w:t xml:space="preserve">Research contribution.</w:t>
      </w:r>
      <w:r>
        <w:t xml:space="preserve"> </w:t>
      </w:r>
      <w:r>
        <w:t xml:space="preserve">Names the agent-infrastructure decision layer as a distinct egress channel requiring jurisdiction analysis independent of the model provider; identifies subscription arbitrage via first-party client impersonation as an emergent pattern predicting API-boundary client attestation; and demonstrates by construction that the deterministic core of trajectory-aware routing is separable from the proprietary calibration loop — locating the durable asset in trajectory-evidence ownership.</w:t>
      </w:r>
    </w:p>
    <w:p>
      <w:pPr>
        <w:pStyle w:val="BodyText"/>
      </w:pPr>
      <w:r>
        <w:rPr>
          <w:bCs/>
          <w:b/>
        </w:rPr>
        <w:t xml:space="preserve">Key Contribution #52.</w:t>
      </w:r>
      <w:r>
        <w:t xml:space="preserve"> </w:t>
      </w:r>
      <w:r>
        <w:t xml:space="preserve">The Decision-Layer Egress Channel: trajectory-aware model routing places a third party at the judgment point of every agent session, creating a telemetry relationship outside the model-provider DPA that must enter the sovereignty analysis (§14.26/§14.31) on equal footing with inference; its deterministic core is separable and portable into a sovereign harness (demonstrated by the one-day DWS Factory Router adaptation, V3Thesis §10.28), so the vendor’s durable asset reduces to cross-customer trajectory calibration — confirming that in agent infrastructure the moat is trajectory-evidence ownership (§14.45), and yielding two operational rules: route verdicts locally unless the verdict provably requires cross-customer calibration, and treat any component that impersonates a first-party client as a provenance defect (§14.24) regardless of its engineering quality.</w:t>
      </w:r>
    </w:p>
    <w:bookmarkEnd w:id="331"/>
    <w:bookmarkStart w:id="332" w:name="X25f72405285c7590206f2c524b5438c0f94b2a7"/>
    <w:p>
      <w:pPr>
        <w:pStyle w:val="Heading3"/>
      </w:pPr>
      <w:r>
        <w:t xml:space="preserve">14.48 The Text-Provenance Extension: Machine Translation as a Second Obligation-Capability Instance</w:t>
      </w:r>
    </w:p>
    <w:p>
      <w:pPr>
        <w:pStyle w:val="FirstParagraph"/>
      </w:pPr>
      <w:r>
        <w:rPr>
          <w:bCs/>
          <w:b/>
        </w:rPr>
        <w:t xml:space="preserve">Signal (6 August 2026, first-party implementation).</w:t>
      </w:r>
      <w:r>
        <w:t xml:space="preserve"> </w:t>
      </w:r>
      <w:r>
        <w:t xml:space="preserve">A five-language field-note post (EN/FI/SV/DE/FR,</w:t>
      </w:r>
      <w:r>
        <w:t xml:space="preserve"> </w:t>
      </w:r>
      <w:r>
        <w:rPr>
          <w:rStyle w:val="VerbatimChar"/>
        </w:rPr>
        <w:t xml:space="preserve">onelifetime.world/posts/arvonluonnin-ajurit-2026*.html</w:t>
      </w:r>
      <w:r>
        <w:t xml:space="preserve">) shipped this session. The EN and FI texts were agent-drafted; the SV, DE and FR texts were produced by an external LLM (Google Gemini) on HIC instruction and adapted into the page templates. None of the five was reviewed by a named human before publication. All five carry regulatory content in the body text itself — EU AI Act Article 12/50 dates, CBAM and ETS2 deadlines, KYA-S1 consultation window — the same class of content §14.46 examined at the media layer.</w:t>
      </w:r>
    </w:p>
    <w:p>
      <w:pPr>
        <w:pStyle w:val="BodyText"/>
      </w:pPr>
      <w:r>
        <w:rPr>
          <w:bCs/>
          <w:b/>
        </w:rPr>
        <w:t xml:space="preserve">Finding 1 — translation is a capability act indistinguishable from generation for Article 50(4) purposes.</w:t>
      </w:r>
      <w:r>
        <w:t xml:space="preserve"> </w:t>
      </w:r>
      <w:r>
        <w:t xml:space="preserve">The statute’s test turns on whether the text underwent human review and whether editorial responsibility was assumed by an accountable person; it does not distinguish</w:t>
      </w:r>
      <w:r>
        <w:t xml:space="preserve"> </w:t>
      </w:r>
      <w:r>
        <w:t xml:space="preserve">“</w:t>
      </w:r>
      <w:r>
        <w:t xml:space="preserve">written from scratch</w:t>
      </w:r>
      <w:r>
        <w:t xml:space="preserve">”</w:t>
      </w:r>
      <w:r>
        <w:t xml:space="preserve"> </w:t>
      </w:r>
      <w:r>
        <w:t xml:space="preserve">from</w:t>
      </w:r>
      <w:r>
        <w:t xml:space="preserve"> </w:t>
      </w:r>
      <w:r>
        <w:t xml:space="preserve">“</w:t>
      </w:r>
      <w:r>
        <w:t xml:space="preserve">translated from a human- or AI-authored source.</w:t>
      </w:r>
      <w:r>
        <w:t xml:space="preserve">”</w:t>
      </w:r>
      <w:r>
        <w:t xml:space="preserve"> </w:t>
      </w:r>
      <w:r>
        <w:t xml:space="preserve">A translated regulatory claim can misstate a deadline as easily as a generated one. The deployer duty therefore attaches identically to both authorship modalities, extending the obligation-capability split (§14.46, Key Contribution #51) from the media layer to the text/translation layer.</w:t>
      </w:r>
    </w:p>
    <w:p>
      <w:pPr>
        <w:pStyle w:val="BodyText"/>
      </w:pPr>
      <w:r>
        <w:rPr>
          <w:bCs/>
          <w:b/>
        </w:rPr>
        <w:t xml:space="preserve">Finding 2 — a stricter-than-statutory default-on policy resolves the case-by-case judgment problem operationally.</w:t>
      </w:r>
      <w:r>
        <w:t xml:space="preserve"> </w:t>
      </w:r>
      <w:r>
        <w:rPr>
          <w:rStyle w:val="VerbatimChar"/>
        </w:rPr>
        <w:t xml:space="preserve">DWS_BLOG_STANDARD.md</w:t>
      </w:r>
      <w:r>
        <w:t xml:space="preserve"> </w:t>
      </w:r>
      <w:r>
        <w:t xml:space="preserve">§3.2.1 requires four conditions before a label may be removed — a named reviewer, demonstrated authority to amend or reject, a publicly reachable contact, and an explicit removal action — and defaults to leaving the label on. This session labelled all five variants, including the two (EN, FI) the agent itself drafted and the HIC approved in conversation. That conversational approval satisfied the publication gate (Rule 13 / §3.3) but not the reviewer-credit test on its own, since no per-page review record naming an accountable person was produced. The corollary is structural: a draft-approval gate and a content-provenance labelling gate are two distinct instruments with different evidentiary standards, and satisfying one does not discharge the other.</w:t>
      </w:r>
    </w:p>
    <w:p>
      <w:pPr>
        <w:pStyle w:val="BodyText"/>
      </w:pPr>
      <w:r>
        <w:rPr>
          <w:bCs/>
          <w:b/>
        </w:rPr>
        <w:t xml:space="preserve">Finding 3 — the compositing principle generalises from single-media overlay to a build-pipeline invariant.</w:t>
      </w:r>
      <w:r>
        <w:t xml:space="preserve"> </w:t>
      </w:r>
      <w:r>
        <w:t xml:space="preserve">§14.46 established that a transparency mark implemented at the presentation layer is a caption, not a marking, because it does not survive egress. The text-layer analogue was implemented as a machine-generated build step (</w:t>
      </w:r>
      <w:r>
        <w:rPr>
          <w:rStyle w:val="VerbatimChar"/>
        </w:rPr>
        <w:t xml:space="preserve">scripts/build-arvonluonnin-ajurit-post.mjs</w:t>
      </w:r>
      <w:r>
        <w:t xml:space="preserve">) that mechanically attaches the notice from a per-language table to every rendered page, rather than leaving the decision to per-post manual authoring. This converts</w:t>
      </w:r>
      <w:r>
        <w:t xml:space="preserve"> </w:t>
      </w:r>
      <w:r>
        <w:t xml:space="preserve">“</w:t>
      </w:r>
      <w:r>
        <w:t xml:space="preserve">did we remember to label this</w:t>
      </w:r>
      <w:r>
        <w:t xml:space="preserve">”</w:t>
      </w:r>
      <w:r>
        <w:t xml:space="preserve"> </w:t>
      </w:r>
      <w:r>
        <w:t xml:space="preserve">from an editorial judgment call, repeated and fallible per post, into a deterministic build-time invariant — the same design move §14.46 identified for video compositing, now shown to generalise to a multi-language text-publishing pipeline.</w:t>
      </w:r>
    </w:p>
    <w:p>
      <w:pPr>
        <w:pStyle w:val="BodyText"/>
      </w:pPr>
      <w:r>
        <w:rPr>
          <w:bCs/>
          <w:b/>
        </w:rPr>
        <w:t xml:space="preserve">Research contribution.</w:t>
      </w:r>
      <w:r>
        <w:t xml:space="preserve"> </w:t>
      </w:r>
      <w:r>
        <w:t xml:space="preserve">Extends the obligation-capability split (§14.46, Key Contribution #51) from AI-generated media to AI-drafted and machine-translated text carrying regulatory content; demonstrates that publication-approval gates and content-provenance labelling gates are non-substitutable governance layers even when the same human approves both in the same conversation; and shows the</w:t>
      </w:r>
      <w:r>
        <w:t xml:space="preserve"> </w:t>
      </w:r>
      <w:r>
        <w:t xml:space="preserve">“</w:t>
      </w:r>
      <w:r>
        <w:t xml:space="preserve">mark the artefact, not the page</w:t>
      </w:r>
      <w:r>
        <w:t xml:space="preserve">”</w:t>
      </w:r>
      <w:r>
        <w:t xml:space="preserve"> </w:t>
      </w:r>
      <w:r>
        <w:t xml:space="preserve">compositing principle generalising from a single-media overlay to a deterministic multi-language build-pipeline invariant.</w:t>
      </w:r>
    </w:p>
    <w:p>
      <w:pPr>
        <w:pStyle w:val="BodyText"/>
      </w:pPr>
      <w:r>
        <w:rPr>
          <w:bCs/>
          <w:b/>
        </w:rPr>
        <w:t xml:space="preserve">Key Contribution #53.</w:t>
      </w:r>
      <w:r>
        <w:t xml:space="preserve"> </w:t>
      </w:r>
      <w:r>
        <w:t xml:space="preserve">The Text-Provenance Extension: Article 50(4)’s obligation-capability split (Key Contribution #51) is shown to apply identically to AI-drafted and machine-translated text carrying regulatory content, not only to AI-generated media — the statute’s no-human-review/no-accountable-person test does not distinguish authorship modality. A stricter-than-statutory four-condition reviewer-credit test (named reviewer, demonstrated amend/reject authority, publicly reachable contact, explicit removal action), defaulting to label-on, is shown operationally sufficient and is distinct from — and not satisfied by — an upstream conversational publication-approval gate (Rule 13 /</w:t>
      </w:r>
      <w:r>
        <w:t xml:space="preserve"> </w:t>
      </w:r>
      <w:r>
        <w:rPr>
          <w:rStyle w:val="VerbatimChar"/>
        </w:rPr>
        <w:t xml:space="preserve">DWS_BLOG_STANDARD.md</w:t>
      </w:r>
      <w:r>
        <w:t xml:space="preserve"> </w:t>
      </w:r>
      <w:r>
        <w:t xml:space="preserve">§3.3), confirming that draft-approval and content-provenance labelling are non-substitutable governance layers. The compositing principle from §14.46 (mark the artefact, not the page) is shown to generalise from a single-media overlay to a deterministic multi-language build-pipeline invariant.</w:t>
      </w:r>
      <w:r>
        <w:t xml:space="preserve"> </w:t>
      </w: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32"/>
    <w:bookmarkEnd w:id="333"/>
    <w:bookmarkEnd w:id="3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2026-08-10T08:29:29Z</dcterms:created>
  <dcterms:modified xsi:type="dcterms:W3CDTF">2026-08-10T08:29:29Z</dcterms:modified>
</cp:coreProperties>
</file>

<file path=docProps/custom.xml><?xml version="1.0" encoding="utf-8"?>
<Properties xmlns="http://schemas.openxmlformats.org/officeDocument/2006/custom-properties" xmlns:vt="http://schemas.openxmlformats.org/officeDocument/2006/docPropsVTypes"/>
</file>