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31" w:name="version-and-agent-history"/>
    <w:p>
      <w:pPr>
        <w:pStyle w:val="Heading1"/>
      </w:pPr>
      <w:r>
        <w:t xml:space="preserve">VERSION AND AGENT HISTORY</w:t>
      </w:r>
    </w:p>
    <w:p>
      <w:pPr>
        <w:pStyle w:val="FirstParagraph"/>
      </w:pPr>
      <w:r>
        <w:t xml:space="preserve">Version: 4.04</w:t>
      </w:r>
      <w:r>
        <w:t xml:space="preserve"> </w:t>
      </w:r>
      <w:r>
        <w:t xml:space="preserve">Sessions &amp; Modifications:</w:t>
      </w:r>
    </w:p>
    <w:p>
      <w:pPr>
        <w:numPr>
          <w:ilvl w:val="0"/>
          <w:numId w:val="1001"/>
        </w:numPr>
      </w:pPr>
      <w:r>
        <w:t xml:space="preserve">Version: 4.04 | Tool: Claude Code (Sonnet 5) | Session: claude/math-academia-verification-96jpbf | Date: 18.08.2026 | Changes:</w:t>
      </w:r>
      <w:r>
        <w:t xml:space="preserve"> </w:t>
      </w:r>
      <w:r>
        <w:rPr>
          <w:bCs/>
          <w:b/>
        </w:rPr>
        <w:t xml:space="preserve">Uudelleennumeroitu 4.02→4.04 yhdistämisessä (22.08.2026)</w:t>
      </w:r>
      <w:r>
        <w:t xml:space="preserve"> </w:t>
      </w:r>
      <w:r>
        <w:t xml:space="preserve">— törmäsi mainin itsenäisesti maihin laskeutuneisiin versioihin 4.01 (Lifetime Studios -lukkoaskelmerkintä) → 4.02 (SES-korvausmerkintä), jotka oli jo yhdistetty mainiin; sisältö ennallaan, vain versionumerot ja lukkoaskelnuolet alla korjattiin. Lisätty §14.51.4 (Ulkoinen vahvistus) ja laajennettu Avainkontribuutio #56, HIC:n pyynnöstä tutkia sivustoa</w:t>
      </w:r>
      <w:r>
        <w:t xml:space="preserve"> </w:t>
      </w:r>
      <w:r>
        <w:rPr>
          <w:rStyle w:val="VerbatimChar"/>
        </w:rPr>
        <w:t xml:space="preserve">pramaanalabs.ai</w:t>
      </w:r>
      <w:r>
        <w:t xml:space="preserve">. Suora haku estyi session ulosvirtauskäytännön vuoksi; WebSearch vahvisti yrityksen kolmansien osapuolten lähteistä — 27 M$ siemenrahoitus (Khosla Ventures veti; Accel, BoldCap, Nexus Venture Partners, Premji Invest, Unbound), toimitusjohtaja Ranjan Rajagopalan, hybridi LLM+Lean-verifiointiarkkitehtuuri, kohdealat oikeus/lääkekehitys/verotus, kumppaneina mm. entinen IRS-komissaari Danny Werfel sekä IIT Delhin/IIT Madrasin/UC Berkeleyn tiedekunta — nostaen</w:t>
      </w:r>
      <w:r>
        <w:t xml:space="preserve"> </w:t>
      </w:r>
      <w:r>
        <w:t xml:space="preserve">“</w:t>
      </w:r>
      <w:r>
        <w:t xml:space="preserve">Pramaana Labsin identiteetin/rahoituksen</w:t>
      </w:r>
      <w:r>
        <w:t xml:space="preserve">”</w:t>
      </w:r>
      <w:r>
        <w:t xml:space="preserve"> </w:t>
      </w:r>
      <w:r>
        <w:t xml:space="preserve">vahvistamattomasta kolmannen osapuolen vahvistamaksi. Gajjala vahvistettu riippumattomasti pätevöityneeksi tutkijaksi (tohtorintutkinto IISc 2025, postdoc NYU Abu Dhabi CQTS) tiedekuntasivun/dblp:n/Scholarin/OpenReview’n kautta; hänen konkreettinen siirtymisensä Pramaana Labsiin pysyy itse ilmoitettuna, kolmannen osapuolen vahvistus odottaa. Lisätty sivuston oma neljän pilarin kehys ja sen viittaus RuleArenaan (ACL 2025, arXiv:2412.08972) uutena, riippumattomasti vahvistettuna vertaisarvioituna näyttönä samasta generoinnin/verifioinnin jaosta alueella (sääntöohjattu sääntelyllinen päättely), joka on lähempänä DWS:n tuotealuetta kuin puhdas matematiikka. Kumppani: kenttämuistion Vahvistuspäivitys-osio. Lukkoaskel 4.03-&gt;4.04.</w:t>
      </w:r>
    </w:p>
    <w:p>
      <w:pPr>
        <w:numPr>
          <w:ilvl w:val="0"/>
          <w:numId w:val="1001"/>
        </w:numPr>
      </w:pPr>
      <w:r>
        <w:t xml:space="preserve">Version: 4.03 | Tool: Claude Code (Sonnet 5) | Session: claude/math-academia-verification-96jpbf | Date: 18.08.2026 | Changes:</w:t>
      </w:r>
      <w:r>
        <w:t xml:space="preserve"> </w:t>
      </w:r>
      <w:r>
        <w:rPr>
          <w:bCs/>
          <w:b/>
        </w:rPr>
        <w:t xml:space="preserve">Uudelleennumeroitu 4.01→4.03 yhdistämisessä (22.08.2026)</w:t>
      </w:r>
      <w:r>
        <w:t xml:space="preserve"> </w:t>
      </w:r>
      <w:r>
        <w:t xml:space="preserve">— sama törmäys kuin yllä; sisältö ennallaan. Lisätty §14.51 (Älykkyyden ja luottamuksen eriytyminen: matemaatikon ero akatemiasta ulkoisena vahvistuksena KYA:n verifiointiteesille) sekä Avainkontribuutio #56. Markkina-/tieteellinen signaalikehystys §1.4-skooppisäännön mukaisesti. Signaali: Rishikesh Gajjalan 18.8.2026 ensimmäisen persoonan kertomus akatemiasta lähtemisestä Pramaana Labsiin (tekoälyn löytämien todistusten Lean-formaaliverifiointi), perusteena että älykkyys muuttuu runsaaksi mutta luottamus ei. Luettu riippumattomana, ei-DWS-sidonnaisena vahvistuksena KYA-luottamuskerroksen teesille (§14.24, §14.42, §14.46), ei DWS:n omana väitteenä; Pramaana Labsin ja nimettyjen Erdős-ongelmien yksityiskohdat merkitty vahvistamattomiksi. Ei maisterityösisältöä lisätty — DWS-toteutusta tätä signaalia vasten ei vielä ole. Kumppani:</w:t>
      </w:r>
      <w:r>
        <w:t xml:space="preserve"> </w:t>
      </w:r>
      <w:r>
        <w:rPr>
          <w:rStyle w:val="VerbatimChar"/>
        </w:rPr>
        <w:t xml:space="preserve">docs/field-notes/2026-08-18-gajjala-math-academia-verification-signal.md</w:t>
      </w:r>
      <w:r>
        <w:t xml:space="preserve">. Lukkoaskel 4.02-&gt;4.03.</w:t>
      </w:r>
    </w:p>
    <w:p>
      <w:pPr>
        <w:numPr>
          <w:ilvl w:val="0"/>
          <w:numId w:val="1001"/>
        </w:numPr>
      </w:pPr>
      <w:r>
        <w:t xml:space="preserve">Version: 4.02 | Tool: OpenCode (x-preview-f-free) | Session: pr-1867 admin-docs audit | Date: 22.08.2026 | Changes: Lockstep-korotus 4.01 -&gt; 4.02 kaikissa 4 opinnäytetiedostossa. Sisällöllinen muutos on lisäysluontoinen säännön 12 päivitysmerkintä V3Thesis EN/FI tuotantoagenttien johdantoon (Resend-kuljetus korvattu Amazon SES SMTP:llä, LD-2026-008); ei tohtoritason sisältömuutoksia.</w:t>
      </w:r>
    </w:p>
    <w:p>
      <w:pPr>
        <w:numPr>
          <w:ilvl w:val="0"/>
          <w:numId w:val="1001"/>
        </w:numPr>
      </w:pPr>
      <w:r>
        <w:t xml:space="preserve">Version: 4.01 | Tool: OpenCode | Session: opencode/lifetime-studios | Date: 21.08.2026 | Changes: Lukkokohtainen versionosto 4.00 -&gt; 4.01 kaikissa 4 opinnäytetyötiedostossa CLAUDE.md:n opinnäytetyösäännön mukaan. v4.01:n substanssisisältö (Lifetime Studios -tuotantokone — 25 × 5 -sisältömatriisi, Business Case -kortit, ristiinoppiminen, 800 kantajuttua viiteen kieleen lokalisoituna, Outokumpu-mallin journalistiset reunaehdot, itsevahvistuva ontologia/graafi/LWM-tuotemalli) on toteutuspuolen sisältöä ja kuuluu §1.4 master-vs-PhD-skooppisäännön mukaan V3Thesis §10.31:een (EN ja FI). Ei PhD-skoopin sisältömuutosta; merkitty tähän vain lukkokohtaisena versionostona. Kumppani: docs/LIFETIME_STUDIOS_ADMIN.md.</w:t>
      </w:r>
    </w:p>
    <w:p>
      <w:pPr>
        <w:numPr>
          <w:ilvl w:val="0"/>
          <w:numId w:val="1001"/>
        </w:numPr>
      </w:pPr>
      <w:r>
        <w:t xml:space="preserve">Version: 4.00 | Tool: GitHub Copilot CLI | Session: fix/dgx-opencode-mcp | Date: 13.08.2026 | Changes: Lisätty §14.50 (Valjakka/malli-erottelu, suvereeni paikallinen orkestrointi ja MCP:n negatiivinen kyvykkyys) sekä Avainkontribuutio #55. Tieteellinen kehystys §1.4-skooppisäännön mukaisesti; toteutusvastine on samassa lukkoaskelessa lisätty V3Thesis §10.30. Lukkoaskel 3.99-&gt;4.00.</w:t>
      </w:r>
    </w:p>
    <w:p>
      <w:pPr>
        <w:numPr>
          <w:ilvl w:val="0"/>
          <w:numId w:val="1001"/>
        </w:numPr>
      </w:pPr>
      <w:r>
        <w:t xml:space="preserve">Version: 3.99 | Tool: Claude Code | Session: claude/kya-audit-update | Date: 10.08.2026 | Changes: Lisätty §14.49 (KYA-hallinto, autonomian vaiheistus ja näyttöjen eriytyminen) sekä Avainkontribuutio #54. Markkinasignaali- ja tieteellinen kehystys §1.4-skooppisäännön mukaan. Signaali: KYA-auditointi 10.08.2026. Löydös 1 tunnistaa proaktiivisten advisor-vaiheen herätteiden rajoittamisen tarkastettuun osajoukkoon (compliance, customer-sat, sitesense) välttämättömänä hallintorajoitteena yritystason tekoälyn käyttöönotossa, jättäen muut silent_pilot-tilaan. Löydös 2 selventää, että viiveen (latency) kaltaiset suorituskykymittarit toimivat havainnoitavuustelemetriana pikemminkin kuin suorina syötteinä luottamuspisteytykseen (ATS) pisteytyksen vakauden varmistamiseksi. Löydös 3 korostaa toteutetun järjestelmätilan (69 tuotannossa olevaa rekisteröityä agenttia) ja käsitteellisten markkinaväitteiden (88 kyvykkyyttä/roolia) epistemologista erottamista vaadittuna toimenpiteenä näyttöjen eriytymisen (evidence drift) estämiseksi. Kumppani: V3Thesis §10.29, lisätty samassa lukkoaskelessa. Lukkoaskel (Lockstep) 3.98-&gt;3.99.</w:t>
      </w:r>
    </w:p>
    <w:p>
      <w:pPr>
        <w:numPr>
          <w:ilvl w:val="0"/>
          <w:numId w:val="1001"/>
        </w:numPr>
      </w:pPr>
      <w:r>
        <w:t xml:space="preserve">Version: 3.98 | Tool: Claude Code (Sonnet 5) | Session: claude/arvonluonnin-ajurit-research-hpiipo | Date: 06.08.2026 | Changes: Added §14.48 (Tekstin alkuperälaajennus: konekäännös toisena velvoite–kyvykkyys-instanssina) and Avainkontribuutio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KORJAUS §14.45:een (ulkoinen arvio, Boardy). Aiempi teksti vaitti marginaalisen token-kustannuksen lahestyvan 0 euroa omalla laitteistolla. Se ei ole kirjaimellisesti totta eika kestaisi sijoittaja- tai teknista tarkastelua: sahko, kapasiteetin amortointi, yllapito, mallipalvelu ja pullonkaulat jaavat. Jokainen tallainen vaite III nayoksessa, Loydoksen 2 substraattitaulukossa ja Loydoksen 5 taloustaulukossa on korvattu puolustettavalla muotoilulla - ULKOINEN token-lasku katoaa ja jaannoskustannus on rajattu ja paaosin kiintea, eli ennakoimaton muuttuva veloitus korvautuu ennustettavalla mitoitetulla, EI nollalla. Kanoninen asiakas-/sijoittajalause on kirjattu Loydokseen 5 sanatarkasti. Loydoksen 2 mittausmaarittely laajennettu: syvyyspyyhkaisyn on raportoitava kuusi suuretta toimintapistetta kohti - tokenit/tehtava, latenssi, samanaikaiset tyot, GPU-muistin kaytto, jonotusaika ja euroa per auditointikelpoinen tuotos. Ennen naita 250k-340k syvyysargumentti on arkkitehtuurihypoteesi, ei sijoittajavaite. Lockstep 3.93-&gt;3.94.</w:t>
      </w:r>
    </w:p>
    <w:p>
      <w:pPr>
        <w:numPr>
          <w:ilvl w:val="0"/>
          <w:numId w:val="1001"/>
        </w:numPr>
      </w:pPr>
      <w:r>
        <w:t xml:space="preserve">Version: 3.93 | Tool: Claude Code | Session: claude/enterprise-ai-harness-0anl7s | Date: 30.07.2026 | Changes: Lisatty §14.45 Loydos 5 (DWS-sovellus) ja laajennettu avainkontribuutiota #50 vastaavasti. Esittaa kaksi toimintaprofiilia, jotka valitsevat laskentasubstraatin rakenteellisesti eivatka mieltymyksesta (rajoittamattoman samanaikaisuuden matalan kontekstin kuluttaja-SaaS -&gt; mitatut API:t; rajatun samanaikaisuuden syvan kontekstin sovereign-teollisuusflotat -&gt; omistettu pii, GN-100 / DGX Spark -tier, §14.35), ja vahvistaa etta kiintean laitteiston lapimenopolvi on MITOITETTAVISSA eika poissa, koska flotan samanaikaisuus on kayttoonottoparametri eika julkisen kysynnan funktio. HIC:n toimittamaan argumenttiin lisatty kaksi varausta, jotta se kestaa tarkastelun: (a) mitatut toimittajat VOIVAT hinnoitella uudelleen - provisioitu lapimeno ja varattu kapasiteetti tekevat jo nain - joten laskentatalous yksin ei ole kestava ja puolustettava vaite on laskentatalous PLUS lainkayttoalue (kapasiteettisopimus vastaa laskuun, ei siihen missa evidenssi sijaitsee tai kuka voi sen pakottaa, §14.26/§14.31); (b) polvi on valtettava, ei olematon - vasemmalle mitoittaminen edellyttaa polven sijainnin tuntemista, mika on Loydoksen 2 ajamaton mittaus, joten kyseessa on suunnittelukuri joka odottaa empiirista vakiotaan. Ratkaisee positiointikysymyksen: pelkka harnessin omistaminen pysyy perusvaatimuksena (Loydos 4), KYTKENTA on vallihauta. Lockstep 3.92-&gt;3.93.</w:t>
      </w:r>
    </w:p>
    <w:p>
      <w:pPr>
        <w:numPr>
          <w:ilvl w:val="0"/>
          <w:numId w:val="1001"/>
        </w:numPr>
      </w:pPr>
      <w:r>
        <w:t xml:space="preserve">Version: 3.92 | Tool: Claude Code | Session: claude/enterprise-ai-harness-0anl7s | Date: 30.07.2026 | Changes: Lisatty §14.45 (Harness-maksumuuri ja syvyysarbitraasi) seka avainkontribuutio #50. Markkinasignaali/tieteellinen kehystys §1.4-skooppisaannon mukaan: teesi-antiteesi-synteesi -tarkastelu, joka ketjuttaa kolme verifioitua heinakuun 2026 signaalia - Nadellan harness/malli-erottelu MSFT FY26 Q4 -puhelussa (29.07.2026, sitaatit VAHVISTETTU), Composion kolmen harnessin vertailu (jopa 30-kertainen token-hajonta mallin ja tehtavajoukon ollessa vakiot; TOIMITTAJAN ITSENSA AJAMA, ilmoitettu) ja hybridiattentio-pitkakonteksti-paikallispaattely (Nemotron-Cascade-2-30B-A3B, 1M konteksti, VAHVISTETTU; 250K-syvyyden lapimenokayra on yksittainen toistamaton operaattoriraportti). Loydos 2 esittaa reunaehdon kustannustyypin muunnoksena (muuttuva taloudellinen kustannus -&gt; samanaikaisuus-/jonotuskatto), johtaa sovereign-teollisuustoimintaprofiilin validiusalueesta ja maarittelee kiintean laitteiston polven kahdella mitattavalla siirtymalla (KV-valimuistin kaista vs interaktiivinen lapimeno; muistirajoitteinen generointi vs eraajon jonotus) - tehden syvyysmittauksesta kantavan eika vahvistavan. Loydos 3 kantaa evidenssiepasymmetrian nayosten valilla eksplisiittisesti. Dialektisen kehyksen laatinut Google Gemini, otettu kayttoon HIC:n ohjeella 30.07.2026 ja attribuoitu luvussa §14.24:n mukaisesti. Kumppanit: docs/field-notes/2026-07-30-*.md. Lockstep 3.91-&gt;3.92.</w:t>
      </w:r>
    </w:p>
    <w:p>
      <w:pPr>
        <w:numPr>
          <w:ilvl w:val="0"/>
          <w:numId w:val="1001"/>
        </w:numPr>
      </w:pPr>
      <w:r>
        <w:t xml:space="preserve">Version: 3.91 | Tool: Claude Code | Session: claude/ollama-orchestration-merge-047pj7 | Date: 26.07.2026 | Changes: Lisätty mitigointikappale §14.44:n Löydös 3:een (NVIDIA-supply-keskittymän riski): nimeää ei-NVIDIA-fallback-laskentakerroksen testbed-tasolla (AMD Instinct MI300 ROCm/vLLM; Intel Gaudi 3 SynapseAI) — avoimet base-painot tekevät exit-kustannuksesta osoitettavan ja muuntavat single-vendor-lock-inin hallituksi, auditoitavaksi riippuvuudeksi (KYA-/malli-provenienssipredikaatti, §14.24). Kirjaa IJS-sovereniteettiasteikon (DGX on-prem 100 / NIM EU 55) ja rehellisen varauksen (siirrettävä fallback vahvin LLM-tierille; Cosmos NVFP4 on re-kvantisointi-ja-portaus). Lockstep 3.90→3.91.</w:t>
      </w:r>
    </w:p>
    <w:p>
      <w:pPr>
        <w:numPr>
          <w:ilvl w:val="0"/>
          <w:numId w:val="1001"/>
        </w:numPr>
      </w:pPr>
      <w:r>
        <w:t xml:space="preserve">Version: 3.90 | Tool: Claude Code | Session: claude/ollama-orchestration-merge-047pj7 | Date: 26.07.2026 | Changes: Korjattu §14.44:n sijainti FI:ssä (oli virheellisesti §14.43:n sisällä 3.89-commitissa; siirretty §14.43:n jälkeen) JA nostettu speksit VARMENTAMATTOMASTA VERIFIOITUUN ensisijaislähteillä 26.07.2026 (Cosmos 3 Edge 4B + 2B Nemotron, DGX-Spark-natiivi, julk. 15.07.2026; Cosmos 3 -perheen edge-tier, 16B Nano / 64B Super; DeepSeek-V4-Pro 1,6T / 49B aktiivinen MoE NIM:ssä). Lisätty perhe-tier + physical-AI-tarkennus (§14.35). Lockstep 3.89→3.90.</w:t>
      </w:r>
    </w:p>
    <w:p>
      <w:pPr>
        <w:numPr>
          <w:ilvl w:val="0"/>
          <w:numId w:val="1001"/>
        </w:numPr>
      </w:pPr>
      <w:r>
        <w:t xml:space="preserve">Version: 3.89 | Tool: Claude Code | Session: claude/ollama-orchestration-merge-047pj7 | Date: 26.07.2026 | Changes: Lisätty §14.44 (Laitteessa ajettavan maailmanmallin käännekohta: NVIDIA Cosmos 3 Edge ja LWM:n Build→Adopt-uudelleenkehystys) sekä avainkontribuutio #49. Markkinasignaali/tieteellinen kehystys §1.4-skooppisäännön mukaan: NVIDIAn raportoitu Cosmos 3 Edge (avoin laitteessa ajettava maailmanmalli, ~4B + ~2B Nemotron-reasoner, DGX-Spark-natiivi), Nemotron-perhe, DeepSeek-V4-Pro NVIDIA NIM:ssä ja G4 Blackwell VM:t yhdessä poistavat tarpeen kouluttaa ~55B LWM tyhjästä (Liite E -varmennus) ja siirtävät strategian adoptoi-avoin-reunamaailmanmalli-ja-omista-silmukka -malliin; puolustettavuus siirtyy sovereign first-person -korpukseen + privaatteihin evaluaatioihin + KYA/Article-12-hallintaan (komponoi §14.24/§14.25/§14.26/§14.31/§14.35); terävöittää data-sovereign vs supply-keskittymä -jännitteen (yksi US-toimittaja sekä compute- että mallikerroksessa; ei-EU-alkuperäiset avoimet mallit portitettuina). Speksit kirjattu ULKOISENA, VARMENTAMATTOMANA (käyttäjän raportoimat NVIDIA-ilmoitukset, heinäkuu 2026) — verifioi ensisijaislähteestä ennen levittämistä. Kumppani: docs/field-notes/2026-07-26-cosmos-3-edge-lwm-build-adopt-inflection.md; DGX-eval: docs/pr-cleanup/next-prompts/DGX-cosmos3-edge-lwm-eval-v2.md. Lockstep 3.88→3.89 kaikissa 4 tiedostossa; V3Thesis-tiedostot saavat lockstep-merkinnän. Learn/ HTML-regen ODOTTAA.</w:t>
      </w:r>
    </w:p>
    <w:p>
      <w:pPr>
        <w:numPr>
          <w:ilvl w:val="0"/>
          <w:numId w:val="1001"/>
        </w:numPr>
      </w:pPr>
      <w:r>
        <w:t xml:space="preserve">Version: 3.88 | Tool: Claude Code | Session: claude/ollama-orchestration-merge-047pj7 | Date: 26.07.2026 | Changes: Lockstep-versionosto 3.87 → 3.88 kaikissa 4 opinnäytetyötiedostossa CLAUDE.md:n Thesis-säännön mukaan. Ei sisältömuutosta tähän PhD-tiedostoon: v3.88-lisäys on toteutus-/laitteistonäyttöä (LWM-koulutuslaitteiston todellisuus — GN-100 on reunainferenssi-/kehitysnode ei koulutusklusteri; erillinen on-prem</w:t>
      </w:r>
      <w:r>
        <w:t xml:space="preserve"> </w:t>
      </w:r>
      <w:r>
        <w:t xml:space="preserve">“</w:t>
      </w:r>
      <w:r>
        <w:t xml:space="preserve">Acer Node</w:t>
      </w:r>
      <w:r>
        <w:t xml:space="preserve">”</w:t>
      </w:r>
      <w:r>
        <w:t xml:space="preserve"> </w:t>
      </w:r>
      <w:r>
        <w:t xml:space="preserve">-koulutus on Pending Hardware PR #1720 -varmennuksen mukaan; pilvi GCP A3 Mega on täyskoulutusreitti; realistinen putki = pilvi-esikoulutus/hienosäätö → NVFP4 → GN-100 inferenssi) ja kuuluu §1.4 master-vs-PhD-skooppisäännön mukaan master-opinnäytteeseen V3Thesis Liite E. Kumppani: docs/lab-notes/2026-07-26-lwm-training-hardware-reality.md.</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30"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734"/>
        <w:gridCol w:w="941"/>
        <w:gridCol w:w="206"/>
        <w:gridCol w:w="6037"/>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Start w:id="319" w:name="X4181d4ac6eff094d6917b0a7477baa2d81636aa"/>
    <w:p>
      <w:pPr>
        <w:pStyle w:val="Heading3"/>
      </w:pPr>
      <w:r>
        <w:t xml:space="preserve">14.44 Laitteessa ajettavan maailmanmallin käännekohta: NVIDIA Cosmos 3 Edge ja Lifetime World Modelin Build→Adopt-uudelleenkehystys</w:t>
      </w:r>
    </w:p>
    <w:p>
      <w:pPr>
        <w:pStyle w:val="FirstParagraph"/>
      </w:pPr>
      <w:r>
        <w:rPr>
          <w:bCs/>
          <w:b/>
        </w:rPr>
        <w:t xml:space="preserve">Signaali (ulkoinen, käyttäjän raportoimat NVIDIA-kehittäjäilmoitukset, heinäkuu 2026 — speksit VERIFIOITU ensisijaislähteitä vasten 26.07.2026 (lähteet kumppani-field-notessa); Cosmos 3 Edge on Cosmos 3 -perheen</w:t>
      </w:r>
      <w:r>
        <w:rPr>
          <w:bCs/>
          <w:b/>
        </w:rPr>
        <w:t xml:space="preserve"> </w:t>
      </w:r>
      <w:r>
        <w:t xml:space="preserve">edge-tier** (16B Nano / 64B Super, 31.5.2026) ja</w:t>
      </w:r>
      <w:r>
        <w:t xml:space="preserve"> </w:t>
      </w:r>
      <w:r>
        <w:rPr>
          <w:bCs/>
          <w:b/>
        </w:rPr>
        <w:t xml:space="preserve">fyysisen AI:n</w:t>
      </w:r>
      <w:r>
        <w:t xml:space="preserve"> </w:t>
      </w:r>
      <w:r>
        <w:t xml:space="preserve">maailmanmalli (robotin havainnointi→toiminta, 15 Hz), sopien DWS:n fyysiseen/fleet/Control-Room-puoleen (§14.35)).** NVIDIA esitteli</w:t>
      </w:r>
      <w:r>
        <w:t xml:space="preserve"> </w:t>
      </w:r>
      <w:r>
        <w:rPr>
          <w:bCs/>
          <w:b/>
        </w:rPr>
        <w:t xml:space="preserve">Cosmos 3 Edgen</w:t>
      </w:r>
      <w:r>
        <w:t xml:space="preserve">, avoimen laitteessa ajettavan</w:t>
      </w:r>
      <w:r>
        <w:t xml:space="preserve"> </w:t>
      </w:r>
      <w:r>
        <w:rPr>
          <w:iCs/>
          <w:i/>
        </w:rPr>
        <w:t xml:space="preserve">maailmanmallin</w:t>
      </w:r>
      <w:r>
        <w:t xml:space="preserve">: raportoidusti ~4B parametria sekä ~2B Nemotron-pohjainen reasoner, kohteina robotit (oppiminen + toiminta), autonomiset ajoneuvot (näkymän ymmärrys + aikeen ennustus) ja live-videota päättelevät näköagentit; ajettavissa</w:t>
      </w:r>
      <w:r>
        <w:t xml:space="preserve"> </w:t>
      </w:r>
      <w:r>
        <w:rPr>
          <w:bCs/>
          <w:b/>
        </w:rPr>
        <w:t xml:space="preserve">DGX Sparkilla</w:t>
      </w:r>
      <w:r>
        <w:t xml:space="preserve"> </w:t>
      </w:r>
      <w:r>
        <w:t xml:space="preserve">ja NVIDIA Jetsonilla. Samassa ikkunassa:</w:t>
      </w:r>
      <w:r>
        <w:t xml:space="preserve"> </w:t>
      </w:r>
      <w:r>
        <w:rPr>
          <w:bCs/>
          <w:b/>
        </w:rPr>
        <w:t xml:space="preserve">Nemotron</w:t>
      </w:r>
      <w:r>
        <w:t xml:space="preserve">-avoinmalliperhe (reasonerin pohja);</w:t>
      </w:r>
      <w:r>
        <w:t xml:space="preserve"> </w:t>
      </w:r>
      <w:r>
        <w:rPr>
          <w:bCs/>
          <w:b/>
        </w:rPr>
        <w:t xml:space="preserve">DeepSeek-V4-Pro</w:t>
      </w:r>
      <w:r>
        <w:t xml:space="preserve"> </w:t>
      </w:r>
      <w:r>
        <w:t xml:space="preserve">(raportoidusti ~1,6T parametria) ilmaiseksi Blackwellillä</w:t>
      </w:r>
      <w:r>
        <w:t xml:space="preserve"> </w:t>
      </w:r>
      <w:r>
        <w:rPr>
          <w:bCs/>
          <w:b/>
        </w:rPr>
        <w:t xml:space="preserve">NVIDIA NIM API:n</w:t>
      </w:r>
      <w:r>
        <w:t xml:space="preserve"> </w:t>
      </w:r>
      <w:r>
        <w:t xml:space="preserve">kautta (build.nvidia.com); sekä Google Cloud</w:t>
      </w:r>
      <w:r>
        <w:t xml:space="preserve"> </w:t>
      </w:r>
      <w:r>
        <w:rPr>
          <w:bCs/>
          <w:b/>
        </w:rPr>
        <w:t xml:space="preserve">G4 VM:t</w:t>
      </w:r>
      <w:r>
        <w:t xml:space="preserve"> </w:t>
      </w:r>
      <w:r>
        <w:t xml:space="preserve">RTX PRO 6000 Blackwell -GPU:illa vuokrattavana koulutuspintana.</w:t>
      </w:r>
    </w:p>
    <w:p>
      <w:pPr>
        <w:pStyle w:val="BodyText"/>
      </w:pPr>
      <w:r>
        <w:rPr>
          <w:bCs/>
          <w:b/>
        </w:rPr>
        <w:t xml:space="preserve">Löydös 1 — tämä on adoptointikohde jonka Liite E / §14.35 LWM-suunnitelmasta puuttui.</w:t>
      </w:r>
      <w:r>
        <w:t xml:space="preserve"> </w:t>
      </w:r>
      <w:r>
        <w:t xml:space="preserve">Master-opinnäytteen Liite E -varmennus osoitti, ettei ~55B LWM:ää voi esikouluttaa GN-100:lla (128 GB yhtenäismuisti on inferenssi-, ei koulutusbudjetti) ja että on-prem-täyskoulutus jäi tilaan</w:t>
      </w:r>
      <w:r>
        <w:t xml:space="preserve"> </w:t>
      </w:r>
      <w:r>
        <w:rPr>
          <w:iCs/>
          <w:i/>
        </w:rPr>
        <w:t xml:space="preserve">Pending Hardware</w:t>
      </w:r>
      <w:r>
        <w:t xml:space="preserve">. Cosmos 3 Edge kääntää build-vs-adopt-laskelman: ~6B avoin maailmanmalli, joka on rakennettu juuri sille laitteistolle jota DWS ajaa, poistaa tarpeen esikouluttaa sovereign-maailmanmalli tyhjästä. LWM kehystyy uudelleen:</w:t>
      </w:r>
      <w:r>
        <w:t xml:space="preserve"> </w:t>
      </w:r>
      <w:r>
        <w:rPr>
          <w:iCs/>
          <w:i/>
        </w:rPr>
        <w:t xml:space="preserve">treenaa 55B</w:t>
      </w:r>
      <w:r>
        <w:t xml:space="preserve"> </w:t>
      </w:r>
      <w:r>
        <w:t xml:space="preserve">→</w:t>
      </w:r>
      <w:r>
        <w:t xml:space="preserve"> </w:t>
      </w:r>
      <w:r>
        <w:rPr>
          <w:bCs/>
          <w:b/>
        </w:rPr>
        <w:t xml:space="preserve">adoptoi avoin reunamaailmanmalli ja omista silmukka sen päällä.</w:t>
      </w:r>
    </w:p>
    <w:p>
      <w:pPr>
        <w:pStyle w:val="BodyText"/>
      </w:pPr>
      <w:r>
        <w:rPr>
          <w:bCs/>
          <w:b/>
        </w:rPr>
        <w:t xml:space="preserve">Löydös 2 — vallihauta siirtyy omistettuun silmukkaan (komponoi §14.25, §14.26).</w:t>
      </w:r>
      <w:r>
        <w:t xml:space="preserve"> </w:t>
      </w:r>
      <w:r>
        <w:t xml:space="preserve">Kun avoin base kommodisoituu, puolustettava omaisuus ei ole base vaan DWS-kohtainen kerros: adaptointi sovereign-, suostumushallittuun first-person-operatiiviseen korpukseen (§14.35), privaatit evaluaatiot, RL-ympäristö, KYA-hallinta (ASB/EAB/CSB/SIB) ja Article-12-näyttö. Havaintopääoma kertyy silmukan operaattorille, ei painojen julkaisijalle.</w:t>
      </w:r>
    </w:p>
    <w:p>
      <w:pPr>
        <w:pStyle w:val="BodyText"/>
      </w:pPr>
      <w:r>
        <w:rPr>
          <w:bCs/>
          <w:b/>
        </w:rPr>
        <w:t xml:space="preserve">Löydös 3 — supply-sovereniteetin jännite terävöityy (komponoi §14.31, §14.23).</w:t>
      </w:r>
      <w:r>
        <w:t xml:space="preserve"> </w:t>
      </w:r>
      <w:r>
        <w:t xml:space="preserve">Cosmos/Nemotron-adoptointi säilyttää</w:t>
      </w:r>
      <w:r>
        <w:t xml:space="preserve"> </w:t>
      </w:r>
      <w:r>
        <w:rPr>
          <w:iCs/>
          <w:i/>
        </w:rPr>
        <w:t xml:space="preserve">data</w:t>
      </w:r>
      <w:r>
        <w:t xml:space="preserve">-sovereniteetin (avoimet painot, on-prem, EU-resident) mutta keskittää</w:t>
      </w:r>
      <w:r>
        <w:t xml:space="preserve"> </w:t>
      </w:r>
      <w:r>
        <w:rPr>
          <w:iCs/>
          <w:i/>
        </w:rPr>
        <w:t xml:space="preserve">supply</w:t>
      </w:r>
      <w:r>
        <w:t xml:space="preserve">-sovereniteetin yhdelle US-toimittajalle sekä compute- että mallikerroksessa — altistus jonka §14.31 nimesi compute-päässä, nyt laajennettuna mallipäähän. DeepSeek-V4-Pro NIM:n kautta lisää malli-alkuperälipun (ei-EU-alkuperäiset painot), joka sovereign-käyttöönotossa on portitettava: käytettävissä ei-sensitiiviseen R&amp;D:hen ja benchmarkkaukseen, poissuljettu sovereign-asiakasdatan ytimestä. Tämä ei kaada toimintamallia; se nimeää rajan, jonka malli-provenienssipredikaatin (§14.24) on todistettava.</w:t>
      </w:r>
    </w:p>
    <w:p>
      <w:pPr>
        <w:pStyle w:val="BodyText"/>
      </w:pPr>
      <w:r>
        <w:rPr>
          <w:bCs/>
          <w:b/>
        </w:rPr>
        <w:t xml:space="preserve">Mitigointi — hallittu riippuvuus, ei lock-in.</w:t>
      </w:r>
      <w:r>
        <w:t xml:space="preserve"> </w:t>
      </w:r>
      <w:r>
        <w:t xml:space="preserve">Keskittymä on rajattu eikä absoluuttinen, koska base-painot ovat</w:t>
      </w:r>
      <w:r>
        <w:t xml:space="preserve"> </w:t>
      </w:r>
      <w:r>
        <w:rPr>
          <w:bCs/>
          <w:b/>
        </w:rPr>
        <w:t xml:space="preserve">avoimet</w:t>
      </w:r>
      <w:r>
        <w:t xml:space="preserve">. IJS-sovereniteettiasteikolla (DGX on-prem = 100, NIM EU = 55 — molemmat NVIDIA-stackissa) exit-kustannus</w:t>
      </w:r>
      <w:r>
        <w:t xml:space="preserve"> </w:t>
      </w:r>
      <w:r>
        <w:rPr>
          <w:iCs/>
          <w:i/>
        </w:rPr>
        <w:t xml:space="preserve">osoitetaan</w:t>
      </w:r>
      <w:r>
        <w:t xml:space="preserve">, ei vain väitetä, pitämällä vähintään yksi avoin malli ja yksi työkuorma ajettavana</w:t>
      </w:r>
      <w:r>
        <w:t xml:space="preserve"> </w:t>
      </w:r>
      <w:r>
        <w:rPr>
          <w:bCs/>
          <w:b/>
        </w:rPr>
        <w:t xml:space="preserve">ei-NVIDIA-kiihdyttimellä testbed-tasolla</w:t>
      </w:r>
      <w:r>
        <w:t xml:space="preserve"> </w:t>
      </w:r>
      <w:r>
        <w:t xml:space="preserve">(AMD Instinct MI300 ROCm/vLLM:n kautta tai Intel Gaudi 3 SynapseAI:n kautta). Geneerinen worker-tier (qwen2.5 Ollaman/vLLM:n kautta) on jo täysin siirrettävä; rehellinen varaus on, että Cosmos 3 Edgen NVFP4/TensorRT-polku on NVIDIA-optimoitu, joten siirrettävä fallback on vahvin LLM-/päättelytierille ja re-kvantisointi-ja-portaus-harjoitus fyysisen maailmanmallin tierille. Sekä keskittymän että ylläpidetyn, harjoitellun exitin nimeäminen muuntaa single-vendor-lock-inin</w:t>
      </w:r>
      <w:r>
        <w:t xml:space="preserve"> </w:t>
      </w:r>
      <w:r>
        <w:rPr>
          <w:bCs/>
          <w:b/>
        </w:rPr>
        <w:t xml:space="preserve">hallituksi riippuvuudeksi</w:t>
      </w:r>
      <w:r>
        <w:t xml:space="preserve"> </w:t>
      </w:r>
      <w:r>
        <w:t xml:space="preserve">— joka on itsessään KYA-/malli-provenienssipredikaatti (§14.24), jonka sijoittaja tai asiakas voi auditoida.</w:t>
      </w:r>
    </w:p>
    <w:p>
      <w:pPr>
        <w:pStyle w:val="BodyText"/>
      </w:pPr>
      <w:r>
        <w:rPr>
          <w:bCs/>
          <w:b/>
        </w:rPr>
        <w:t xml:space="preserve">Tutkimuskontribuutio.</w:t>
      </w:r>
      <w:r>
        <w:t xml:space="preserve"> </w:t>
      </w:r>
      <w:r>
        <w:t xml:space="preserve">Nimeää laitteessa ajettavan avoimen maailmanmallin tapahtumaksi, joka muuntaa Lifetime World Modelin koulutusohjelmasta adoptointi-ja-hallintaohjelmaksi, ja tunnistaa puolustettavuuden siirtymän base-painoista omistettuun oppimissilmukkaan — terävöitetyllä data-vs-supply-sovereniteettijaottelulla, jonka neliraiteinen KYA-suite ja malli-provenienssipredikaatti kantavat.</w:t>
      </w:r>
    </w:p>
    <w:p>
      <w:pPr>
        <w:pStyle w:val="BodyText"/>
      </w:pPr>
      <w:r>
        <w:rPr>
          <w:bCs/>
          <w:b/>
        </w:rPr>
        <w:t xml:space="preserve">Avainkontribuutio #49.</w:t>
      </w:r>
      <w:r>
        <w:t xml:space="preserve"> </w:t>
      </w:r>
      <w:r>
        <w:t xml:space="preserve">Build→Adopt-käännekohta sovereign-maailmanmalleille: avoin, reunanatiivi maailmanmalli (NVIDIA Cosmos 3 Edge, ~4B + ~2B Nemotron-reasoner, DGX-Spark-natiivi) korvaa from-scratch 55B LWM -suunnitelman adoptoi-ja-omista-silmukka -mallilla; puolustettavuus siirtyy sovereign first-person -korpukseen, privaatteihin evaluaatioihin ja KYA/Article-12-hallintaan; data-sovereign / supply-keskittymä -jännite (NVIDIA compute- ja mallikerroksessa; ei-EU-alkuperäiset avoimet mallit portitettuina ei-sensitiiviseen käyttöön) nimetään rajaksi, jonka malli-provenienssitodistuksen on ratkaistava.</w:t>
      </w:r>
    </w:p>
    <w:bookmarkEnd w:id="319"/>
    <w:bookmarkStart w:id="320" w:name="X4d9db7cf9df018736a0ff42f2a0ed1db46c5671"/>
    <w:p>
      <w:pPr>
        <w:pStyle w:val="Heading3"/>
      </w:pPr>
      <w:r>
        <w:t xml:space="preserve">14.45 Harness-maksumuuri ja syvyysarbitraasi: teesi–antiteesi–synteesi -tarkastelu siitä, miksi agenttiohjelmisto siirtyy hybridilaskentaan</w:t>
      </w:r>
    </w:p>
    <w:p>
      <w:pPr>
        <w:pStyle w:val="FirstParagraph"/>
      </w:pPr>
      <w:r>
        <w:rPr>
          <w:bCs/>
          <w:b/>
        </w:rPr>
        <w:t xml:space="preserve">Argumenttirakenteen provenienssi (ilmoitettu §14.24:n attribuutiokurin mukaisesti).</w:t>
      </w:r>
      <w:r>
        <w:t xml:space="preserve"> </w:t>
      </w:r>
      <w:r>
        <w:t xml:space="preserve">Tässä luvussa käytetyn kolminäytöksisen dialektisen kehyksen on laatinut</w:t>
      </w:r>
      <w:r>
        <w:t xml:space="preserve"> </w:t>
      </w:r>
      <w:r>
        <w:rPr>
          <w:bCs/>
          <w:b/>
        </w:rPr>
        <w:t xml:space="preserve">Google Gemini</w:t>
      </w:r>
      <w:r>
        <w:t xml:space="preserve">; se toimitettiin HIC:lle ja otettiin käyttöön HIC:n ohjeella (30.07.2026). Taustasignaalit, niiden verifiointi ja Löydöksen 2 reunaehto ovat DWS:n omia. Kehys attribuoidaan eikä sulauteta, koska ulkoiselta mallilta omaksuttu argumenttirakenne on itsessään provenienssiväite — sama standardi, jota tämä väitöskirja soveltaa painoihin ja dataan.</w:t>
      </w:r>
    </w:p>
    <w:p>
      <w:pPr>
        <w:pStyle w:val="BodyText"/>
      </w:pPr>
      <w:r>
        <w:rPr>
          <w:bCs/>
          <w:b/>
        </w:rPr>
        <w:t xml:space="preserve">Signaali (kolme tapahtumaa 08.–30.07.2026; väitekohtainen verifiointi kumppanikenttämuistiinpanoissa).</w:t>
      </w:r>
      <w:r>
        <w:t xml:space="preserve"> </w:t>
      </w:r>
      <w:r>
        <w:t xml:space="preserve">Kahdenkymmenenkahden päivän sisällä kolme toisistaan riippumatonta osapuolta lausui yhden taloudellisen argumentin kolme osaa. Erikseen kukin on vähäpätöinen. Ketjutettuna ne kuvaavat siirtymää.</w:t>
      </w:r>
    </w:p>
    <w:p>
      <w:pPr>
        <w:pStyle w:val="BodyText"/>
      </w:pPr>
      <w:r>
        <w:rPr>
          <w:bCs/>
          <w:b/>
        </w:rPr>
        <w:t xml:space="preserve">I näytös — Teesi: arkkitehtoninen muutos (Nadella, Microsoftin FY26 Q4 -tulospuhelu 29.07.2026; sitaatit VAHVISTETTU).</w:t>
      </w:r>
      <w:r>
        <w:t xml:space="preserve"> </w:t>
      </w:r>
      <w:r>
        <w:t xml:space="preserve">Vastatessaan analyytikon kysymykseen avointen mallien käyttöönotosta yrityksissä Microsoftin toimitusjohtaja kuvasi arkkitehtuuria sen sijaan että olisi puolustanut laboratoriosuhdetta:</w:t>
      </w:r>
      <w:r>
        <w:t xml:space="preserve"> </w:t>
      </w:r>
      <w:r>
        <w:rPr>
          <w:iCs/>
          <w:i/>
        </w:rPr>
        <w:t xml:space="preserve">“</w:t>
      </w:r>
      <w:r>
        <w:rPr>
          <w:iCs/>
          <w:i/>
        </w:rPr>
        <w:t xml:space="preserve">Harness on pidettävä erillään mallista. Harness varmistaa, että muistisi ja kontekstisi ovat sen ulkopuolella. Se tarkoittaa, että mikä tahansa malli on milloin tahansa vaihdettavissa.</w:t>
      </w:r>
      <w:r>
        <w:rPr>
          <w:iCs/>
          <w:i/>
        </w:rPr>
        <w:t xml:space="preserve">”</w:t>
      </w:r>
      <w:r>
        <w:t xml:space="preserve"> </w:t>
      </w:r>
      <w:r>
        <w:t xml:space="preserve">Väite yleistää §14.44:n löydöksen maailmanmalleista ohjelmistoon laajemmin:</w:t>
      </w:r>
      <w:r>
        <w:t xml:space="preserve"> </w:t>
      </w:r>
      <w:r>
        <w:rPr>
          <w:bCs/>
          <w:b/>
        </w:rPr>
        <w:t xml:space="preserve">mallit ovat lyhytikäisiä, harness on pysyvä.</w:t>
      </w:r>
      <w:r>
        <w:t xml:space="preserve"> </w:t>
      </w:r>
      <w:r>
        <w:t xml:space="preserve">Arvo ei kerry puolen vuoden välein korvattaviin painoihin vaan niitä ympäröivään rakennustelineeseen — kontekstin reititykseen, työkalukutsuihin, muistinhallintaan ja tilasilmukoihin. Implikaatio on ohjaava: rakenna harnessia varten. Edeltäjä 08.07.2026: J. Huang kehysti keskustelussa LangChainin H. Chasen kanssa useimmat yritykset harnessien varaan rakentuviksi (vahvistettu välillisesti; sanamuoto raportoidun mukainen).</w:t>
      </w:r>
    </w:p>
    <w:p>
      <w:pPr>
        <w:pStyle w:val="BodyText"/>
      </w:pPr>
      <w:r>
        <w:rPr>
          <w:bCs/>
          <w:b/>
        </w:rPr>
        <w:t xml:space="preserve">II näytös — Antiteesi: taloudellinen kitka (Composion kolmen harnessin vertailu 29.–30.07.2026; toimittajan itsensä ajama — ks. Löydös 3).</w:t>
      </w:r>
      <w:r>
        <w:t xml:space="preserve"> </w:t>
      </w:r>
      <w:r>
        <w:t xml:space="preserve">Sama pysyvä rakennusteline on token-hirviö. Kun malli ja tehtäväjoukko pidettiin vakiona (Kimi K3, 28 identtistä tehtävää) ja vain harnessia vaihdettiin, token-kulutuksen hajonta oli jopa</w:t>
      </w:r>
      <w:r>
        <w:t xml:space="preserve"> </w:t>
      </w:r>
      <w:r>
        <w:rPr>
          <w:bCs/>
          <w:b/>
        </w:rPr>
        <w:t xml:space="preserve">30-kertainen</w:t>
      </w:r>
      <w:r>
        <w:t xml:space="preserve"> </w:t>
      </w:r>
      <w:r>
        <w:t xml:space="preserve">vastaavilla onnistumisasteilla — mediaanit 61k, 67k ja</w:t>
      </w:r>
      <w:r>
        <w:t xml:space="preserve"> </w:t>
      </w:r>
      <w:r>
        <w:rPr>
          <w:bCs/>
          <w:b/>
        </w:rPr>
        <w:t xml:space="preserve">340k</w:t>
      </w:r>
      <w:r>
        <w:t xml:space="preserve"> </w:t>
      </w:r>
      <w:r>
        <w:t xml:space="preserve">tokenia tehtävää kohti, eli noin</w:t>
      </w:r>
      <w:r>
        <w:t xml:space="preserve"> </w:t>
      </w:r>
      <w:r>
        <w:rPr>
          <w:bCs/>
          <w:b/>
        </w:rPr>
        <w:t xml:space="preserve">0,22 $, 0,28 $ ja 2,00 $</w:t>
      </w:r>
      <w:r>
        <w:t xml:space="preserve"> </w:t>
      </w:r>
      <w:r>
        <w:t xml:space="preserve">tehtävältä 3 $/M syötehinnalla. Ristiriita I näytöksen kanssa on suora eikä kumpikaan osapuoli ratkaise sitä:</w:t>
      </w:r>
      <w:r>
        <w:t xml:space="preserve"> </w:t>
      </w:r>
      <w:r>
        <w:rPr>
          <w:bCs/>
          <w:b/>
        </w:rPr>
        <w:t xml:space="preserve">jos harness on se kerros, jossa ohjelmiston arvo sijaitsee, ja harness kuluttaa 340k tokenia tehtävää kohti, niin mitatun API-hinnoittelun oloissa pysyvä kerros on taloudellisesti kestämätön mittakaavassa.</w:t>
      </w:r>
      <w:r>
        <w:t xml:space="preserve"> </w:t>
      </w:r>
      <w:r>
        <w:t xml:space="preserve">Arkkitehtoninen teesi törmää maksumuuriin.</w:t>
      </w:r>
    </w:p>
    <w:p>
      <w:pPr>
        <w:pStyle w:val="BodyText"/>
      </w:pPr>
      <w:r>
        <w:rPr>
          <w:bCs/>
          <w:b/>
        </w:rPr>
        <w:t xml:space="preserve">III näytös — Synteesi: syvyysarbitraasi.</w:t>
      </w:r>
      <w:r>
        <w:t xml:space="preserve"> </w:t>
      </w:r>
      <w:r>
        <w:t xml:space="preserve">Ratkaisu ei ole halvempi harness vaan kustannus</w:t>
      </w:r>
      <w:r>
        <w:rPr>
          <w:iCs/>
          <w:i/>
        </w:rPr>
        <w:t xml:space="preserve">substraatin</w:t>
      </w:r>
      <w:r>
        <w:t xml:space="preserve"> </w:t>
      </w:r>
      <w:r>
        <w:t xml:space="preserve">vaihto. Mitatussa API:ssa 340k tokenia on eksponentiaalinen</w:t>
      </w:r>
      <w:r>
        <w:t xml:space="preserve"> </w:t>
      </w:r>
      <w:r>
        <w:rPr>
          <w:bCs/>
          <w:b/>
        </w:rPr>
        <w:t xml:space="preserve">muuttuva kustannus</w:t>
      </w:r>
      <w:r>
        <w:t xml:space="preserve"> </w:t>
      </w:r>
      <w:r>
        <w:t xml:space="preserve">— lasku, joka kasvaa juuri sen käyttäytymisen mukana, jota I näytös käskee maksimoida. Kiinteällä laitteistolla, joka ajaa arkkitehtuuria jonka läpimeno säilyy syvyydessä,</w:t>
      </w:r>
      <w:r>
        <w:t xml:space="preserve"> </w:t>
      </w:r>
      <w:r>
        <w:rPr>
          <w:bCs/>
          <w:b/>
        </w:rPr>
        <w:t xml:space="preserve">ulkoinen token-lasku katoaa</w:t>
      </w:r>
      <w:r>
        <w:t xml:space="preserve"> </w:t>
      </w:r>
      <w:r>
        <w:t xml:space="preserve">ja jäljelle jää rajattu, pääosin kiinteä kustannuspohja — sähkö, kapasiteetin amortointi, ylläpito, mallipalvelu. Väite ei ole se, että marginaalikustannus olisi nolla: se on, että ennakoimaton muuttuva veloitus korvautuu</w:t>
      </w:r>
      <w:r>
        <w:t xml:space="preserve"> </w:t>
      </w:r>
      <w:r>
        <w:rPr>
          <w:bCs/>
          <w:b/>
        </w:rPr>
        <w:t xml:space="preserve">ennustettavalla, mitoitetulla</w:t>
      </w:r>
      <w:r>
        <w:t xml:space="preserve">. Samat 340k tokenia lakkaavat siis olemasta</w:t>
      </w:r>
      <w:r>
        <w:t xml:space="preserve"> </w:t>
      </w:r>
      <w:r>
        <w:rPr>
          <w:iCs/>
          <w:i/>
        </w:rPr>
        <w:t xml:space="preserve">elastinen taloudellinen altistuma</w:t>
      </w:r>
      <w:r>
        <w:t xml:space="preserve"> </w:t>
      </w:r>
      <w:r>
        <w:t xml:space="preserve">ja muuttuvat</w:t>
      </w:r>
      <w:r>
        <w:t xml:space="preserve"> </w:t>
      </w:r>
      <w:r>
        <w:rPr>
          <w:iCs/>
          <w:i/>
        </w:rPr>
        <w:t xml:space="preserve">suoritusajan allokaatioksi</w:t>
      </w:r>
      <w:r>
        <w:t xml:space="preserve"> </w:t>
      </w:r>
      <w:r>
        <w:t xml:space="preserve">jo varattua kapasiteettia vastaan. Sama määrä, vastakkainen etumerkki. Mahdollistavat ehdot ovat arkkitehtonisia ja avoimet mallit täyttävät ne nyt: alikvadraattinen attentio (hybridit Mamba-2/attentio-rakenteet kuten Nemotron-Cascade-2-30B-A3B — 30B MoE / ~3B aktiivista, 1M konteksti, VAHVISTETTU) tekee suuresta ikkunasta taloudellisesti käyttökelpoisen, koska N²-attention alla nimellinen ikkuna eroaa toimivasta ikkunasta; ja päättelymoottori, joka säilyttää läpimenon kontekstin kertyessä, muuntaa ikkunan spesifikaatiosta kyvykkyydeksi.</w:t>
      </w:r>
    </w:p>
    <w:p>
      <w:pPr>
        <w:pStyle w:val="BodyText"/>
      </w:pPr>
      <w:r>
        <w:rPr>
          <w:bCs/>
          <w:b/>
        </w:rPr>
        <w:t xml:space="preserve">Löydös 1 — kolme näytöstä ovat yksi argumentti ja menettävät voimansa erotettuina.</w:t>
      </w:r>
      <w:r>
        <w:t xml:space="preserve"> </w:t>
      </w:r>
      <w:r>
        <w:t xml:space="preserve">I näytös yksin lukeutuu yritysohjelmistostrategiaksi. II näytös yksin varoitukseksi paisumisesta ja API-laskushokista. III näytös yksin tekniseksi tulokseksi paikallisen päättelyn läpimenosta. Ketjutettuna ne muodostavat yhden taloudellisen teesin, jolla on suunta:</w:t>
      </w:r>
      <w:r>
        <w:t xml:space="preserve"> </w:t>
      </w:r>
      <w:r>
        <w:rPr>
          <w:bCs/>
          <w:b/>
        </w:rPr>
        <w:t xml:space="preserve">harness on pysyvä kerros (I), sen token-intensiteetti on diskvalifioiva mitatussa hinnoittelussa (II), ja ratkaisu on siirtymä kohti hybridi- ja sovereign-laskentaa (III).</w:t>
      </w:r>
      <w:r>
        <w:t xml:space="preserve"> </w:t>
      </w:r>
      <w:r>
        <w:t xml:space="preserve">Tämä on väite toimialan rakenteesta, ei tuotteesta.</w:t>
      </w:r>
    </w:p>
    <w:p>
      <w:pPr>
        <w:pStyle w:val="BodyText"/>
      </w:pPr>
      <w:r>
        <w:rPr>
          <w:bCs/>
          <w:b/>
        </w:rPr>
        <w:t xml:space="preserve">Löydös 2 — arbitraasi on kustannustyypin muunnos reunaehtoineen, ei universaali laki.</w:t>
      </w:r>
      <w:r>
        <w:t xml:space="preserve"> </w:t>
      </w:r>
      <w:r>
        <w:t xml:space="preserve">Synteesi ei poista kustannusta; se vaihtaa kustannuksen</w:t>
      </w:r>
      <w:r>
        <w:t xml:space="preserve"> </w:t>
      </w:r>
      <w:r>
        <w:rPr>
          <w:iCs/>
          <w:i/>
        </w:rPr>
        <w:t xml:space="preserve">lajin</w:t>
      </w:r>
      <w:r>
        <w:t xml:space="preserve">, ja rehellinen muotoilu nimeää fysiikan sen sijaan että sivuuttaisi sen. Laitteistolla on äärellinen muistikaista ja äärellinen määrä laskentayksiköitä, joten väite</w:t>
      </w:r>
      <w:r>
        <w:t xml:space="preserve"> </w:t>
      </w:r>
      <w:r>
        <w:t xml:space="preserve">“</w:t>
      </w:r>
      <w:r>
        <w:t xml:space="preserve">hybridiattentio tekee syvyydestä ilmaista</w:t>
      </w:r>
      <w:r>
        <w:t xml:space="preserve">”</w:t>
      </w:r>
      <w:r>
        <w:t xml:space="preserve"> </w:t>
      </w:r>
      <w:r>
        <w:t xml:space="preserve">on sellaisenaan väärä. Totta on muunnos:</w:t>
      </w:r>
    </w:p>
    <w:tbl>
      <w:tblPr>
        <w:tblStyle w:val="Table"/>
        <w:tblW w:type="pct" w:w="5000"/>
        <w:tblLook w:firstRow="1" w:lastRow="0" w:firstColumn="0" w:lastColumn="0" w:noHBand="0" w:noVBand="0" w:val="0020"/>
        <w:jc w:val="start"/>
      </w:tblPr>
      <w:tblGrid>
        <w:gridCol w:w="742"/>
        <w:gridCol w:w="3588"/>
        <w:gridCol w:w="1089"/>
        <w:gridCol w:w="2499"/>
      </w:tblGrid>
      <w:tr>
        <w:trPr>
          <w:tblHeader w:val="true"/>
        </w:trPr>
        <w:tc>
          <w:tcPr/>
          <w:p>
            <w:pPr>
              <w:pStyle w:val="Compact"/>
              <w:jc w:val="left"/>
            </w:pPr>
            <w:r>
              <w:t xml:space="preserve">Substraatti</w:t>
            </w:r>
          </w:p>
        </w:tc>
        <w:tc>
          <w:tcPr/>
          <w:p>
            <w:pPr>
              <w:pStyle w:val="Compact"/>
              <w:jc w:val="left"/>
            </w:pPr>
            <w:r>
              <w:t xml:space="preserve">Taloudellinen käyttäytyminen</w:t>
            </w:r>
          </w:p>
        </w:tc>
        <w:tc>
          <w:tcPr/>
          <w:p>
            <w:pPr>
              <w:pStyle w:val="Compact"/>
              <w:jc w:val="left"/>
            </w:pPr>
            <w:r>
              <w:t xml:space="preserve">Samanaikaisuuskäyttäytyminen</w:t>
            </w:r>
          </w:p>
        </w:tc>
        <w:tc>
          <w:tcPr/>
          <w:p>
            <w:pPr>
              <w:pStyle w:val="Compact"/>
              <w:jc w:val="left"/>
            </w:pPr>
            <w:r>
              <w:t xml:space="preserve">Vaihtokauppa</w:t>
            </w:r>
          </w:p>
        </w:tc>
      </w:tr>
      <w:tr>
        <w:tc>
          <w:tcPr/>
          <w:p>
            <w:pPr>
              <w:pStyle w:val="Compact"/>
              <w:jc w:val="left"/>
            </w:pPr>
            <w:r>
              <w:rPr>
                <w:bCs/>
                <w:b/>
              </w:rPr>
              <w:t xml:space="preserve">Mitattu pilvi-API</w:t>
            </w:r>
          </w:p>
        </w:tc>
        <w:tc>
          <w:tcPr/>
          <w:p>
            <w:pPr>
              <w:pStyle w:val="Compact"/>
              <w:jc w:val="left"/>
            </w:pPr>
            <w:r>
              <w:t xml:space="preserve">Lineaarinen taloudellinen joustavuus — kustannus skaalautuu tokenien mukana</w:t>
            </w:r>
          </w:p>
        </w:tc>
        <w:tc>
          <w:tcPr/>
          <w:p>
            <w:pPr>
              <w:pStyle w:val="Compact"/>
              <w:jc w:val="left"/>
            </w:pPr>
            <w:r>
              <w:t xml:space="preserve">Lähes rajaton horisontaalinen samanaikaisuus</w:t>
            </w:r>
          </w:p>
        </w:tc>
        <w:tc>
          <w:tcPr/>
          <w:p>
            <w:pPr>
              <w:pStyle w:val="Compact"/>
              <w:jc w:val="left"/>
            </w:pPr>
            <w:r>
              <w:t xml:space="preserve">Pääomaa vaihdetaan kapasiteettiin</w:t>
            </w:r>
          </w:p>
        </w:tc>
      </w:tr>
      <w:tr>
        <w:tc>
          <w:tcPr/>
          <w:p>
            <w:pPr>
              <w:pStyle w:val="Compact"/>
              <w:jc w:val="left"/>
            </w:pPr>
            <w:r>
              <w:rPr>
                <w:bCs/>
                <w:b/>
              </w:rPr>
              <w:t xml:space="preserve">Sovereign-/hybridimoottori</w:t>
            </w:r>
          </w:p>
        </w:tc>
        <w:tc>
          <w:tcPr/>
          <w:p>
            <w:pPr>
              <w:pStyle w:val="Compact"/>
              <w:jc w:val="left"/>
            </w:pPr>
            <w:r>
              <w:t xml:space="preserve">Ei ulkoista token-laskutusta; jäännöskustannus on rajattu ja pääosin kiinteä (sähkö, amortointi, ylläpito, mallipalvelu) — ennustettava, ei nolla</w:t>
            </w:r>
          </w:p>
        </w:tc>
        <w:tc>
          <w:tcPr/>
          <w:p>
            <w:pPr>
              <w:pStyle w:val="Compact"/>
              <w:jc w:val="left"/>
            </w:pPr>
            <w:r>
              <w:t xml:space="preserve">Tiukat samanaikaisuusrajat</w:t>
            </w:r>
          </w:p>
        </w:tc>
        <w:tc>
          <w:tcPr/>
          <w:p>
            <w:pPr>
              <w:pStyle w:val="Compact"/>
              <w:jc w:val="left"/>
            </w:pPr>
            <w:r>
              <w:t xml:space="preserve">Horisontaalinen huippuskaala vaihdetaan ennustettavaan, mitoitettuun suoritukseen suurella syvyydellä</w:t>
            </w:r>
          </w:p>
        </w:tc>
      </w:tr>
    </w:tbl>
    <w:p>
      <w:pPr>
        <w:pStyle w:val="BodyText"/>
      </w:pPr>
      <w:r>
        <w:t xml:space="preserve">Kuoletettu latenssi on siis ilmaista vain siellä missä on löysää. Riittävän suurella samanaikaisuudella kuoletus muuttuu</w:t>
      </w:r>
      <w:r>
        <w:t xml:space="preserve"> </w:t>
      </w:r>
      <w:r>
        <w:rPr>
          <w:bCs/>
          <w:b/>
        </w:rPr>
        <w:t xml:space="preserve">jonotusrajoitteeksi</w:t>
      </w:r>
      <w:r>
        <w:t xml:space="preserve">, ja kiinteän laitteiston käyrässä on polvi, jota mitatussa käyrässä ei ole: sen jälkeen marginaalityö maksetaan seinäkellossa ja menetettynä läpimenona, ei euroina. Arbitraasi pätee siellä missä</w:t>
      </w:r>
      <w:r>
        <w:t xml:space="preserve"> </w:t>
      </w:r>
      <w:r>
        <w:rPr>
          <w:bCs/>
          <w:b/>
        </w:rPr>
        <w:t xml:space="preserve">tehtäväkohtainen kontekstisyvyys on suuri ja samanaikaisuus rajattu</w:t>
      </w:r>
      <w:r>
        <w:t xml:space="preserve">, ja pettää horisontaalisilla, korkean samanaikaisuuden kuormilla.</w:t>
      </w:r>
    </w:p>
    <w:p>
      <w:pPr>
        <w:pStyle w:val="BodyText"/>
      </w:pPr>
      <w:r>
        <w:rPr>
          <w:bCs/>
          <w:b/>
        </w:rPr>
        <w:t xml:space="preserve">Tämä myös valitsee toimintaprofiilin, ja valinta on rakenteellinen eikä mieltymyskysymys.</w:t>
      </w:r>
      <w:r>
        <w:t xml:space="preserve"> </w:t>
      </w:r>
      <w:r>
        <w:t xml:space="preserve">Kuluttaja-B2C-agentit tuottavat ennakoimattomia korkean samanaikaisuuden purskeita suhteellisen matalalla kontekstilla — kuorma, jonka muotoon mitatut API:t sopivat oikein. Teollisuusflotta suorittaa syviä, monivaiheisia harness-tehtäviä (Composion 340k tokenin mediaani on edustava luku)</w:t>
      </w:r>
      <w:r>
        <w:t xml:space="preserve"> </w:t>
      </w:r>
      <w:r>
        <w:rPr>
          <w:iCs/>
          <w:i/>
        </w:rPr>
        <w:t xml:space="preserve">rajatulla</w:t>
      </w:r>
      <w:r>
        <w:t xml:space="preserve"> </w:t>
      </w:r>
      <w:r>
        <w:t xml:space="preserve">määrällä erikoistuneita operaattoreita. Kiinteän laitteiston polvi ei sido, koska toimintaparametrit ovat tiukasti sen vasemmalla puolella. Arkkitehtuuri on suunniteltu sovereign-teollisuus-B2B:lle ei mieltymyksestä vaan siksi, että se on alue jolla arbitraasi on validi (§14.35, §14.26).</w:t>
      </w:r>
    </w:p>
    <w:p>
      <w:pPr>
        <w:pStyle w:val="BodyText"/>
      </w:pPr>
      <w:r>
        <w:rPr>
          <w:bCs/>
          <w:b/>
        </w:rPr>
        <w:t xml:space="preserve">Näin ollen syvyysmittaus on kantava eikä vahvistava: sen tarkoitus on paikantaa polvi.</w:t>
      </w:r>
      <w:r>
        <w:t xml:space="preserve"> </w:t>
      </w:r>
      <w:r>
        <w:t xml:space="preserve">Kaksi kysymystä määrittelee sen, ja ne koskevat mekanismia, eivät pistemäärää:</w:t>
      </w:r>
    </w:p>
    <w:p>
      <w:pPr>
        <w:numPr>
          <w:ilvl w:val="0"/>
          <w:numId w:val="1096"/>
        </w:numPr>
        <w:pStyle w:val="Compact"/>
      </w:pPr>
      <w:r>
        <w:t xml:space="preserve">Millä kontekstipituudella</w:t>
      </w:r>
      <w:r>
        <w:t xml:space="preserve"> </w:t>
      </w:r>
      <w:r>
        <w:rPr>
          <w:iCs/>
          <w:i/>
        </w:rPr>
        <w:t xml:space="preserve">d</w:t>
      </w:r>
      <w:r>
        <w:t xml:space="preserve"> </w:t>
      </w:r>
      <w:r>
        <w:t xml:space="preserve">KV-välimuistin muistikaistan kulutus painaa tokenien generoinnin alle interaktiivisen läpimenokynnyksen?</w:t>
      </w:r>
    </w:p>
    <w:p>
      <w:pPr>
        <w:numPr>
          <w:ilvl w:val="0"/>
          <w:numId w:val="1096"/>
        </w:numPr>
        <w:pStyle w:val="Compact"/>
      </w:pPr>
      <w:r>
        <w:t xml:space="preserve">Missä tapahtuu siirtymä muistirajoitteisesta generoinnista eräajon aiheuttamaan jonotusviiveeseen?</w:t>
      </w:r>
    </w:p>
    <w:p>
      <w:pPr>
        <w:pStyle w:val="FirstParagraph"/>
      </w:pPr>
      <w:r>
        <w:t xml:space="preserve">Pyyhkäisyn on raportoitava kuusi suuretta toimintapistettä kohti, ei yhtä läpimenolukua:</w:t>
      </w:r>
      <w:r>
        <w:t xml:space="preserve"> </w:t>
      </w:r>
      <w:r>
        <w:rPr>
          <w:bCs/>
          <w:b/>
        </w:rPr>
        <w:t xml:space="preserve">tokenit per tehtävä, latenssi, samanaikaiset työt, GPU-muistin käyttöaste, jonotusaika ja € per auditointikelpoinen tuotos.</w:t>
      </w:r>
      <w:r>
        <w:t xml:space="preserve"> </w:t>
      </w:r>
      <w:r>
        <w:t xml:space="preserve">Viimeinen muuntaa tuloksen järjestelmäbenchmarkista kaupalliseksi väitteeksi, koska se on yksikkö, jonka teollinen ostaja tosiasiassa hankkii. Ennen kuin nämä kuusi ovat olemassa DWS:n omalle laitteistolle, 250k–340k syvyysargumentti on</w:t>
      </w:r>
      <w:r>
        <w:t xml:space="preserve"> </w:t>
      </w:r>
      <w:r>
        <w:rPr>
          <w:bCs/>
          <w:b/>
        </w:rPr>
        <w:t xml:space="preserve">arkkitehtuurihypoteesi, ei sijoittajaväite</w:t>
      </w:r>
      <w:r>
        <w:t xml:space="preserve">, ja se on merkittävä sellaiseksi kaikkialla missä se esiintyy.</w:t>
      </w:r>
    </w:p>
    <w:p>
      <w:pPr>
        <w:pStyle w:val="BodyText"/>
      </w:pPr>
      <w:r>
        <w:t xml:space="preserve">Näihin vastaava pyyhkäisy muuntaa Avainkontribuution #50 positiointiväitteestä</w:t>
      </w:r>
      <w:r>
        <w:t xml:space="preserve"> </w:t>
      </w:r>
      <w:r>
        <w:rPr>
          <w:bCs/>
          <w:b/>
        </w:rPr>
        <w:t xml:space="preserve">empiiriseksi kapasiteettisuunnittelumalliksi yritysten agenttiharnesseille</w:t>
      </w:r>
      <w:r>
        <w:t xml:space="preserve"> </w:t>
      </w:r>
      <w:r>
        <w:t xml:space="preserve">— toimintakirjekuoreksi, jonka sisällä sovereign-harness on taloudellisesti hallitseva ja jonka ulkopuolella ei. Vikatilan nimeäminen tekee kontribuutiosta falsifioituvan eikä mainosmaisen.</w:t>
      </w:r>
    </w:p>
    <w:p>
      <w:pPr>
        <w:pStyle w:val="BodyText"/>
      </w:pPr>
      <w:r>
        <w:rPr>
          <w:bCs/>
          <w:b/>
        </w:rPr>
        <w:t xml:space="preserve">Löydös 3 — näytösten välinen evidenssiepäsymmetria on kannettava, ei tasoitettava.</w:t>
      </w:r>
      <w:r>
        <w:t xml:space="preserve"> </w:t>
      </w:r>
      <w:r>
        <w:t xml:space="preserve">Kolme näytöstä eivät lepää yhtä lujalla pohjalla, eikä argumentti saa esittää niitä kuin lepäisivät. I näytös on verifioitu ensisijainen sitaatti julkisesta tulospuhelusta. II näytös on</w:t>
      </w:r>
      <w:r>
        <w:t xml:space="preserve"> </w:t>
      </w:r>
      <w:r>
        <w:rPr>
          <w:bCs/>
          <w:b/>
        </w:rPr>
        <w:t xml:space="preserve">toimittajan itsensä ajama vertailu</w:t>
      </w:r>
      <w:r>
        <w:t xml:space="preserve">: julkaisijan oma harness oli testattujen joukossa ja sijoittui kärkeen; tehtäväjoukkoa, onnistumiskriteerejä, uudelleenyrityspolitiikkaa ja harness-kohtaista työkalukuormaa ei ole julkaistu; kyseessä on yksi malli ja yksi ajo. III näytöksen arkkitehtoniset spesifikaatiot on vahvistettu ensisijaislähteistä, mutta sen kantava läpimeno-syvyydessä-mittaus on</w:t>
      </w:r>
      <w:r>
        <w:t xml:space="preserve"> </w:t>
      </w:r>
      <w:r>
        <w:rPr>
          <w:bCs/>
          <w:b/>
        </w:rPr>
        <w:t xml:space="preserve">yksittäinen toistamaton operaattoriraportti</w:t>
      </w:r>
      <w:r>
        <w:t xml:space="preserve">. Dialektiikka kestää tämän epäsymmetrian, koska sen suunta ei riipu II näytöksen tarkasta kertoimesta — 5-kertainen hajonta implikoi saman siirtymän kuin 30-kertainen — mutta mikä tahansa uudelleenesitys, joka esittää 30-kertaisuuden vakiintuneena vakiona, vääristää evidenssiä.</w:t>
      </w:r>
    </w:p>
    <w:p>
      <w:pPr>
        <w:pStyle w:val="BodyText"/>
      </w:pPr>
      <w:r>
        <w:rPr>
          <w:bCs/>
          <w:b/>
        </w:rPr>
        <w:t xml:space="preserve">Löydös 4 — strateginen seuraus DWS:lle on vähentävä.</w:t>
      </w:r>
      <w:r>
        <w:t xml:space="preserve"> </w:t>
      </w:r>
      <w:r>
        <w:t xml:space="preserve">Jos I näytös pitää paikkansa, harnessin omistaminen ei ole erottautumistekijä: vakiintunut toimija, joka sen lausui, myy sekä harnessin että mallit, mikä tekee harness-/vaihdettavuuskielestä perusvaatimuksen 29.07.2026 alkaen. Puolustettavaksi jää kapeampi ja §14.44:n johtopäätöksestä muuttumaton asia —</w:t>
      </w:r>
      <w:r>
        <w:t xml:space="preserve"> </w:t>
      </w:r>
      <w:r>
        <w:rPr>
          <w:bCs/>
          <w:b/>
        </w:rPr>
        <w:t xml:space="preserve">sovereign compliance -evidenssisilmukka</w:t>
      </w:r>
      <w:r>
        <w:t xml:space="preserve">: privaatit evaluaatiot, RL-ympäristö asiakkaan omalla operatiivisella korpuksella, KYA-hallinta ja Article 12 -evidenssiketju. Evidenssi on lainkäyttöaluesidonnaista; horisontaalinen harness ei ole. III näytös tuottaa talouden, joka tekee tuon silmukan ajamisesta kohtuuhintaista sillä syvyydellä, jota compliance-evidenssi tosiasiassa vaatii.</w:t>
      </w:r>
    </w:p>
    <w:p>
      <w:pPr>
        <w:pStyle w:val="BodyText"/>
      </w:pPr>
      <w:r>
        <w:rPr>
          <w:bCs/>
          <w:b/>
        </w:rPr>
        <w:t xml:space="preserve">Löydös 5 — DWS-sovellus: kaksi toimintaprofiilia ja miksi vallihauta on kytkentä eikä harness.</w:t>
      </w:r>
      <w:r>
        <w:t xml:space="preserve"> </w:t>
      </w:r>
      <w:r>
        <w:t xml:space="preserve">Löydöksen 2 yleinen tulos konkretisoituu, kun kaksi kuormaprofiilia asetetaan rinnakkain, sillä ne valitsevat eri substraatin rakenteellisista eikä kaupallisen mieltymyksen syistä.</w:t>
      </w:r>
    </w:p>
    <w:tbl>
      <w:tblPr>
        <w:tblStyle w:val="Table"/>
        <w:tblW w:type="pct" w:w="5000"/>
        <w:tblLook w:firstRow="1" w:lastRow="0" w:firstColumn="0" w:lastColumn="0" w:noHBand="0" w:noVBand="0" w:val="0020"/>
        <w:jc w:val="start"/>
      </w:tblPr>
      <w:tblGrid>
        <w:gridCol w:w="876"/>
        <w:gridCol w:w="2791"/>
        <w:gridCol w:w="4252"/>
      </w:tblGrid>
      <w:tr>
        <w:trPr>
          <w:tblHeader w:val="true"/>
        </w:trPr>
        <w:tc>
          <w:tcPr/>
          <w:p>
            <w:pPr>
              <w:pStyle w:val="Compact"/>
            </w:pPr>
          </w:p>
        </w:tc>
        <w:tc>
          <w:tcPr/>
          <w:p>
            <w:pPr>
              <w:pStyle w:val="Compact"/>
              <w:jc w:val="left"/>
            </w:pPr>
            <w:r>
              <w:rPr>
                <w:bCs/>
                <w:b/>
              </w:rPr>
              <w:t xml:space="preserve">Julkinen B2C-SaaS</w:t>
            </w:r>
            <w:r>
              <w:t xml:space="preserve"> </w:t>
            </w:r>
            <w:r>
              <w:t xml:space="preserve">(mitatun pilven alue)</w:t>
            </w:r>
          </w:p>
        </w:tc>
        <w:tc>
          <w:tcPr/>
          <w:p>
            <w:pPr>
              <w:pStyle w:val="Compact"/>
              <w:jc w:val="left"/>
            </w:pPr>
            <w:r>
              <w:rPr>
                <w:bCs/>
                <w:b/>
              </w:rPr>
              <w:t xml:space="preserve">Sovereign-teollisuusflotta</w:t>
            </w:r>
            <w:r>
              <w:t xml:space="preserve"> </w:t>
            </w:r>
            <w:r>
              <w:t xml:space="preserve">(kiinteän laitteiston alue)</w:t>
            </w:r>
          </w:p>
        </w:tc>
      </w:tr>
      <w:tr>
        <w:tc>
          <w:tcPr/>
          <w:p>
            <w:pPr>
              <w:pStyle w:val="Compact"/>
              <w:jc w:val="left"/>
            </w:pPr>
            <w:r>
              <w:t xml:space="preserve">Kysynnän muoto</w:t>
            </w:r>
          </w:p>
        </w:tc>
        <w:tc>
          <w:tcPr/>
          <w:p>
            <w:pPr>
              <w:pStyle w:val="Compact"/>
              <w:jc w:val="left"/>
            </w:pPr>
            <w:r>
              <w:t xml:space="preserve">Miljoonia ulkoisia käyttäjiä; äkillisiä, ennakoimattomia piikkejä</w:t>
            </w:r>
          </w:p>
        </w:tc>
        <w:tc>
          <w:tcPr/>
          <w:p>
            <w:pPr>
              <w:pStyle w:val="Compact"/>
              <w:jc w:val="left"/>
            </w:pPr>
            <w:r>
              <w:rPr>
                <w:bCs/>
                <w:b/>
              </w:rPr>
              <w:t xml:space="preserve">Tunnettu, rajattu</w:t>
            </w:r>
            <w:r>
              <w:t xml:space="preserve"> </w:t>
            </w:r>
            <w:r>
              <w:t xml:space="preserve">joukko sisäisiä agentteja — operaattorimäärä, jonka käyttöönottaja asettaa</w:t>
            </w:r>
          </w:p>
        </w:tc>
      </w:tr>
      <w:tr>
        <w:tc>
          <w:tcPr/>
          <w:p>
            <w:pPr>
              <w:pStyle w:val="Compact"/>
              <w:jc w:val="left"/>
            </w:pPr>
            <w:r>
              <w:t xml:space="preserve">Konteksti per vuorovaikutus</w:t>
            </w:r>
          </w:p>
        </w:tc>
        <w:tc>
          <w:tcPr/>
          <w:p>
            <w:pPr>
              <w:pStyle w:val="Compact"/>
              <w:jc w:val="left"/>
            </w:pPr>
            <w:r>
              <w:t xml:space="preserve">Matala, ~1k–4k tokenia</w:t>
            </w:r>
          </w:p>
        </w:tc>
        <w:tc>
          <w:tcPr/>
          <w:p>
            <w:pPr>
              <w:pStyle w:val="Compact"/>
              <w:jc w:val="left"/>
            </w:pPr>
            <w:r>
              <w:t xml:space="preserve">Syviä, monivaiheisia harness-työnkulkuja — II näytöksen 340k tokenin mediaani</w:t>
            </w:r>
          </w:p>
        </w:tc>
      </w:tr>
      <w:tr>
        <w:tc>
          <w:tcPr/>
          <w:p>
            <w:pPr>
              <w:pStyle w:val="Compact"/>
              <w:jc w:val="left"/>
            </w:pPr>
            <w:r>
              <w:t xml:space="preserve">Sitova vaatimus</w:t>
            </w:r>
          </w:p>
        </w:tc>
        <w:tc>
          <w:tcPr/>
          <w:p>
            <w:pPr>
              <w:pStyle w:val="Compact"/>
              <w:jc w:val="left"/>
            </w:pPr>
            <w:r>
              <w:t xml:space="preserve">Elastinen kapasiteetti satunnaisiin samanaikaisuuspiikkeihin</w:t>
            </w:r>
          </w:p>
        </w:tc>
        <w:tc>
          <w:tcPr/>
          <w:p>
            <w:pPr>
              <w:pStyle w:val="Compact"/>
              <w:jc w:val="left"/>
            </w:pPr>
            <w:r>
              <w:t xml:space="preserve">Ennustettava suoritus syvyydessä</w:t>
            </w:r>
          </w:p>
        </w:tc>
      </w:tr>
      <w:tr>
        <w:tc>
          <w:tcPr/>
          <w:p>
            <w:pPr>
              <w:pStyle w:val="Compact"/>
              <w:jc w:val="left"/>
            </w:pPr>
            <w:r>
              <w:t xml:space="preserve">Oikea talous</w:t>
            </w:r>
          </w:p>
        </w:tc>
        <w:tc>
          <w:tcPr/>
          <w:p>
            <w:pPr>
              <w:pStyle w:val="Compact"/>
              <w:jc w:val="left"/>
            </w:pPr>
            <w:r>
              <w:t xml:space="preserve">Sentin murto-osat per token voittaa ruuhka-ajan ulkopuolella tyhjäkäyvät GPU-klusterit</w:t>
            </w:r>
          </w:p>
        </w:tc>
        <w:tc>
          <w:tcPr/>
          <w:p>
            <w:pPr>
              <w:pStyle w:val="Compact"/>
              <w:jc w:val="left"/>
            </w:pPr>
            <w:r>
              <w:t xml:space="preserve">Ei ulkoista token-altistumaa jo hankitulla piillä — rajattu eikä nolla kustannus; per-token-laskutus 340k syvyydellä tuhoaa katteen</w:t>
            </w:r>
          </w:p>
        </w:tc>
      </w:tr>
    </w:tbl>
    <w:p>
      <w:pPr>
        <w:pStyle w:val="BodyText"/>
      </w:pPr>
      <w:r>
        <w:t xml:space="preserve">DWS IQ ei rakenna julkista kuluttajachattia. Se ottaa käyttöön rajattuja flottia erikoistuneita agentteja, jotka ajavat syviä monivaiheisia työnkulkuja — sääntelyauditointeja, moniagenttisia tilasilmukoita, pitkiä tietueita päätteleviä evidenssiketjuja — sovereign-infrastruktuurilla (GN-100 / DGX Spark -tier, §14.35). Mitatussa hinnoittelussa 340k tokenin mediaani on eksponentiaalinen muuttuva vero ennakoimattomalla laskualtistuksella; omistetulla piillä samat tokenit ovat kuoletettua latenssia rajattua kustannuspohjaa vastaan. Puolustettava muotoilu — ja ainoa, joka saa päätyä asiakas- tai sijoittajamateriaaliin — on siis:</w:t>
      </w:r>
      <w:r>
        <w:t xml:space="preserve"> </w:t>
      </w:r>
      <w:r>
        <w:rPr>
          <w:bCs/>
          <w:b/>
        </w:rPr>
        <w:t xml:space="preserve">DWS IQ 6 korvaa ennakoimattoman per-token-API-altistuman rajatulla, suvereenilla laskentataloudella tunnetuille teollisille työkuormille; syvät harness-työnkulut muuttuvat kaupallisesti elinkelpoisiksi, koska samanaikaisuus ja kontekstisyvyys voidaan mitoittaa laitteiston läpimenopolven alapuolelle.</w:t>
      </w:r>
      <w:r>
        <w:t xml:space="preserve"> </w:t>
      </w:r>
      <w:r>
        <w:t xml:space="preserve">Mikä tahansa vahvempi ilmaisu —</w:t>
      </w:r>
      <w:r>
        <w:t xml:space="preserve"> </w:t>
      </w:r>
      <w:r>
        <w:t xml:space="preserve">“</w:t>
      </w:r>
      <w:r>
        <w:t xml:space="preserve">nolla marginaalikustannus</w:t>
      </w:r>
      <w:r>
        <w:t xml:space="preserve">”</w:t>
      </w:r>
      <w:r>
        <w:t xml:space="preserve">,</w:t>
      </w:r>
      <w:r>
        <w:t xml:space="preserve"> </w:t>
      </w:r>
      <w:r>
        <w:t xml:space="preserve">“</w:t>
      </w:r>
      <w:r>
        <w:t xml:space="preserve">ilmaiset tokenit</w:t>
      </w:r>
      <w:r>
        <w:t xml:space="preserve">”</w:t>
      </w:r>
      <w:r>
        <w:t xml:space="preserve"> </w:t>
      </w:r>
      <w:r>
        <w:t xml:space="preserve">— on väärä ja ensimmäinen pätevä tekninen tai taloudellinen arvioija purkaa sen.</w:t>
      </w:r>
    </w:p>
    <w:p>
      <w:pPr>
        <w:pStyle w:val="BodyText"/>
      </w:pPr>
      <w:r>
        <w:rPr>
          <w:bCs/>
          <w:b/>
        </w:rPr>
        <w:t xml:space="preserve">Polvi on tässä mitoitettavissa, mikä ei ole sama asia kuin poissa.</w:t>
      </w:r>
      <w:r>
        <w:t xml:space="preserve"> </w:t>
      </w:r>
      <w:r>
        <w:t xml:space="preserve">Kuluttajasovelluksen paikallisella laitteistolla työntäisi polven yli suunnittelematon kysyntäpiikki, ja generointi romahtaisi epälineaarisesti jonotukseen. Teollisuusflotalla on</w:t>
      </w:r>
      <w:r>
        <w:t xml:space="preserve"> </w:t>
      </w:r>
      <w:r>
        <w:rPr>
          <w:bCs/>
          <w:b/>
        </w:rPr>
        <w:t xml:space="preserve">deterministinen, rajattu samanaikaisuus</w:t>
      </w:r>
      <w:r>
        <w:t xml:space="preserve"> </w:t>
      </w:r>
      <w:r>
        <w:t xml:space="preserve">— aktiivisten agenttien määrä on käyttöönottoparametri eikä julkisen kysynnän funktio — joten moottori voidaan mitoittaa niin, että jopa 250k–340k kontekstisyvyydellä kokonaiskuorma on tiukasti polven vasemmalla puolella.</w:t>
      </w:r>
      <w:r>
        <w:t xml:space="preserve"> </w:t>
      </w:r>
      <w:r>
        <w:rPr>
          <w:bCs/>
          <w:b/>
        </w:rPr>
        <w:t xml:space="preserve">Tästä seuraa kaksi rehellistä varausta, joiden pois jättäminen olisi ylilupaus.</w:t>
      </w:r>
      <w:r>
        <w:t xml:space="preserve"> </w:t>
      </w:r>
      <w:r>
        <w:t xml:space="preserve">Ensinnäkin tämä on</w:t>
      </w:r>
      <w:r>
        <w:t xml:space="preserve"> </w:t>
      </w:r>
      <w:r>
        <w:rPr>
          <w:iCs/>
          <w:i/>
        </w:rPr>
        <w:t xml:space="preserve">suunnittelukuri</w:t>
      </w:r>
      <w:r>
        <w:t xml:space="preserve">, ei ominaisuus: polven vasemmalle mitoittaminen edellyttää polven sijainnin tuntemista, mikä on juuri Löydöksen 2 ajamaton mittaus — väite on tällä hetkellä pätevä insinööriargumentti, joka odottaa empiiristä vakiotaan. Toiseksi alimitoitettu tai ylivarattu sovereign-käyttöönotto törmää samaan seinään kuin kuka tahansa; rajattu samanaikaisuus tekee seinästä</w:t>
      </w:r>
      <w:r>
        <w:t xml:space="preserve"> </w:t>
      </w:r>
      <w:r>
        <w:rPr>
          <w:iCs/>
          <w:i/>
        </w:rPr>
        <w:t xml:space="preserve">vältettävän</w:t>
      </w:r>
      <w:r>
        <w:t xml:space="preserve">, ei olemattoman.</w:t>
      </w:r>
    </w:p>
    <w:p>
      <w:pPr>
        <w:pStyle w:val="BodyText"/>
      </w:pPr>
      <w:r>
        <w:rPr>
          <w:bCs/>
          <w:b/>
        </w:rPr>
        <w:t xml:space="preserve">Positiointiseuraus, esitettynä kapeammin kuin markkina sen esittää.</w:t>
      </w:r>
      <w:r>
        <w:t xml:space="preserve"> </w:t>
      </w:r>
      <w:r>
        <w:t xml:space="preserve">Löydös 4 pätee: pelkkä harnessin omistaminen on perusvaatimus 29.07.2026 alkaen. Puolustettavaa on</w:t>
      </w:r>
      <w:r>
        <w:t xml:space="preserve"> </w:t>
      </w:r>
      <w:r>
        <w:rPr>
          <w:bCs/>
          <w:b/>
        </w:rPr>
        <w:t xml:space="preserve">kytkentä</w:t>
      </w:r>
      <w:r>
        <w:t xml:space="preserve"> </w:t>
      </w:r>
      <w:r>
        <w:t xml:space="preserve">— syvä rakennusteline (I näytös) suoritettuna kiinteällä sovereign-laskennalla (III näytös) rajatulla samanaikaisuudella — koska toimittajalla, jonka liikevaihto skaalautuu tokenien mukana, ei ole kannustinta tehdä token-intensiivisistä työnkuluista halpoja. Täsmällisen väitteen on silti vastustettava yhtä liioittelua: mitatut toimittajat</w:t>
      </w:r>
      <w:r>
        <w:t xml:space="preserve"> </w:t>
      </w:r>
      <w:r>
        <w:rPr>
          <w:iCs/>
          <w:i/>
        </w:rPr>
        <w:t xml:space="preserve">voivat</w:t>
      </w:r>
      <w:r>
        <w:t xml:space="preserve"> </w:t>
      </w:r>
      <w:r>
        <w:t xml:space="preserve">hinnoitella uudelleen, ja provisioidun läpimenon sekä varatun kapasiteetin tarjoukset tekevät jo täsmälleen näin. Argumentin kestävä puolisko ei siis ole laskentatalous yksin vaan</w:t>
      </w:r>
      <w:r>
        <w:t xml:space="preserve"> </w:t>
      </w:r>
      <w:r>
        <w:rPr>
          <w:bCs/>
          <w:b/>
        </w:rPr>
        <w:t xml:space="preserve">laskentatalous plus lainkäyttöalue</w:t>
      </w:r>
      <w:r>
        <w:t xml:space="preserve"> </w:t>
      </w:r>
      <w:r>
        <w:t xml:space="preserve">— varatun kapasiteetin sopimus vastaa laskuun eikä vastaa siihen, missä evidenssi sijaitsee, minkä lain alaisena, tai kuka voi pakottaa sen luovutukseen (§14.26, §14.31). Laskenta tekee syvästä harness-työstä kohtuuhintaista; sovereniteetti tekee siitä puolustettavaa; yhdessä ne ovat vallihauta, kumpikaan ei yksin.</w:t>
      </w:r>
    </w:p>
    <w:p>
      <w:pPr>
        <w:pStyle w:val="BodyText"/>
      </w:pPr>
      <w:r>
        <w:rPr>
          <w:bCs/>
          <w:b/>
        </w:rPr>
        <w:t xml:space="preserve">Tutkimuskontribuutio.</w:t>
      </w:r>
      <w:r>
        <w:t xml:space="preserve"> </w:t>
      </w:r>
      <w:r>
        <w:t xml:space="preserve">Formalisoi dialektiikkana siirtymän mitatusta API:sta hybridilaskennan agenttisuoritukseen: arkkitehtoninen teesi (harnessin pysyvyys), joka synnyttää oman taloudellisen antiteesinsä (token-intensiteetti mitatussa hinnoittelussa) ja jonka ratkaisee substraattisynteesi (kiinteäkustannuksinen päättely läpimenon säilyessä syvyydessä), nimenomaisesti lausutulla reunaehdolla (rajattu samanaikaisuus), joka tekee synteesistä falsifioituvan. Tunnistaa kontekstin</w:t>
      </w:r>
      <w:r>
        <w:t xml:space="preserve"> </w:t>
      </w:r>
      <w:r>
        <w:rPr>
          <w:bCs/>
          <w:b/>
        </w:rPr>
        <w:t xml:space="preserve">syvyyden</w:t>
      </w:r>
      <w:r>
        <w:t xml:space="preserve"> </w:t>
      </w:r>
      <w:r>
        <w:t xml:space="preserve">— ei mallin kyvykkyyden eikä kutsuvolyymin — paikallisten mallitierien sitovaksi rajoitteeksi agenttityössä, ja siten oikeaksi akseliksi, jolla orkestroijatier on määriteltävä.</w:t>
      </w:r>
    </w:p>
    <w:p>
      <w:pPr>
        <w:pStyle w:val="BodyText"/>
      </w:pPr>
      <w:r>
        <w:rPr>
          <w:bCs/>
          <w:b/>
        </w:rPr>
        <w:t xml:space="preserve">Avainkontribuutio #50.</w:t>
      </w:r>
      <w:r>
        <w:t xml:space="preserve"> </w:t>
      </w:r>
      <w:r>
        <w:t xml:space="preserve">Harness-maksumuuri ja syvyysarbitraasi: agenttiarvo siirtyy pysyvään harness-kerrokseen (I näytös), jonka token-intensiteetti tekee siitä taloudellisesti kestämättömän mitatussa API-hinnoittelussa (II näytös, jopa 30-kertainen harnessista johtuva token-hajonta mallin ja tehtäväjoukon ollessa vakiot), ja joka ratkeaa siirtymällä hybridi-/sovereign-laskentaan, jossa alikvadraattinen attentio ja läpimenon säilyttävä päättely tekevät</w:t>
      </w:r>
      <w:r>
        <w:t xml:space="preserve"> </w:t>
      </w:r>
      <w:r>
        <w:rPr>
          <w:bCs/>
          <w:b/>
        </w:rPr>
        <w:t xml:space="preserve">kustannustyypin muunnoksen</w:t>
      </w:r>
      <w:r>
        <w:t xml:space="preserve"> </w:t>
      </w:r>
      <w:r>
        <w:t xml:space="preserve">— muuttuvasta taloudellisesta kustannuksesta samanaikaisuus- ja jonotuskatoksi — eivät kustannuksen poistoa (III näytös). Pätevä siellä missä tehtäväkohtainen syvyys on suuri ja samanaikaisuus rajattu; pettää kiinteän laitteiston polven jälkeen, jonka sijainnin määrittelee kaksi mitattavaa siirtymää (kontekstipituus, jolla KV-välimuistin kaista painaa generoinnin alle interaktiivisen läpimenon, ja siirtymä muistirajoitteisesta generoinnista eräajon jonotusviiveeseen). Korollaarit: harnessin omistaminen on perusvaatimus samalla kun sovereign-evidenssisilmukka pysyy puolustettavana; orkestroijatierit on määriteltävä kontekstisyvyyden eikä kutsuvolyymin mukaan; ja sovereign-teollisuustoimintaprofiili</w:t>
      </w:r>
      <w:r>
        <w:t xml:space="preserve"> </w:t>
      </w:r>
      <w:r>
        <w:rPr>
          <w:iCs/>
          <w:i/>
        </w:rPr>
        <w:t xml:space="preserve">johdetaan</w:t>
      </w:r>
      <w:r>
        <w:t xml:space="preserve"> </w:t>
      </w:r>
      <w:r>
        <w:t xml:space="preserve">validiusalueesta eikä valita — tuottaen empiirisen kapasiteettisuunnittelumallin yritysten agenttiharnesseille positiointiväitteen sijaan. Sovellettuna DWS:ään (Löydös 5): kaksi kuormaprofiilia valitsevat substraatin rakenteellisesti — rajoittamattoman samanaikaisuuden matalan kontekstin kuluttajaliikenne kuuluu mitatuille API:eille, rajatun samanaikaisuuden syvän kontekstin teollisuusflotat omistetulle piille — joten polvi on</w:t>
      </w:r>
      <w:r>
        <w:t xml:space="preserve"> </w:t>
      </w:r>
      <w:r>
        <w:rPr>
          <w:bCs/>
          <w:b/>
        </w:rPr>
        <w:t xml:space="preserve">mitoitettavissa eikä poissa</w:t>
      </w:r>
      <w:r>
        <w:t xml:space="preserve">, ehdollisena sen mittaamiselle; ja puolustettava asema on syvän rakennustelineen</w:t>
      </w:r>
      <w:r>
        <w:t xml:space="preserve"> </w:t>
      </w:r>
      <w:r>
        <w:rPr>
          <w:bCs/>
          <w:b/>
        </w:rPr>
        <w:t xml:space="preserve">kytkentä</w:t>
      </w:r>
      <w:r>
        <w:t xml:space="preserve"> </w:t>
      </w:r>
      <w:r>
        <w:t xml:space="preserve">kiinteään sovereign-laskentaan</w:t>
      </w:r>
      <w:r>
        <w:t xml:space="preserve"> </w:t>
      </w:r>
      <w:r>
        <w:rPr>
          <w:iCs/>
          <w:i/>
        </w:rPr>
        <w:t xml:space="preserve">plus lainkäyttöalue</w:t>
      </w:r>
      <w:r>
        <w:t xml:space="preserve">, sillä mitatut toimittajat voivat hinnoitella kapasiteetin uudelleen mutta eivät sitä, missä evidenssi sijaitsee tai minkä lain alaisena se voidaan pakottaa luovutettavaksi.</w:t>
      </w:r>
      <w:r>
        <w:t xml:space="preserve"> </w:t>
      </w:r>
      <w:r>
        <w:rPr>
          <w:iCs/>
          <w:i/>
        </w:rPr>
        <w:t xml:space="preserve">Dialektisen kehyksen laatinut Google Gemini, otettu käyttöön HIC:n ohjeella 30.07.2026.</w:t>
      </w:r>
    </w:p>
    <w:bookmarkEnd w:id="320"/>
    <w:bookmarkStart w:id="321" w:name="X493b3f72d227b570cc181168dfd675dac88c87a"/>
    <w:p>
      <w:pPr>
        <w:pStyle w:val="Heading3"/>
      </w:pPr>
      <w:r>
        <w:t xml:space="preserve">14.46 Täytäntöönpanon kynnys: 50 artikla ja velvoitteen ja kyvykkyyden erkaantuminen tekoälysisällön alkuperätiedossa</w:t>
      </w:r>
    </w:p>
    <w:p>
      <w:pPr>
        <w:pStyle w:val="FirstParagraph"/>
      </w:pPr>
      <w:r>
        <w:rPr>
          <w:bCs/>
          <w:b/>
        </w:rPr>
        <w:t xml:space="preserve">Signaali (EU:n tekoälyasetuksen täytäntöönpanon alku 02.08.2026; ensisijaiset lähteet: Euroopan komission AI Pact -sihteeristön kumppanikirje 31.07.2026,</w:t>
      </w:r>
      <w:r>
        <w:rPr>
          <w:bCs/>
          <w:b/>
        </w:rPr>
        <w:t xml:space="preserve"> </w:t>
      </w:r>
      <w:r>
        <w:rPr>
          <w:rStyle w:val="VerbatimChar"/>
          <w:bCs/>
          <w:b/>
        </w:rPr>
        <w:t xml:space="preserve">digital-strategy.ec.europa.eu</w:t>
      </w:r>
      <w:r>
        <w:rPr>
          <w:bCs/>
          <w:b/>
        </w:rPr>
        <w:t xml:space="preserve"> </w:t>
      </w:r>
      <w:r>
        <w:rPr>
          <w:bCs/>
          <w:b/>
        </w:rPr>
        <w:t xml:space="preserve">täytäntöönpano- ja 50 artikla -sivut, komission 50 artiklan suuntaviivat 20.07.2026, AI Omnibus voimaan 27.07.2026).</w:t>
      </w:r>
      <w:r>
        <w:t xml:space="preserve"> </w:t>
      </w:r>
      <w:r>
        <w:t xml:space="preserve">Elokuun 2. päivästä 2026 alkaen tekoälytoimisto ja kansalliset markkinavalvontaviranomaiset aloittivat tekoälyasetuksen täytäntöönpanon, ja 50 artiklan avoimuusvelvoitteet tulivat sovellettaviksi. Kolme samanaikaista tosiseikkaa on kantavia. Ensinnäkin noin</w:t>
      </w:r>
      <w:r>
        <w:t xml:space="preserve"> </w:t>
      </w:r>
      <w:r>
        <w:rPr>
          <w:bCs/>
          <w:b/>
        </w:rPr>
        <w:t xml:space="preserve">190 organisaatiota allekirjoitti vapaaehtoisen tekoälyllä tuotetun sisällön avoimuutta koskevan käytännesäännöstön</w:t>
      </w:r>
      <w:r>
        <w:rPr>
          <w:bCs/>
          <w:b/>
        </w:rPr>
        <w:t xml:space="preserve"> </w:t>
      </w:r>
      <w:r>
        <w:rPr>
          <w:iCs/>
          <w:i/>
          <w:bCs/>
          <w:b/>
        </w:rPr>
        <w:t xml:space="preserve">ennen</w:t>
      </w:r>
      <w:r>
        <w:rPr>
          <w:bCs/>
          <w:b/>
        </w:rPr>
        <w:t xml:space="preserve"> </w:t>
      </w:r>
      <w:r>
        <w:rPr>
          <w:bCs/>
          <w:b/>
        </w:rPr>
        <w:t xml:space="preserve">kuin pakollinen velvoite tuli sovellettavaksi</w:t>
      </w:r>
      <w:r>
        <w:t xml:space="preserve">. Toiseksi velvoite on</w:t>
      </w:r>
      <w:r>
        <w:t xml:space="preserve"> </w:t>
      </w:r>
      <w:r>
        <w:rPr>
          <w:bCs/>
          <w:b/>
        </w:rPr>
        <w:t xml:space="preserve">jaettu osapuolittain</w:t>
      </w:r>
      <w:r>
        <w:t xml:space="preserve">: 50(2) artikla velvoittaa</w:t>
      </w:r>
      <w:r>
        <w:t xml:space="preserve"> </w:t>
      </w:r>
      <w:r>
        <w:rPr>
          <w:iCs/>
          <w:i/>
        </w:rPr>
        <w:t xml:space="preserve">tarjoajat</w:t>
      </w:r>
      <w:r>
        <w:t xml:space="preserve"> </w:t>
      </w:r>
      <w:r>
        <w:t xml:space="preserve">merkitsemään synteettisen sisällön koneluettavasti ja mahdollistamaan sen havaitsemisen; 50(4) artikla velvoittaa</w:t>
      </w:r>
      <w:r>
        <w:t xml:space="preserve"> </w:t>
      </w:r>
      <w:r>
        <w:rPr>
          <w:iCs/>
          <w:i/>
        </w:rPr>
        <w:t xml:space="preserve">käyttöönottajat</w:t>
      </w:r>
      <w:r>
        <w:t xml:space="preserve"> </w:t>
      </w:r>
      <w:r>
        <w:t xml:space="preserve">merkitsemään syväväärennökset ja ilman inhimillistä tarkastusta julkaistun yleistä etua koskevan tekoälytekstin selkeästi ja havaittavasti. Kolmanneksi siirtymäajat ovat</w:t>
      </w:r>
      <w:r>
        <w:t xml:space="preserve"> </w:t>
      </w:r>
      <w:r>
        <w:rPr>
          <w:bCs/>
          <w:b/>
        </w:rPr>
        <w:t xml:space="preserve">epäsymmetrisiä</w:t>
      </w:r>
      <w:r>
        <w:t xml:space="preserve">: merkitsemisvelvoite on lykätty joulukuuhun 2026 ennen 2.8.2026 markkinoille saatetuille generatiivisille järjestelmille, kun taas syväväärennösten merkitsemiselle ei ole vastaavaa lykkäystä.</w:t>
      </w:r>
    </w:p>
    <w:p>
      <w:pPr>
        <w:pStyle w:val="BodyText"/>
      </w:pPr>
      <w:r>
        <w:rPr>
          <w:bCs/>
          <w:b/>
        </w:rPr>
        <w:t xml:space="preserve">Löydös 1 — velvoite ja kyvykkyys sijaitsevat eri osapuolilla.</w:t>
      </w:r>
      <w:r>
        <w:t xml:space="preserve"> </w:t>
      </w:r>
      <w:r>
        <w:t xml:space="preserve">Käyttöönottaja, joka ei rakentanut generaattoria, ei voi lisätä koneluettavaa merkintää; hän voi lisätä vain havaittavan merkinnän. Näkyvää 50(4) artiklan mukaista velvoitetta kantava osapuoli on siten rakenteellisesti riippuvainen — evidenssin kestävän ja konetarkistettavan puoliskon osalta — osapuolesta, jota hän ei hallitse eikä ehkä kykene tunnistamaan. Kyse ei ole laatimisvirheestä (kumpikin velvoite on osoitettu sille osapuolelle, joka teknisesti kykenee sen täyttämään), mutta se merkitsee, että</w:t>
      </w:r>
      <w:r>
        <w:t xml:space="preserve"> </w:t>
      </w:r>
      <w:r>
        <w:rPr>
          <w:bCs/>
          <w:b/>
        </w:rPr>
        <w:t xml:space="preserve">käyttöönottajan vaatimustenmukaisuus on täsmälleen yhtä kestävä kuin tarjoajan merkintä</w:t>
      </w:r>
      <w:r>
        <w:t xml:space="preserve">, ja että merkitsemätöntä ylävirran generaattoria käyttävällä käyttöönottajalla on velvoite, jonka evidenssipohjaa ei ole olemassa. Tämä on sama epäsymmetria, jota KYA-kehys käsittelee agenttikerroksessa (§14.24 mallin alkuperäpredikaatti), nyt lainsäädännössä sisältökerroksessa — ja se on rakenteellinen argumentti sille, että alkuperätodistuksen tulee kulkea artefaktin mukana eikä tulla väitetyksi julkaisuhetkellä.</w:t>
      </w:r>
    </w:p>
    <w:p>
      <w:pPr>
        <w:pStyle w:val="BodyText"/>
      </w:pPr>
      <w:r>
        <w:rPr>
          <w:bCs/>
          <w:b/>
        </w:rPr>
        <w:t xml:space="preserve">Löydös 2 — pehmeä sääntely saapui kovaa ennen, ja allekirjoitus on evidenssikustannusstrategia, ei eettinen.</w:t>
      </w:r>
      <w:r>
        <w:t xml:space="preserve"> </w:t>
      </w:r>
      <w:r>
        <w:t xml:space="preserve">~190 allekirjoittajaa</w:t>
      </w:r>
      <w:r>
        <w:t xml:space="preserve"> </w:t>
      </w:r>
      <w:r>
        <w:rPr>
          <w:iCs/>
          <w:i/>
        </w:rPr>
        <w:t xml:space="preserve">vapaaehtoiselle</w:t>
      </w:r>
      <w:r>
        <w:t xml:space="preserve"> </w:t>
      </w:r>
      <w:r>
        <w:t xml:space="preserve">säännöstölle ennen</w:t>
      </w:r>
      <w:r>
        <w:t xml:space="preserve"> </w:t>
      </w:r>
      <w:r>
        <w:rPr>
          <w:iCs/>
          <w:i/>
        </w:rPr>
        <w:t xml:space="preserve">pakollista</w:t>
      </w:r>
      <w:r>
        <w:t xml:space="preserve"> </w:t>
      </w:r>
      <w:r>
        <w:t xml:space="preserve">päivämäärää on heikko todiste arvojen muutoksesta ja vahva todiste odotetun vaatimustenmukaisuuskustannuksen muutoksesta. Säännöstö antaa vaatimustenmukaisuusolettaman; allekirjoittaminen muuntaa avoimen taakan (</w:t>
      </w:r>
      <w:r>
        <w:t xml:space="preserve">“</w:t>
      </w:r>
      <w:r>
        <w:t xml:space="preserve">osoita merkitsemis- ja merkintätoimenpiteesi riittäviksi</w:t>
      </w:r>
      <w:r>
        <w:t xml:space="preserve">”</w:t>
      </w:r>
      <w:r>
        <w:t xml:space="preserve">) tarkistuslistaksi turvasatamineen. Allekirjoittamattomille jää täysi osoitustaakka, ja huomionarvoisesti</w:t>
      </w:r>
      <w:r>
        <w:t xml:space="preserve"> </w:t>
      </w:r>
      <w:r>
        <w:rPr>
          <w:bCs/>
          <w:b/>
        </w:rPr>
        <w:t xml:space="preserve">he voivat käyttää EU:n kuvakkeita väittämättä siten noudattavansa säännöstöä</w:t>
      </w:r>
      <w:r>
        <w:t xml:space="preserve"> </w:t>
      </w:r>
      <w:r>
        <w:t xml:space="preserve">— kuvakkeet ovat vapaaehtoisia, tiedonantovelvoite ei, ja näiden sekoittaminen olisi itsessään harhaanjohtavaa. Tämä tukee väitöskirjan laajempaa väitettä (§14.42), jonka mukaan hallintainfrastruktuuri muodostuu evidenssitaakan siirtämisen eikä periaatteen ympärille, ja ennustaa allekirjoittajamäärän olevan johtava indikaattori sille, mihin sääntelijän tosiasiallinen standardi asettuu ennen yhdenmukaistettua standardia.</w:t>
      </w:r>
    </w:p>
    <w:p>
      <w:pPr>
        <w:pStyle w:val="BodyText"/>
      </w:pPr>
      <w:r>
        <w:rPr>
          <w:bCs/>
          <w:b/>
        </w:rPr>
        <w:t xml:space="preserve">Löydös 3 — empiirinen: sivutason merkintä ei täytä sääntöä, jonka sijaintivaatimus edellyttää merkinnän säilymistä edelleenjaossa.</w:t>
      </w:r>
      <w:r>
        <w:t xml:space="preserve"> </w:t>
      </w:r>
      <w:r>
        <w:t xml:space="preserve">DWS toteutti 50 artiklan merkinnän kahteen tekoälyllä tuotettuun videoon 31.07.–01.08.2026. Opettavainen tulos on negatiivinen: HTML/CSS-peittokuva täyttää havaittavuuden</w:t>
      </w:r>
      <w:r>
        <w:t xml:space="preserve"> </w:t>
      </w:r>
      <w:r>
        <w:rPr>
          <w:iCs/>
          <w:i/>
        </w:rPr>
        <w:t xml:space="preserve">sivulla</w:t>
      </w:r>
      <w:r>
        <w:t xml:space="preserve"> </w:t>
      </w:r>
      <w:r>
        <w:t xml:space="preserve">ja pettää sillä hetkellä kun artefakti ladataan tai jaetaan edelleen, koska merkintä on sivun eikä median ominaisuus. Ainoa toteutus, joka säilyy ulosviennissä, on merkinnän yhdistäminen itse mediaan — tässä EU:n</w:t>
      </w:r>
      <w:r>
        <w:t xml:space="preserve"> </w:t>
      </w:r>
      <w:r>
        <w:rPr>
          <w:bCs/>
          <w:b/>
        </w:rPr>
        <w:t xml:space="preserve">AI GENERATED</w:t>
      </w:r>
      <w:r>
        <w:t xml:space="preserve"> </w:t>
      </w:r>
      <w:r>
        <w:t xml:space="preserve">-kuvakkeen polttaminen videokuviin ennen julkaisua. Säännön tekninen vaatimus on siis</w:t>
      </w:r>
      <w:r>
        <w:t xml:space="preserve"> </w:t>
      </w:r>
      <w:r>
        <w:rPr>
          <w:bCs/>
          <w:b/>
        </w:rPr>
        <w:t xml:space="preserve">alkuperätieto, joka säilyy ulosviennissä</w:t>
      </w:r>
      <w:r>
        <w:t xml:space="preserve"> </w:t>
      </w:r>
      <w:r>
        <w:t xml:space="preserve">— sama ominaisuus, jonka C2PA-sisältötodisteet väittävät ja jota 12 artiklan evidenssiketju edellyttää agenttilokeilta. Suunnittelusääntönä:</w:t>
      </w:r>
      <w:r>
        <w:t xml:space="preserve"> </w:t>
      </w:r>
      <w:r>
        <w:rPr>
          <w:iCs/>
          <w:i/>
        </w:rPr>
        <w:t xml:space="preserve">esityskerroksessa toteutettu avoimuusmerkintä ei ole merkintä; se on kuvateksti.</w:t>
      </w:r>
      <w:r>
        <w:t xml:space="preserve"> </w:t>
      </w:r>
      <w:r>
        <w:t xml:space="preserve">Löydös on pieni, mutta juuri sellainen, joka ilmenee toteutuksesta eikä tekstiä lukemalla.</w:t>
      </w:r>
    </w:p>
    <w:p>
      <w:pPr>
        <w:pStyle w:val="BodyText"/>
      </w:pPr>
      <w:r>
        <w:rPr>
          <w:bCs/>
          <w:b/>
        </w:rPr>
        <w:t xml:space="preserve">Löydös 4 — siirtymäaikojen epäsymmetria paljastaa lainsäätäjän kiireellisyysjärjestyksen.</w:t>
      </w:r>
      <w:r>
        <w:t xml:space="preserve"> </w:t>
      </w:r>
      <w:r>
        <w:t xml:space="preserve">Lykkäys joulukuuhun 2026 koskee 50 artiklan</w:t>
      </w:r>
      <w:r>
        <w:t xml:space="preserve"> </w:t>
      </w:r>
      <w:r>
        <w:rPr>
          <w:bCs/>
          <w:b/>
        </w:rPr>
        <w:t xml:space="preserve">tarjoaja</w:t>
      </w:r>
      <w:r>
        <w:t xml:space="preserve">-,</w:t>
      </w:r>
      <w:r>
        <w:t xml:space="preserve"> </w:t>
      </w:r>
      <w:r>
        <w:rPr>
          <w:bCs/>
          <w:b/>
        </w:rPr>
        <w:t xml:space="preserve">koneluettava</w:t>
      </w:r>
      <w:r>
        <w:t xml:space="preserve">-, merkitsemispuoliskoa;</w:t>
      </w:r>
      <w:r>
        <w:t xml:space="preserve"> </w:t>
      </w:r>
      <w:r>
        <w:rPr>
          <w:bCs/>
          <w:b/>
        </w:rPr>
        <w:t xml:space="preserve">käyttöönottaja</w:t>
      </w:r>
      <w:r>
        <w:t xml:space="preserve">-,</w:t>
      </w:r>
      <w:r>
        <w:t xml:space="preserve"> </w:t>
      </w:r>
      <w:r>
        <w:rPr>
          <w:bCs/>
          <w:b/>
        </w:rPr>
        <w:t xml:space="preserve">ihmisen havaittavissa oleva</w:t>
      </w:r>
      <w:r>
        <w:t xml:space="preserve">-, syväväärennöspuolisko ei saa lykkäystä lainkaan. Lainsäätäjä on siten pitänyt merkitsemättömän syväväärennöksen päätymistä ihmisen eteen kiireellisenä ja konehavaittavan vesileiman puuttumista siedettävänä vielä neljä kuukautta. Käyttöönottajalle tämä kääntää intuitiivisen vaatimustenmukaisuusjärjestyksen: halpa ja sääntelijän välittömästi tarkistettavissa oleva puolisko on se, jolla ei ole siirtymäaikaa, kun taas ylävirran yhteistyötä vaativalla puoliskolla on aikaa. Toiminnallinen korollaari — vahvistettuna yllä kuvatussa DWS-toteutuksessa — on, että</w:t>
      </w:r>
      <w:r>
        <w:t xml:space="preserve"> </w:t>
      </w:r>
      <w:r>
        <w:rPr>
          <w:bCs/>
          <w:b/>
        </w:rPr>
        <w:t xml:space="preserve">käyttöönottajan puolen merkintä on lähiajan sitova rajoite</w:t>
      </w:r>
      <w:r>
        <w:t xml:space="preserve">, ei tarjoajan puolen vesileimaus.</w:t>
      </w:r>
    </w:p>
    <w:p>
      <w:pPr>
        <w:pStyle w:val="BodyText"/>
      </w:pPr>
      <w:r>
        <w:rPr>
          <w:bCs/>
          <w:b/>
        </w:rPr>
        <w:t xml:space="preserve">Tutkimuskontribuutio.</w:t>
      </w:r>
      <w:r>
        <w:t xml:space="preserve"> </w:t>
      </w:r>
      <w:r>
        <w:t xml:space="preserve">Nimeää 50 artiklan täytäntöönpanon alun pisteeksi, jossa tekoälysisällön alkuperätieto siirtyy vapaaehtoisesta todistamisesta lainsäädännöllisesti osapuolittain jaetuksi velvoitteeksi, ja tunnistaa syntyvän velvoite–kyvykkyys-epäsymmetrian sisältökerroksen ilmentymäksi samasta alkuperäongelmasta, jota KYA:n mallin alkuperäpredikaatti käsittelee agenttikerroksessa. Tuottaa toteutuksesta johdetun suunnittelusäännön (merkinnän on säilyttävä ulosviennissä; esityskerroksen merkintä ei ole merkintä) ja lukee siirtymäaikojen epäsymmetrian sääntelyprioriteetin lausumaksi, joka kääntää käyttöönottajien intuitiivisen vaatimustenmukaisuusjärjestyksen.</w:t>
      </w:r>
    </w:p>
    <w:p>
      <w:pPr>
        <w:pStyle w:val="BodyText"/>
      </w:pPr>
      <w:r>
        <w:rPr>
          <w:bCs/>
          <w:b/>
        </w:rPr>
        <w:t xml:space="preserve">Avainkontribuutio #51.</w:t>
      </w:r>
      <w:r>
        <w:t xml:space="preserve"> </w:t>
      </w:r>
      <w:r>
        <w:t xml:space="preserve">Velvoitteen ja kyvykkyyden erkaantuminen lakisääteisessä tekoälysisällön alkuperätiedossa: 50 artikla osoittaa koneluettavan merkitsemisen tarjoajille (50(2)) ja havaittavan merkinnän käyttöönottajille (50(4)), joten näkyvää velvoitetta kantava osapuoli on evidenssinsä kestävän puoliskon osalta riippuvainen osapuolesta, jota se ei hallitse — mikä tekee artefaktin mukana kulkevasta alkuperätiedosta rakenteellisen vaatimuksen eikä hyvän käytännön, ja laajentaa KYA:n mallin alkuperäpredikaatin (§14.24) agenttikerroksesta sisältökerrokseen. Korollaarit: (a) ~190 organisaation allekirjoitus vapaaehtoiselle säännöstölle ennen velvoitteen soveltamista on evidenssikustannussignaali eikä eettinen, ja allekirjoittajamäärä on johtava indikaattori tosiasiallisesta standardista ennen yhdenmukaistamista (§14.42); (b) toteutuksesta johdettu suunnittelusääntö — esityskerroksessa lisätty merkintä on kuvateksti eikä merkintä, koska sijaintivaatimus on säilyminen edelleenjaossa, sama ominaisuus jonka C2PA väittää ja jota 12 artiklan ketju edellyttää; (c) siirtymäaikojen epäsymmetria (merkitseminen lykätty joulukuuhun 2026, syväväärennösmerkintä ei) tunnistaa käyttöönottajan puolen merkinnän lähiajan sitovaksi rajoitteeksi ja kääntää intuitiivisen vaatimustenmukaisuusjärjestyksen.</w:t>
      </w:r>
    </w:p>
    <w:bookmarkEnd w:id="321"/>
    <w:bookmarkStart w:id="322" w:name="X42634b52c547214160c513243d36e144f6f1267"/>
    <w:p>
      <w:pPr>
        <w:pStyle w:val="Heading3"/>
      </w:pPr>
      <w:r>
        <w:t xml:space="preserve">14.47 Reititys palveluna ja päätöskerroksen ulosvirtauskanava: mitä SageRoute-signaali paljastaa agentti-infrastruktuurimarkkinoista</w:t>
      </w:r>
    </w:p>
    <w:p>
      <w:pPr>
        <w:pStyle w:val="FirstParagraph"/>
      </w:pPr>
      <w:r>
        <w:rPr>
          <w:bCs/>
          <w:b/>
        </w:rPr>
        <w:t xml:space="preserve">Signaali (heinä–elokuu 2026, todennettu lähdekooditasolla).</w:t>
      </w:r>
      <w:r>
        <w:t xml:space="preserve"> </w:t>
      </w:r>
      <w:r>
        <w:t xml:space="preserve">Viikon sisällä viraalista</w:t>
      </w:r>
      <w:r>
        <w:t xml:space="preserve"> </w:t>
      </w:r>
      <w:r>
        <w:t xml:space="preserve">“</w:t>
      </w:r>
      <w:r>
        <w:t xml:space="preserve">Agent Factory</w:t>
      </w:r>
      <w:r>
        <w:t xml:space="preserve">”</w:t>
      </w:r>
      <w:r>
        <w:t xml:space="preserve"> </w:t>
      </w:r>
      <w:r>
        <w:t xml:space="preserve">-rakennusoppaasta sen rinnakkainen mallireititysproxy (SageRoute, MIT) saavutti jakelun: OpenAI-yhteensopiva proxy, joka aloittaa agenttitehtävät halvoilla malleilla ja eskaloi suoritusnäytön perusteella, ostaen reitityspäätökset</w:t>
      </w:r>
      <w:r>
        <w:t xml:space="preserve"> </w:t>
      </w:r>
      <w:r>
        <w:t xml:space="preserve">“</w:t>
      </w:r>
      <w:r>
        <w:t xml:space="preserve">kalibroidun luottamuksen</w:t>
      </w:r>
      <w:r>
        <w:t xml:space="preserve">”</w:t>
      </w:r>
      <w:r>
        <w:t xml:space="preserve"> </w:t>
      </w:r>
      <w:r>
        <w:t xml:space="preserve">päätösrajapinnalta (Levanto Sage). Artefaktin kolme ominaisuutta muodostavat signaalin. Ensinnäkin koko koodikanta kirjoitettiin kahdessa päivässä yhden tekijän ja agentin yhteistyönä, ja sen deterministinen ydin läpäisi vastakkaisasetteisen lähdekooditason auditoinnin ehjänä. Toiseksi liiketoimintamalli asettaa kolmannen osapuolen jokaisen agentti-istunnon päätöspisteeseen: jokainen päätös lähettää tehtäväkuvauksen sekä rajattuja työkaluargumentti- ja virhekatkelmia toimittajalle. Kolmanneksi proxyn todennusmoduuli esiintyy ensimmäisen osapuolen CLI-asiakkaina (kovakoodatut Claude Coden ja Codexin OAuth-asiakastunnisteet) reitittääkseen kuluttajatilausten kiintiötä infrastruktuurin läpi, jota tarjoajat eivät koskaan hyväksyneet.</w:t>
      </w:r>
    </w:p>
    <w:p>
      <w:pPr>
        <w:pStyle w:val="BodyText"/>
      </w:pPr>
      <w:r>
        <w:rPr>
          <w:bCs/>
          <w:b/>
        </w:rPr>
        <w:t xml:space="preserve">Löydös 1 — päätöskerros on uusi, hinnoittelematon ulosvirtauskanava.</w:t>
      </w:r>
      <w:r>
        <w:t xml:space="preserve"> </w:t>
      </w:r>
      <w:r>
        <w:t xml:space="preserve">Suoritushistorioita arvioivan reitittimen on nähtävä suoritushistoriat. Tiivisteiksi ja katkelmiksi minimoitunakin päätösrajapinta vastaanottaa pitkittäisprojektion jokaisesta organisaation ajamasta istunnosta: mitä sen agentit yrittävät, miten ne epäonnistuvat, miltä sen virhepinnat näyttävät. Tämä telemetria ei kuulu mallintarjoajan tietojenkäsittelysopimuksen piiriin (reititystoimittaja on erillinen rekisterinpitäjäsuhde), ja havaitussa tapauksessa sillä ei ollut löydettävissä olevaa säilytyspolitiikkaa, tiimiä tai EU-isännöintilausumaa. §14.26/§14.31:n suvereniteettikehykselle seuraus on rakenteellinen: laskenta-alusta voi olla suvereeni samalla kun</w:t>
      </w:r>
      <w:r>
        <w:t xml:space="preserve"> </w:t>
      </w:r>
      <w:r>
        <w:rPr>
          <w:iCs/>
          <w:i/>
        </w:rPr>
        <w:t xml:space="preserve">päätös</w:t>
      </w:r>
      <w:r>
        <w:t xml:space="preserve">alusta ei hiljaisesti ole. Reititys palveluna kuuluu siksi samaan jurisdiktioanalyysiin kuin päättely itse.</w:t>
      </w:r>
    </w:p>
    <w:p>
      <w:pPr>
        <w:pStyle w:val="BodyText"/>
      </w:pPr>
      <w:r>
        <w:rPr>
          <w:bCs/>
          <w:b/>
        </w:rPr>
        <w:t xml:space="preserve">Löydös 2 — tilausarbitraasi asiakasesiintymisen kautta on nouseva harmaan alueen kaava.</w:t>
      </w:r>
      <w:r>
        <w:t xml:space="preserve"> </w:t>
      </w:r>
      <w:r>
        <w:t xml:space="preserve">Ensimmäisen osapuolen asiakastunnisteen kovakoodaus muuntaa kuluttajatilauksen mitatuksi infrastruktuurikapasiteetiksi ja siirtää palveluehtoriskin loppukäyttäjälle (artefaktin oma dokumentaatio myöntää:</w:t>
      </w:r>
      <w:r>
        <w:t xml:space="preserve"> </w:t>
      </w:r>
      <w:r>
        <w:t xml:space="preserve">“</w:t>
      </w:r>
      <w:r>
        <w:t xml:space="preserve">users are responsible for subscription compliance</w:t>
      </w:r>
      <w:r>
        <w:t xml:space="preserve">”</w:t>
      </w:r>
      <w:r>
        <w:t xml:space="preserve">). Tämä on alkuperävika KYA-mielessä (§14.24): tarjoaja ei enää erota, mikä valjakko todella lähetti pyynnön, eikä operaattori voi todistaa, kenen ehdoilla sen tokenit virtasivat. Kaava ennustaa vastatoimisyklin — asiakastodennuksen API-rajalla — analogisesti §14.46:n sisältökerroksen merkitsemisvelvoitteiden kanssa.</w:t>
      </w:r>
    </w:p>
    <w:p>
      <w:pPr>
        <w:pStyle w:val="BodyText"/>
      </w:pPr>
      <w:r>
        <w:rPr>
          <w:bCs/>
          <w:b/>
        </w:rPr>
        <w:t xml:space="preserve">Löydös 3 — puolustettava omaisuus on näyttösilmukka, ei päätös.</w:t>
      </w:r>
      <w:r>
        <w:t xml:space="preserve"> </w:t>
      </w:r>
      <w:r>
        <w:t xml:space="preserve">DWS-mukautustesti: kyvykkyyden deterministinen enemmistö (suoritushistorian palautus, silmukka-/kierre-/pysähtymisilmaisimet, suojattu eskalaatiotikapuu) siirtyi suvereeniin valjakkoon yhdessä päivässä ilman ulkoisia riippuvuuksia, korvaten maksullisen päätösrajapinnan läpinäkyvällä paikallisella heuristiikalla (V3Thesis §10.28;</w:t>
      </w:r>
      <w:r>
        <w:t xml:space="preserve"> </w:t>
      </w:r>
      <w:r>
        <w:rPr>
          <w:rStyle w:val="VerbatimChar"/>
        </w:rPr>
        <w:t xml:space="preserve">src/factory/</w:t>
      </w:r>
      <w:r>
        <w:t xml:space="preserve">). Se mitä</w:t>
      </w:r>
      <w:r>
        <w:t xml:space="preserve"> </w:t>
      </w:r>
      <w:r>
        <w:rPr>
          <w:iCs/>
          <w:i/>
        </w:rPr>
        <w:t xml:space="preserve">ei</w:t>
      </w:r>
      <w:r>
        <w:t xml:space="preserve"> </w:t>
      </w:r>
      <w:r>
        <w:t xml:space="preserve">voitu siirtää on täsmälleen se, minkä toimittaja pitää: kalibrointidata monien asiakkaiden suoritushistorioista. Tämä vahvistaa §14.45:n kytkentäargumentin uudesta suunnasta — agentti-infrastruktuurissa kestävä vallihauta kertyy sille, joka omistaa suoritushistorianäytön, ja yritys joka vie suoritushistoriansa ostaakseen päätöksiä muuntaa omaa token-pääomaansa toimittajan pääomaksi.</w:t>
      </w:r>
    </w:p>
    <w:p>
      <w:pPr>
        <w:pStyle w:val="BodyText"/>
      </w:pPr>
      <w:r>
        <w:rPr>
          <w:bCs/>
          <w:b/>
        </w:rPr>
        <w:t xml:space="preserve">Löydös 4 — 48 tunnin jakelukelpoiset artefaktit siirtävät due diligence -rajaa.</w:t>
      </w:r>
      <w:r>
        <w:t xml:space="preserve"> </w:t>
      </w:r>
      <w:r>
        <w:t xml:space="preserve">Agentin kirjoittama järjestelmä saavuttaa nyt</w:t>
      </w:r>
      <w:r>
        <w:t xml:space="preserve"> </w:t>
      </w:r>
      <w:r>
        <w:t xml:space="preserve">“</w:t>
      </w:r>
      <w:r>
        <w:t xml:space="preserve">omaksuttavan</w:t>
      </w:r>
      <w:r>
        <w:t xml:space="preserve">”</w:t>
      </w:r>
      <w:r>
        <w:t xml:space="preserve"> </w:t>
      </w:r>
      <w:r>
        <w:t xml:space="preserve">viimeistelyn nopeammin kuin institutionaaliset luottamussignaalit (tiimi, tietojenkäsittelysopimus, näyttöhistoria) ehtivät muodostua. Artefakti–legitimiteetti-kuilu (§10.27, V3Thesis) saa siten tarjontapuolen korollaarin: arvioinnin on siirryttävä työmäärän sijaissuureista (ikä, tähdet, tiimin koko) tietovirtojen ja todennusasetelman suoraan tarkastukseen, koska työmääräsijaissuureet ovat nyt valmistettavissa viikonlopussa. Tämän luvun tuottanut auditointiprotokolla — kloonaa, lue ulosvirtauspolut, lue todennusmoduuli, päätä omaksu/mukauta/hylkää — tarjotaan tuon tarkastuksen pienimpänä toimivana muotona.</w:t>
      </w:r>
    </w:p>
    <w:p>
      <w:pPr>
        <w:pStyle w:val="BodyText"/>
      </w:pPr>
      <w:r>
        <w:rPr>
          <w:bCs/>
          <w:b/>
        </w:rPr>
        <w:t xml:space="preserve">Tutkimuskontribuutio.</w:t>
      </w:r>
      <w:r>
        <w:t xml:space="preserve"> </w:t>
      </w:r>
      <w:r>
        <w:t xml:space="preserve">Nimeää agentti-infrastruktuurin päätöskerroksen erilliseksi ulosvirtauskanavaksi, joka vaatii mallintarjoajasta riippumattoman jurisdiktioanalyysin; tunnistaa tilausarbitraasin ensimmäisen osapuolen asiakasesiintymisen kautta nousevaksi kaavaksi, joka ennustaa API-rajan asiakastodennusta; ja osoittaa konstruktiolla, että suoritushistoriatietoisen reitityksen deterministinen ydin on erotettavissa omisteisesta kalibrointisilmukasta — paikantaen kestävän omaisuuden suoritushistorianäytön omistukseen.</w:t>
      </w:r>
    </w:p>
    <w:p>
      <w:pPr>
        <w:pStyle w:val="BodyText"/>
      </w:pPr>
      <w:r>
        <w:rPr>
          <w:bCs/>
          <w:b/>
        </w:rPr>
        <w:t xml:space="preserve">Avainkontribuutio #52.</w:t>
      </w:r>
      <w:r>
        <w:t xml:space="preserve"> </w:t>
      </w:r>
      <w:r>
        <w:t xml:space="preserve">Päätöskerroksen ulosvirtauskanava: suoritushistoriatietoinen mallireititys asettaa kolmannen osapuolen jokaisen agentti-istunnon arviointipisteeseen ja luo telemetriasuhteen mallintarjoajan tietojenkäsittelysopimuksen ulkopuolelle, minkä on tultava suvereniteettianalyysiin (§14.26/§14.31) yhdenvertaisena päättelyn kanssa; sen deterministinen ydin on erotettavissa ja siirrettävissä suvereeniin valjakkoon (osoitettu yhden päivän DWS Factory Router -mukautuksella, V3Thesis §10.28), joten toimittajan kestävä omaisuus supistuu asiakkaidenväliseen suoritushistoriakalibrointiin — vahvistaen että agentti-infrastruktuurissa vallihauta on suoritushistorianäytön omistus (§14.45) — ja tuottaen kaksi operatiivista sääntöä: reititä päätökset paikallisesti ellei päätös todistettavasti vaadi asiakkaidenvälistä kalibrointia, ja käsittele jokaista ensimmäisen osapuolen asiakkaana esiintyvää komponenttia alkuperävikana (§14.24) sen insinöörilaadusta riippumatta.</w:t>
      </w:r>
    </w:p>
    <w:bookmarkEnd w:id="322"/>
    <w:bookmarkStart w:id="323" w:name="X425e4f3c07ac51e41144914110e0cb801f1520a"/>
    <w:p>
      <w:pPr>
        <w:pStyle w:val="Heading3"/>
      </w:pPr>
      <w:r>
        <w:t xml:space="preserve">14.48 Tekstin alkuperälaajennus: konekäännös toisena velvoite–kyvykkyys-instanssina</w:t>
      </w:r>
    </w:p>
    <w:p>
      <w:pPr>
        <w:pStyle w:val="FirstParagraph"/>
      </w:pPr>
      <w:r>
        <w:rPr>
          <w:bCs/>
          <w:b/>
        </w:rPr>
        <w:t xml:space="preserve">Signaali (6.8.2026, ensimmäisen osapuolen toteutus).</w:t>
      </w:r>
      <w:r>
        <w:t xml:space="preserve"> </w:t>
      </w:r>
      <w:r>
        <w:t xml:space="preserve">Tämän session aikana julkaistiin viisikielinen field note -postaus (EN/FI/SV/DE/FR,</w:t>
      </w:r>
      <w:r>
        <w:t xml:space="preserve"> </w:t>
      </w:r>
      <w:r>
        <w:rPr>
          <w:rStyle w:val="VerbatimChar"/>
        </w:rPr>
        <w:t xml:space="preserve">onelifetime.world/posts/arvonluonnin-ajurit-2026*.html</w:t>
      </w:r>
      <w:r>
        <w:t xml:space="preserve">). EN- ja FI-tekstit olivat agentin laatimia; SV-, DE- ja FR-tekstit tuotti ulkoinen kielimalli (Google Gemini) HIC:n ohjeesta ja ne mukautettiin sivupohjiin. Yhtäkään viidestä ei tarkastanut nimetty ihminen ennen julkaisua. Kaikki viisi sisältävät sääntelysisältöä itse leipätekstissä — EU AI Act -artiklojen 12/50 päivämääriä, CBAM- ja ETS2-määräaikoja, KYA-S1-kuulemisikkunan — samaa luokkaa kuin §14.46 tarkasteli mediakerroksella.</w:t>
      </w:r>
    </w:p>
    <w:p>
      <w:pPr>
        <w:pStyle w:val="BodyText"/>
      </w:pPr>
      <w:r>
        <w:rPr>
          <w:bCs/>
          <w:b/>
        </w:rPr>
        <w:t xml:space="preserve">Löydös 1 — käännös on kyvykkyysteko, joka ei erotu generoinnista Article 50(4):n tarkoituksessa.</w:t>
      </w:r>
      <w:r>
        <w:t xml:space="preserve"> </w:t>
      </w:r>
      <w:r>
        <w:t xml:space="preserve">Säädöksen testi koskee sitä, tarkastiko ihminen tekstin ja otiko vastuullinen henkilö toimituksellisen vastuun; se ei erota</w:t>
      </w:r>
      <w:r>
        <w:t xml:space="preserve"> </w:t>
      </w:r>
      <w:r>
        <w:t xml:space="preserve">“</w:t>
      </w:r>
      <w:r>
        <w:t xml:space="preserve">alusta kirjoitettua</w:t>
      </w:r>
      <w:r>
        <w:t xml:space="preserve">”</w:t>
      </w:r>
      <w:r>
        <w:t xml:space="preserve"> </w:t>
      </w:r>
      <w:r>
        <w:t xml:space="preserve">“</w:t>
      </w:r>
      <w:r>
        <w:t xml:space="preserve">käännetystä lähteestä.</w:t>
      </w:r>
      <w:r>
        <w:t xml:space="preserve">”</w:t>
      </w:r>
      <w:r>
        <w:t xml:space="preserve"> </w:t>
      </w:r>
      <w:r>
        <w:t xml:space="preserve">Käännetty sääntelyväite voi vääristää määräajan yhtä helposti kuin generoitu. Käyttöönottajan velvoite koskee siis molempia tekotapoja yhtäläisesti, mikä laajentaa velvoite–kyvykkyys-jaon (§14.46, Avainkontribuutio #51) mediakerroksesta teksti-/käännöskerrokseen.</w:t>
      </w:r>
    </w:p>
    <w:p>
      <w:pPr>
        <w:pStyle w:val="BodyText"/>
      </w:pPr>
      <w:r>
        <w:rPr>
          <w:bCs/>
          <w:b/>
        </w:rPr>
        <w:t xml:space="preserve">Löydös 2 — säädöstä tiukempi oletusarvoisesti-päällä-politiikka ratkaisee tapauskohtaisen harkinnan ongelman operatiivisesti.</w:t>
      </w:r>
      <w:r>
        <w:t xml:space="preserve"> </w:t>
      </w:r>
      <w:r>
        <w:rPr>
          <w:rStyle w:val="VerbatimChar"/>
        </w:rPr>
        <w:t xml:space="preserve">DWS_BLOG_STANDARD.md</w:t>
      </w:r>
      <w:r>
        <w:t xml:space="preserve"> </w:t>
      </w:r>
      <w:r>
        <w:t xml:space="preserve">§3.2.1 vaatii neljä ehtoa ennen kuin merkintä voidaan poistaa — nimetty tarkastaja, osoitettu valtuus muuttaa tai hylätä, julkisesti tavoitettava yhteystieto, ja eksplisiittinen poistotoimi — ja oletusarvo on jättää merkintä päälle. Tämä sessio merkitsi kaikki viisi kieliversiota, mukaan lukien kaksi (EN, FI), jotka agentti itse laati ja jotka HIC hyväksyi keskustelussa. Tuo keskustelunaikainen hyväksyntä täytti julkaisuportin (Sääntö 13 / §3.3) mutta ei yksinään tarkastaja-vastuun testiä, koska sivukohtaista tarkastustietuetta nimettynä vastuuhenkilönä ei tuotettu. Korollaari on rakenteellinen: luonnoshyväksyntäportti ja sisällön alkuperämerkintäportti ovat kaksi erillistä välinettä, joilla on eri näyttövaatimukset, eikä toisen täyttäminen vapauta toisesta.</w:t>
      </w:r>
    </w:p>
    <w:p>
      <w:pPr>
        <w:pStyle w:val="BodyText"/>
      </w:pPr>
      <w:r>
        <w:rPr>
          <w:bCs/>
          <w:b/>
        </w:rPr>
        <w:t xml:space="preserve">Löydös 3 — kompositointiperiaate yleistyy yksittäisen median päällekuvauksesta rakennusputken invariantiksi.</w:t>
      </w:r>
      <w:r>
        <w:t xml:space="preserve"> </w:t>
      </w:r>
      <w:r>
        <w:t xml:space="preserve">§14.46 osoitti, että esityskerroksessa toteutettu läpinäkyvyysmerkintä on kuvateksti, ei merkintä, koska se ei säily ulosviennissä. Tekstikerroksen analogia toteutettiin koneellisesti generoituna rakennusvaiheena (</w:t>
      </w:r>
      <w:r>
        <w:rPr>
          <w:rStyle w:val="VerbatimChar"/>
        </w:rPr>
        <w:t xml:space="preserve">scripts/build-arvonluonnin-ajurit-post.mjs</w:t>
      </w:r>
      <w:r>
        <w:t xml:space="preserve">), joka liittää ilmoituksen mekaanisesti kielikohtaisesta taulukosta jokaiseen renderöityyn sivuun sen sijaan, että päätös jätettäisiin postauskohtaiseen manuaaliseen kirjoittamiseen. Tämä muuttaa</w:t>
      </w:r>
      <w:r>
        <w:t xml:space="preserve"> </w:t>
      </w:r>
      <w:r>
        <w:t xml:space="preserve">“</w:t>
      </w:r>
      <w:r>
        <w:t xml:space="preserve">muistimmeko merkitä tämän</w:t>
      </w:r>
      <w:r>
        <w:t xml:space="preserve">”</w:t>
      </w:r>
      <w:r>
        <w:t xml:space="preserve"> </w:t>
      </w:r>
      <w:r>
        <w:t xml:space="preserve">toimituksellisesta harkinnasta, joka toistuu ja on virhealtis per postaus, deterministiseksi rakennusaikaiseksi invariantiksi — sama suunnitteluratkaisu, jonka §14.46 tunnisti videokompositoinnille, osoittautuu nyt yleistyväksi monikieliseen tekstijulkaisuputkeen.</w:t>
      </w:r>
    </w:p>
    <w:p>
      <w:pPr>
        <w:pStyle w:val="BodyText"/>
      </w:pPr>
      <w:r>
        <w:rPr>
          <w:bCs/>
          <w:b/>
        </w:rPr>
        <w:t xml:space="preserve">Tutkimuskontribuutio.</w:t>
      </w:r>
      <w:r>
        <w:t xml:space="preserve"> </w:t>
      </w:r>
      <w:r>
        <w:t xml:space="preserve">Laajentaa velvoite–kyvykkyys-jaon (§14.46, Avainkontribuutio #51) tekoälyn generoimasta mediasta tekoälyn laatimaan ja konekäännettyyn sääntelysisältöä kantavaan tekstiin; osoittaa, että julkaisuhyväksyntäportit ja sisällön alkuperämerkintäportit ovat toisiaan korvaamattomia hallintokerroksia, vaikka sama ihminen hyväksyisi molemmat samassa keskustelussa; ja osoittaa</w:t>
      </w:r>
      <w:r>
        <w:t xml:space="preserve"> </w:t>
      </w:r>
      <w:r>
        <w:t xml:space="preserve">“</w:t>
      </w:r>
      <w:r>
        <w:t xml:space="preserve">merkitse artefakti, älä sivu</w:t>
      </w:r>
      <w:r>
        <w:t xml:space="preserve">”</w:t>
      </w:r>
      <w:r>
        <w:t xml:space="preserve"> </w:t>
      </w:r>
      <w:r>
        <w:t xml:space="preserve">-kompositointiperiaatteen yleistyvän yksittäisen median päällekuvauksesta deterministiseksi monikielisen rakennusputken invariantiksi.</w:t>
      </w:r>
    </w:p>
    <w:p>
      <w:pPr>
        <w:pStyle w:val="BodyText"/>
      </w:pPr>
      <w:r>
        <w:rPr>
          <w:bCs/>
          <w:b/>
        </w:rPr>
        <w:t xml:space="preserve">Avainkontribuutio #53.</w:t>
      </w:r>
      <w:r>
        <w:t xml:space="preserve"> </w:t>
      </w:r>
      <w:r>
        <w:t xml:space="preserve">Tekstin alkuperälaajennus: Article 50(4):n velvoite–kyvykkyys-jako (Avainkontribuutio #51) osoitetaan pätevän yhtäläisesti tekoälyn laatimaan ja konekäännettyyn sääntelysisältöä kantavaan tekstiin, ei vain tekoälyn generoimaan mediaan — säädöksen ei-ihmistarkastusta/ei-vastuuhenkilöä-testi ei erota tekotapaa. Säädöstä tiukempi neljän ehdon tarkastaja-vastuutesti (nimetty tarkastaja, osoitettu muutos-/hylkäysvaltuus, julkisesti tavoitettava yhteystieto, eksplisiittinen poistotoimi), joka oletusarvoisesti pitää merkinnän päällä, osoitetaan operatiivisesti riittäväksi ja erilliseksi — eikä sitä täytä — ylävirran keskustelunaikainen julkaisuhyväksyntäportti (Sääntö 13 /</w:t>
      </w:r>
      <w:r>
        <w:t xml:space="preserve"> </w:t>
      </w:r>
      <w:r>
        <w:rPr>
          <w:rStyle w:val="VerbatimChar"/>
        </w:rPr>
        <w:t xml:space="preserve">DWS_BLOG_STANDARD.md</w:t>
      </w:r>
      <w:r>
        <w:t xml:space="preserve"> </w:t>
      </w:r>
      <w:r>
        <w:t xml:space="preserve">§3.3), mikä vahvistaa, että luonnoshyväksyntä ja sisällön alkuperämerkintä ovat toisiaan korvaamattomia hallintokerroksia. §14.46:n kompositointiperiaate (merkitse artefakti, älä sivu) osoitetaan yleistyvän yksittäisen median päällekuvauksesta deterministiseksi monikielisen rakennusputken invariantiksi.</w:t>
      </w:r>
      <w:r>
        <w:t xml:space="preserve"> </w:t>
      </w: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w:t>
      </w:r>
    </w:p>
    <w:bookmarkEnd w:id="323"/>
    <w:bookmarkStart w:id="324" w:name="X3c69f060a06d8fffa77ba2a05b7d67604c254e9"/>
    <w:p>
      <w:pPr>
        <w:pStyle w:val="Heading3"/>
      </w:pPr>
      <w:r>
        <w:t xml:space="preserve">14.50 Valjakka/malli-erottelu, suvereeni paikallinen orkestrointi ja MCP:n negatiivinen kyvykkyys</w:t>
      </w:r>
    </w:p>
    <w:p>
      <w:pPr>
        <w:pStyle w:val="FirstParagraph"/>
      </w:pPr>
      <w:r>
        <w:t xml:space="preserve">DGX Spark -ajoympäristön yhdenmukaistaminen tarjoaa konkreettisen kokeen suvereniteettiteesille: valjakka ja malli ovat erillisiä hallintaobjekteja. OpenCode 1.18.18 on ensisijainen ajo-valjakka, Ollama paikallisten ja avoimien mallien raja, ja Claude Code hot standby. Tämä mahdollistaa mallien kehittämisen, mukaan lukien uusien NVIDIA-painojen käyttöönoton, ilman että operaattorin politiikka, taidot tai näyttöraja muuttuu toimittajariippuvaiseksi.</w:t>
      </w:r>
    </w:p>
    <w:p>
      <w:pPr>
        <w:pStyle w:val="BodyText"/>
      </w:pPr>
      <w:r>
        <w:t xml:space="preserve">Arkkitehtuuri osoittaa myös, että suvereniteetti määrittyy varmennetuista poluista, ei määritettyjen integraatioiden lukumäärästä. Paikallinen MCP-gateway on käytettävissä projektin virtuaaliympäristön ja yhteensopivan MCP SDK 1.x -alueen kautta. Erillinen</w:t>
      </w:r>
      <w:r>
        <w:t xml:space="preserve"> </w:t>
      </w:r>
      <w:r>
        <w:rPr>
          <w:rStyle w:val="VerbatimChar"/>
        </w:rPr>
        <w:t xml:space="preserve">dws-agents-local</w:t>
      </w:r>
      <w:r>
        <w:t xml:space="preserve"> </w:t>
      </w:r>
      <w:r>
        <w:t xml:space="preserve">SSE-palvelu pysyy poissa käytöstä, koska portin 3001 kuuntelijaa ei ole. Kieltäytyminen korvata puuttuvaa endpointia kuvitteellisella osoitteella on hallintatulos: ulosvirtauspolku kirjataan puuttuvaksi sen sijaan, että se esitetään terveenä mutta varmentamattomana kyvykkyytenä.</w:t>
      </w:r>
    </w:p>
    <w:p>
      <w:pPr>
        <w:pStyle w:val="BodyText"/>
      </w:pPr>
      <w:r>
        <w:t xml:space="preserve">Tämä luo yritystason tekoälyjärjestelmille hyödyllisen eron.</w:t>
      </w:r>
      <w:r>
        <w:t xml:space="preserve"> </w:t>
      </w:r>
      <w:r>
        <w:rPr>
          <w:bCs/>
          <w:b/>
        </w:rPr>
        <w:t xml:space="preserve">Positiivinen kyvykkyys</w:t>
      </w:r>
      <w:r>
        <w:t xml:space="preserve"> </w:t>
      </w:r>
      <w:r>
        <w:t xml:space="preserve">on työkalupolku, joka on läpäissyt yhteys- ja riippuvuustarkastukset;</w:t>
      </w:r>
      <w:r>
        <w:t xml:space="preserve"> </w:t>
      </w:r>
      <w:r>
        <w:rPr>
          <w:bCs/>
          <w:b/>
        </w:rPr>
        <w:t xml:space="preserve">negatiivinen kyvykkyys</w:t>
      </w:r>
      <w:r>
        <w:t xml:space="preserve"> </w:t>
      </w:r>
      <w:r>
        <w:t xml:space="preserve">on tietoisesti säilytetty raja, jossa näyttö ei riitä. Jälkimmäinen ei ole tuotetekstiin piilotettava puute, vaan käyttöönoton auditoitava osa, erityisesti kun näennäisesti yhdistetty MCP-palvelin voisi siirtää asiakasdataa tai agenttien toimia lainkäyttöalueiden yli.</w:t>
      </w:r>
    </w:p>
    <w:p>
      <w:pPr>
        <w:pStyle w:val="BodyText"/>
      </w:pPr>
      <w:r>
        <w:rPr>
          <w:bCs/>
          <w:b/>
        </w:rPr>
        <w:t xml:space="preserve">Tutkimuskontribuutio.</w:t>
      </w:r>
      <w:r>
        <w:t xml:space="preserve"> </w:t>
      </w:r>
      <w:r>
        <w:t xml:space="preserve">Laajentaa suvereniteettikartan tallennuksesta ja päättelysijainnista valjakkan koostumukseen ja työkalujen ulosvirtaustodisteisiin. Osoittaa, että paikallinen mallivalinta, standby-toimittajan valinta ja MCP:n saatavuus voidaan hallita toisistaan riippumatta, samalla kun varmentamattoman palvelun käyttöönotosta kieltäytyminen muuttuu mitattavaksi kontrolliksi eikä käyttöhaitaksi.</w:t>
      </w:r>
    </w:p>
    <w:p>
      <w:pPr>
        <w:pStyle w:val="BodyText"/>
      </w:pPr>
      <w:r>
        <w:rPr>
          <w:bCs/>
          <w:b/>
        </w:rPr>
        <w:t xml:space="preserve">Avainkontribuutio #55.</w:t>
      </w:r>
      <w:r>
        <w:t xml:space="preserve"> </w:t>
      </w:r>
      <w:r>
        <w:t xml:space="preserve">Valjakka/malli-erottelu on suvereniteetin perusprimitiivi: OpenCode ja paikallinen/avoin päättely voivat pysyä ensisijaisena polkuna Claude Coden säilyessä hot standby -tilassa, ja varmennettu MCP-gateway voidaan ottaa käyttöön esittämättä puuttuvaa SSE-palvelua terveenä. Tämä määrittää negatiivisen kyvykkyyden, eksplisiittisesti säilytetyn puuttuvan rajan, osaksi auditoitavaa käyttöönoton tilaa, ei dokumentoimatonta teknistä velkaa.</w:t>
      </w:r>
      <w:r>
        <w:t xml:space="preserve"> </w:t>
      </w:r>
      <w:r>
        <w:rPr>
          <w:iCs/>
          <w:i/>
        </w:rPr>
        <w:t xml:space="preserve">Kumppani: V3Thesis §10.30;</w:t>
      </w:r>
      <w:r>
        <w:rPr>
          <w:iCs/>
          <w:i/>
        </w:rPr>
        <w:t xml:space="preserve"> </w:t>
      </w:r>
      <w:r>
        <w:rPr>
          <w:rStyle w:val="VerbatimChar"/>
          <w:iCs/>
          <w:i/>
        </w:rPr>
        <w:t xml:space="preserve">docs/field-notes/2026-08-13-opencode-dgx-runtime-alignment.md</w:t>
      </w:r>
      <w:r>
        <w:rPr>
          <w:iCs/>
          <w:i/>
        </w:rPr>
        <w:t xml:space="preserve">.</w:t>
      </w:r>
    </w:p>
    <w:bookmarkEnd w:id="324"/>
    <w:bookmarkStart w:id="329" w:name="X5aa30201aca62aa0ce3092921d6d35924b0b5c2"/>
    <w:p>
      <w:pPr>
        <w:pStyle w:val="Heading3"/>
      </w:pPr>
      <w:r>
        <w:t xml:space="preserve">14.51 Älykkyyden ja luottamuksen eriytyminen: matemaatikon ero akatemiasta ulkoisena vahvistuksena KYA:n verifiointiteesille</w:t>
      </w:r>
    </w:p>
    <w:p>
      <w:pPr>
        <w:pStyle w:val="FirstParagraph"/>
      </w:pPr>
      <w:r>
        <w:t xml:space="preserve">Rishikesh Gajjala, matematiikan tohtori, julkaisi 18.8.2026 ensimmäisen persoonan kertomuksen akatemiasta lähtemisestä — ei loppuunpalamisen tai työmarkkinatilanteen vuoksi, vaan koska tekoälyavusteinen löytäminen oli tiivistänyt vuosien todistuksenhakutyön viikkoihin, mikä murensi hänen käsityksensä siitä, että vastausten löytäminen oli edelleen hänen kutsumuksensa. Hänen sanoin uudelleen muotoiltuna:</w:t>
      </w:r>
      <w:r>
        <w:t xml:space="preserve"> </w:t>
      </w:r>
      <w:r>
        <w:rPr>
          <w:bCs/>
          <w:b/>
        </w:rPr>
        <w:t xml:space="preserve">“</w:t>
      </w:r>
      <w:r>
        <w:rPr>
          <w:bCs/>
          <w:b/>
        </w:rPr>
        <w:t xml:space="preserve">Älykkyys… on muuttumassa runsaaksi ja halvemmaksi joka päivä. Luottamus ei.</w:t>
      </w:r>
      <w:r>
        <w:rPr>
          <w:bCs/>
          <w:b/>
        </w:rPr>
        <w:t xml:space="preserve">”</w:t>
      </w:r>
      <w:r>
        <w:t xml:space="preserve"> </w:t>
      </w:r>
      <w:r>
        <w:t xml:space="preserve">Hän kertoo käyttäneensä päiviä sen selvittämiseen, oliko näennäinen tekoälyn tuottama läpimurtotodistus todella oikea —</w:t>
      </w:r>
      <w:r>
        <w:t xml:space="preserve"> </w:t>
      </w:r>
      <w:r>
        <w:t xml:space="preserve">“</w:t>
      </w:r>
      <w:r>
        <w:t xml:space="preserve">ennen kuin se on varmennettu, kaunis todistus ei eroa roskasta</w:t>
      </w:r>
      <w:r>
        <w:t xml:space="preserve">”</w:t>
      </w:r>
      <w:r>
        <w:t xml:space="preserve"> </w:t>
      </w:r>
      <w:r>
        <w:t xml:space="preserve">— ja liittyy Pramaana Labsiin työskentelemään tekoälyn löytämien matemaattisten todistusten formaalin verifioinnin (Lean) parissa, mukaan lukien väitetyt ratkaisut pitkäaikaisiin konjektuureihin ja Erdős-ongelmiin.</w:t>
      </w:r>
    </w:p>
    <w:bookmarkStart w:id="325" w:name="Xb6ba927101f19d2d50f50aa9d7e02bf3fc937ef"/>
    <w:p>
      <w:pPr>
        <w:pStyle w:val="Heading4"/>
      </w:pPr>
      <w:r>
        <w:t xml:space="preserve">14.51.1 Miksi matemaatikon uravalinta on väitöskirjatason markkinasignaali</w:t>
      </w:r>
    </w:p>
    <w:p>
      <w:pPr>
        <w:pStyle w:val="FirstParagraph"/>
      </w:pPr>
      <w:r>
        <w:t xml:space="preserve">Matematiikka on puhdas mittari tälle väitteelle, koska oikeellisuus on siinä binäärinen ja koneellisesti tarkistettavissa tavalla, joka ei päde useimmilla yritysalueilla — juuri siksi älykkyyden ja luottamuksen eriytyminen näkyy siellä ensimmäisenä ja selkeimmin. Signaali on riippumaton, ensikäden ja kantaa todellisen kustannuksen (tohtoriuran käänne), mikä erottaa sen toimittajan väitteestä: kukaan formaalin verifioinnin työkaluja myyvä ei kirjoittanut tätä postausta.</w:t>
      </w:r>
    </w:p>
    <w:bookmarkEnd w:id="325"/>
    <w:bookmarkStart w:id="326" w:name="yhteys-olemassa-olevaan-kya-argumenttiin"/>
    <w:p>
      <w:pPr>
        <w:pStyle w:val="Heading4"/>
      </w:pPr>
      <w:r>
        <w:t xml:space="preserve">14.51.2 Yhteys olemassa olevaan KYA-argumenttiin</w:t>
      </w:r>
    </w:p>
    <w:p>
      <w:pPr>
        <w:pStyle w:val="FirstParagraph"/>
      </w:pPr>
      <w:r>
        <w:t xml:space="preserve">Tämä on ulkoinen, ei-DWS-sidonnainen vahvistus väitteelle, jota KYA-ohjelma on tehnyt sisältäpäin §14.24:sta lähtien (mallin alkuperä-/luottamuskerros): kun generointi on halpaa, verifioinnista tulee niukka, puolustettava asema — ei generoinnista itsestään. Se myös toteuttaa §14.42:n yleisen kaavan (spesifikaatio–standardi-erottelu, neljän portin falsifioitavuus) uudella alueella — Lean-formalisointi on sitä, miltä</w:t>
      </w:r>
      <w:r>
        <w:t xml:space="preserve"> </w:t>
      </w:r>
      <w:r>
        <w:t xml:space="preserve">“</w:t>
      </w:r>
      <w:r>
        <w:t xml:space="preserve">falsifioitava, koneellisesti tarkistettava näyttö</w:t>
      </w:r>
      <w:r>
        <w:t xml:space="preserve">”</w:t>
      </w:r>
      <w:r>
        <w:t xml:space="preserve"> </w:t>
      </w:r>
      <w:r>
        <w:t xml:space="preserve">näyttää, kun artefakti on matemaattinen todistus agenttihallinnon väitteen sijaan — ja jakaa saman muodon §14.46:n velvoite–kyvykkyys-jaon kanssa (Gajjalan omin sanoin: varmentamaton todistus</w:t>
      </w:r>
      <w:r>
        <w:t xml:space="preserve"> </w:t>
      </w:r>
      <w:r>
        <w:t xml:space="preserve">“</w:t>
      </w:r>
      <w:r>
        <w:t xml:space="preserve">ei eroa roskasta</w:t>
      </w:r>
      <w:r>
        <w:t xml:space="preserve">”</w:t>
      </w:r>
      <w:r>
        <w:t xml:space="preserve">, eli väite ja verifiointi eivät ole toisiaan korvaavia — sama KYA:n kanta agenttien tuotoksiin).</w:t>
      </w:r>
    </w:p>
    <w:bookmarkEnd w:id="326"/>
    <w:bookmarkStart w:id="327" w:name="tutkimuskontribuutio"/>
    <w:p>
      <w:pPr>
        <w:pStyle w:val="Heading4"/>
      </w:pPr>
      <w:r>
        <w:t xml:space="preserve">14.51.3 Tutkimuskontribuutio</w:t>
      </w:r>
    </w:p>
    <w:p>
      <w:pPr>
        <w:pStyle w:val="FirstParagraph"/>
      </w:pPr>
      <w:r>
        <w:t xml:space="preserve">Laajentaa KYA:n luottamuskerroksen argumenttia alueen ulkopuolisella, vastakkaisasetelmaltaan neutraalilla datapisteellä: alan asiantuntija, jolla ei ole osaa DWS:ssä tai agenttihallinnan työkaluissa, päätyi itsenäisesti samaan johtopäätökseen — että runsas älykkyys lisää, ei vähennä, verifioinnin rajahyötyä — ja teki uratason päätöksen tämän perusteella. Vahvistaa KYA-luottamusteesin falsifioitavuutta antamalla sille ennusteen, jota DWS ei ole kirjoittanut ja joka olisi periaatteessa voinut osoittautua toisensuuntaiseksi (matemaatikko olisi yhtä hyvin voinut päätyä siihen, että verifioinnistakin tulee helppoa).</w:t>
      </w:r>
    </w:p>
    <w:p>
      <w:pPr>
        <w:pStyle w:val="BodyText"/>
      </w:pPr>
      <w:r>
        <w:rPr>
          <w:bCs/>
          <w:b/>
        </w:rPr>
        <w:t xml:space="preserve">Avainkontribuutio #56.</w:t>
      </w:r>
      <w:r>
        <w:t xml:space="preserve"> </w:t>
      </w:r>
      <w:r>
        <w:t xml:space="preserve">KYA-verifiointikerrosta motivoiva älykkyyden ja luottamuksen eriytyminen ei ole DWS-spesifinen: riippumaton, kustannuksia aiheuttava, ensimmäisen persoonan eropäätös matematiikan akatemiasta (Gajjala → Pramaana Labs, Lean-formaaliverifiointi, 18.8.2026) toteuttaa saman väitteen — kun generointi on runsasta, varmentamaton tuotos ei eroa kohinasta riippumatta siitä kuinka kehittyneeltä se vaikuttaa — alueella (formaali matematiikka), joka on valittu sen binäärisen, koneellisesti tarkistettavan oikeellisuuden vuoksi, antaen KYA-luottamusteesille ulkoisen, ei-kaupallisen vahvistuksen.</w:t>
      </w:r>
      <w:r>
        <w:t xml:space="preserve"> </w:t>
      </w:r>
      <w:r>
        <w:rPr>
          <w:iCs/>
          <w:i/>
        </w:rPr>
        <w:t xml:space="preserve">Kumppani:</w:t>
      </w:r>
      <w:r>
        <w:rPr>
          <w:iCs/>
          <w:i/>
        </w:rPr>
        <w:t xml:space="preserve"> </w:t>
      </w:r>
      <w:r>
        <w:rPr>
          <w:rStyle w:val="VerbatimChar"/>
          <w:iCs/>
          <w:i/>
        </w:rPr>
        <w:t xml:space="preserve">docs/field-notes/2026-08-18-gajjala-math-academia-verification-signal.md</w:t>
      </w:r>
      <w:r>
        <w:rPr>
          <w:iCs/>
          <w:i/>
        </w:rPr>
        <w:t xml:space="preserve">. Ei maisterityövastinetta — pelkkä markkina-/tieteellinen signaali §1.4-skooppisäännön mukaisesti; Pramaana Labsin ja nimettyjen Erdős-ongelmien yksityiskohdat merkitty vahvistamattomiksi.</w:t>
      </w:r>
    </w:p>
    <w:bookmarkEnd w:id="327"/>
    <w:bookmarkStart w:id="328" w:name="X1a9fd959b37930d52364d4785bb0489e78443a0"/>
    <w:p>
      <w:pPr>
        <w:pStyle w:val="Heading4"/>
      </w:pPr>
      <w:r>
        <w:t xml:space="preserve">14.51.4 Ulkoinen vahvistus (18.8.2026, samana päivänä tehty jatkotarkastus)</w:t>
      </w:r>
    </w:p>
    <w:p>
      <w:pPr>
        <w:pStyle w:val="FirstParagraph"/>
      </w:pPr>
      <w:r>
        <w:t xml:space="preserve">HIC pyysi agenttia tutkimaan sivustoa</w:t>
      </w:r>
      <w:r>
        <w:t xml:space="preserve"> </w:t>
      </w:r>
      <w:r>
        <w:rPr>
          <w:rStyle w:val="VerbatimChar"/>
        </w:rPr>
        <w:t xml:space="preserve">pramaanalabs.ai</w:t>
      </w:r>
      <w:r>
        <w:t xml:space="preserve"> </w:t>
      </w:r>
      <w:r>
        <w:t xml:space="preserve">suoraan. Suora haku estyi tämän session verkon ulosvirtauskäytännön vuoksi (verkkotunnus ei ole sallittulistalla); yrityksen omat</w:t>
      </w:r>
      <w:r>
        <w:t xml:space="preserve"> </w:t>
      </w:r>
      <w:r>
        <w:t xml:space="preserve">“</w:t>
      </w:r>
      <w:r>
        <w:t xml:space="preserve">neljä pilaria</w:t>
      </w:r>
      <w:r>
        <w:t xml:space="preserve">”</w:t>
      </w:r>
      <w:r>
        <w:t xml:space="preserve"> </w:t>
      </w:r>
      <w:r>
        <w:t xml:space="preserve">-tekstit —</w:t>
      </w:r>
      <w:r>
        <w:t xml:space="preserve"> </w:t>
      </w:r>
      <w:r>
        <w:t xml:space="preserve">“</w:t>
      </w:r>
      <w:r>
        <w:t xml:space="preserve">Plausible Is Not Provable,</w:t>
      </w:r>
      <w:r>
        <w:t xml:space="preserve">”</w:t>
      </w:r>
      <w:r>
        <w:t xml:space="preserve"> </w:t>
      </w:r>
      <w:r>
        <w:t xml:space="preserve">“</w:t>
      </w:r>
      <w:r>
        <w:t xml:space="preserve">Rules Are Not Flat Text,</w:t>
      </w:r>
      <w:r>
        <w:t xml:space="preserve">”</w:t>
      </w:r>
      <w:r>
        <w:t xml:space="preserve"> </w:t>
      </w:r>
      <w:r>
        <w:t xml:space="preserve">“</w:t>
      </w:r>
      <w:r>
        <w:t xml:space="preserve">Confidence Is Not Accountability,</w:t>
      </w:r>
      <w:r>
        <w:t xml:space="preserve">”</w:t>
      </w:r>
      <w:r>
        <w:t xml:space="preserve"> </w:t>
      </w:r>
      <w:r>
        <w:t xml:space="preserve">“</w:t>
      </w:r>
      <w:r>
        <w:t xml:space="preserve">Human Review Does Not Scale</w:t>
      </w:r>
      <w:r>
        <w:t xml:space="preserve">”</w:t>
      </w:r>
      <w:r>
        <w:t xml:space="preserve"> </w:t>
      </w:r>
      <w:r>
        <w:t xml:space="preserve">— sai HIC sivustolta, agentti ei hakenut niitä itsenäisesti uudelleen.</w:t>
      </w:r>
      <w:r>
        <w:t xml:space="preserve"> </w:t>
      </w:r>
      <w:r>
        <w:rPr>
          <w:rStyle w:val="VerbatimChar"/>
        </w:rPr>
        <w:t xml:space="preserve">WebSearch</w:t>
      </w:r>
      <w:r>
        <w:t xml:space="preserve">-työkalua käytettiin sen sijaan vahvistamaan taustalla olevat faktat kolmansien osapuolten lähteistä pelkän liitetyn tekstin sijaan:</w:t>
      </w:r>
    </w:p>
    <w:p>
      <w:pPr>
        <w:pStyle w:val="BodyText"/>
      </w:pPr>
      <w:r>
        <w:t xml:space="preserve">Pramaana Labs vahvistuu todelliseksi, rahoitetuksi yritykseksi:</w:t>
      </w:r>
      <w:r>
        <w:t xml:space="preserve"> </w:t>
      </w:r>
      <w:r>
        <w:rPr>
          <w:bCs/>
          <w:b/>
        </w:rPr>
        <w:t xml:space="preserve">27 miljoonan dollarin siemenrahoituskierros</w:t>
      </w:r>
      <w:r>
        <w:t xml:space="preserve"> </w:t>
      </w:r>
      <w:r>
        <w:t xml:space="preserve">(julkistettu 17.6.2026, TechCrunch/SiliconANGLE/TheNextWeb/TechTimes/AI Weekly)</w:t>
      </w:r>
      <w:r>
        <w:t xml:space="preserve"> </w:t>
      </w:r>
      <w:r>
        <w:rPr>
          <w:bCs/>
          <w:b/>
        </w:rPr>
        <w:t xml:space="preserve">jonka veti Khosla Ventures</w:t>
      </w:r>
      <w:r>
        <w:t xml:space="preserve">, mukana Accel, BoldCap, Nexus Venture Partners, Premji Invest ja Unbound; toimitusjohtaja/perustaja</w:t>
      </w:r>
      <w:r>
        <w:t xml:space="preserve"> </w:t>
      </w:r>
      <w:r>
        <w:rPr>
          <w:bCs/>
          <w:b/>
        </w:rPr>
        <w:t xml:space="preserve">Ranjan Rajagopalan</w:t>
      </w:r>
      <w:r>
        <w:t xml:space="preserve">; hybridi LLM+Lean-deterministinen verifiointiarkkitehtuuri, jota lehdistö kuvaa kääntäjän kaltaiseksi; kohdealat</w:t>
      </w:r>
      <w:r>
        <w:t xml:space="preserve"> </w:t>
      </w:r>
      <w:r>
        <w:rPr>
          <w:bCs/>
          <w:b/>
        </w:rPr>
        <w:t xml:space="preserve">oikeus, lääkekehitys ja veroilmoitukset</w:t>
      </w:r>
      <w:r>
        <w:t xml:space="preserve">; yhteistyökumppaneina mm. entinen IRS-komissaari</w:t>
      </w:r>
      <w:r>
        <w:t xml:space="preserve"> </w:t>
      </w:r>
      <w:r>
        <w:rPr>
          <w:bCs/>
          <w:b/>
        </w:rPr>
        <w:t xml:space="preserve">Danny Werfel</w:t>
      </w:r>
      <w:r>
        <w:t xml:space="preserve"> </w:t>
      </w:r>
      <w:r>
        <w:t xml:space="preserve">sekä</w:t>
      </w:r>
      <w:r>
        <w:t xml:space="preserve"> </w:t>
      </w:r>
      <w:r>
        <w:rPr>
          <w:bCs/>
          <w:b/>
        </w:rPr>
        <w:t xml:space="preserve">IIT Delhin, IIT Madrasin ja UC Berkeleyn</w:t>
      </w:r>
      <w:r>
        <w:t xml:space="preserve"> </w:t>
      </w:r>
      <w:r>
        <w:t xml:space="preserve">professorit. Tämä nostaa</w:t>
      </w:r>
      <w:r>
        <w:t xml:space="preserve"> </w:t>
      </w:r>
      <w:r>
        <w:t xml:space="preserve">“</w:t>
      </w:r>
      <w:r>
        <w:t xml:space="preserve">Pramaana Labsin identiteetin/rahoituksen</w:t>
      </w:r>
      <w:r>
        <w:t xml:space="preserve">”</w:t>
      </w:r>
      <w:r>
        <w:t xml:space="preserve"> </w:t>
      </w:r>
      <w:r>
        <w:t xml:space="preserve">tilan vahvistamattomasta kolmannen osapuolen vahvistamaksi. Gajjala itse vahvistuu riippumattomasti pätevöityneeksi tutkijaksi (tohtorintutkinto, Indian Institute of Science, 2025; postdoc NYU Abu Dhabin CQTS:ssä, kvanttilaskenta/kombinatoriikka) tiedekuntasivun, dblp:n, Google Scholarin ja OpenReview’n kautta — mutta hänen konkreettinen siirtymisensä Pramaana Labsiin on edelleen itse ilmoitettu eikä kolmas osapuoli ole sitä vielä vahvistanut, ja nimetyt Erdős-ongelmat pysyvät vahvistamattomina.</w:t>
      </w:r>
    </w:p>
    <w:p>
      <w:pPr>
        <w:pStyle w:val="BodyText"/>
      </w:pPr>
      <w:r>
        <w:t xml:space="preserve">Sivuston oma neljän pilarin kehys on itsessään toinen, riippumaton ilmentymä KYA-väitteestä, ja sen viittaus</w:t>
      </w:r>
      <w:r>
        <w:t xml:space="preserve"> </w:t>
      </w:r>
      <w:r>
        <w:rPr>
          <w:bCs/>
          <w:b/>
        </w:rPr>
        <w:t xml:space="preserve">RuleArenaan</w:t>
      </w:r>
      <w:r>
        <w:t xml:space="preserve"> </w:t>
      </w:r>
      <w:r>
        <w:t xml:space="preserve">(ACL 2025, arXiv:2412.08972) tuo tähän signaaliketjuun ensimmäisen vertaisarvioidun akateemisen vahvistuksen: 95 säännön ja 816 testiongelman vertailuarvo lentoyhtiöiden matkatavaramaksujen, NBA-siirtojen laillisuuden ja verolaskennan alueilta, joka osoittaa, että kielimallit kamppailevat oikean säännön tunnistamisessa, tekevät laskuvirheitä vielä säännön löydettyäänkin, ja paranevat merkittävästi vasta kun niille annetaan ulkoiset työkalut oraakkelimatematiikkaa/-logiikkaa varten — sama generoinnin/verifioinnin jako kuin §14.51.1–14.51.3:ssa esitetty, nyt alueella (sääntöohjattu sääntelyllinen päättely), joka on paljon lähempänä DWS:n omaa tuotealuetta (vaatimustenmukaisuus, verotus, sopimukset) kuin puhdas matematiikka, ja vertaisarvioinnin tukemana yhden ensimmäisen persoonan kertomuksen sijaan.</w:t>
      </w:r>
    </w:p>
    <w:p>
      <w:pPr>
        <w:pStyle w:val="BodyText"/>
      </w:pPr>
      <w:r>
        <w:rPr>
          <w:bCs/>
          <w:b/>
        </w:rPr>
        <w:t xml:space="preserve">Avainkontribuutio #56 (laajennettu).</w:t>
      </w:r>
      <w:r>
        <w:t xml:space="preserve"> </w:t>
      </w:r>
      <w:r>
        <w:t xml:space="preserve">Pramaana Labsin yritysfaktat ovat nyt kolmannen osapuolen vahvistamia (rahoitus, johto, tekninen lähestymistapa, kohdealat, yhteistyökumppanit), mikä vahvistaa vahvistuksen</w:t>
      </w:r>
      <w:r>
        <w:t xml:space="preserve"> </w:t>
      </w:r>
      <w:r>
        <w:t xml:space="preserve">“</w:t>
      </w:r>
      <w:r>
        <w:t xml:space="preserve">yhdestä uskottavasta ensimmäisen persoonan kertomuksesta</w:t>
      </w:r>
      <w:r>
        <w:t xml:space="preserve">”</w:t>
      </w:r>
      <w:r>
        <w:t xml:space="preserve"> </w:t>
      </w:r>
      <w:r>
        <w:t xml:space="preserve">“</w:t>
      </w:r>
      <w:r>
        <w:t xml:space="preserve">rahoitettuun yritykseen, joka itsenäisesti tekee, ja vertaisarvioituun ACL 2025 -vertailuarvoon, joka itsenäisesti todistaa, saman generoinnin/verifioinnin jaon, jota KYA-ohjelma esittää sisältäpäin.</w:t>
      </w:r>
      <w:r>
        <w:t xml:space="preserve">”</w:t>
      </w:r>
      <w:r>
        <w:t xml:space="preserve"> </w:t>
      </w:r>
      <w:r>
        <w:t xml:space="preserve">Gajjalan henkilökohtaiset ansioluettelotiedot on vahvistettu riippumattomasti; hänen konkreettinen työnantajansiirtonsa ei ole vielä kolmannen osapuolen vahvistama ja pysyy sen mukaisesti merkittynä.</w:t>
      </w:r>
      <w:r>
        <w:t xml:space="preserve"> </w:t>
      </w:r>
      <w:r>
        <w:rPr>
          <w:iCs/>
          <w:i/>
        </w:rPr>
        <w:t xml:space="preserve">Kumppani:</w:t>
      </w:r>
      <w:r>
        <w:rPr>
          <w:iCs/>
          <w:i/>
        </w:rPr>
        <w:t xml:space="preserve"> </w:t>
      </w:r>
      <w:r>
        <w:rPr>
          <w:rStyle w:val="VerbatimChar"/>
          <w:iCs/>
          <w:i/>
        </w:rPr>
        <w:t xml:space="preserve">docs/field-notes/2026-08-18-gajjala-math-academia-verification-signal.md</w:t>
      </w:r>
      <w:r>
        <w:rPr>
          <w:iCs/>
          <w:i/>
        </w:rPr>
        <w:t xml:space="preserve"> </w:t>
      </w:r>
      <w:r>
        <w:rPr>
          <w:iCs/>
          <w:i/>
        </w:rPr>
        <w:t xml:space="preserve">(Vahvistuspäivitys-osio); RuleArena —</w:t>
      </w:r>
      <w:r>
        <w:rPr>
          <w:iCs/>
          <w:i/>
        </w:rPr>
        <w:t xml:space="preserve"> </w:t>
      </w:r>
      <w:r>
        <w:rPr>
          <w:rStyle w:val="VerbatimChar"/>
          <w:iCs/>
          <w:i/>
        </w:rPr>
        <w:t xml:space="preserve">aclanthology.org/2025.acl-long.27</w:t>
      </w:r>
      <w:r>
        <w:rPr>
          <w:iCs/>
          <w:i/>
        </w:rPr>
        <w:t xml:space="preserve">,</w:t>
      </w:r>
      <w:r>
        <w:rPr>
          <w:iCs/>
          <w:i/>
        </w:rPr>
        <w:t xml:space="preserve"> </w:t>
      </w:r>
      <w:r>
        <w:rPr>
          <w:rStyle w:val="VerbatimChar"/>
          <w:iCs/>
          <w:i/>
        </w:rPr>
        <w:t xml:space="preserve">arxiv.org/abs/2412.08972</w:t>
      </w:r>
      <w:r>
        <w:rPr>
          <w:iCs/>
          <w:i/>
        </w:rPr>
        <w:t xml:space="preserve">.</w:t>
      </w:r>
    </w:p>
    <w:bookmarkEnd w:id="328"/>
    <w:bookmarkEnd w:id="329"/>
    <w:bookmarkEnd w:id="330"/>
    <w:bookmarkEnd w:id="3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2026-08-22T04:34:58Z</dcterms:created>
  <dcterms:modified xsi:type="dcterms:W3CDTF">2026-08-22T04:34:58Z</dcterms:modified>
</cp:coreProperties>
</file>

<file path=docProps/custom.xml><?xml version="1.0" encoding="utf-8"?>
<Properties xmlns="http://schemas.openxmlformats.org/officeDocument/2006/custom-properties" xmlns:vt="http://schemas.openxmlformats.org/officeDocument/2006/docPropsVTypes"/>
</file>