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563778495ede64f780ee20a17419b911b803b17"/>
    <w:p>
      <w:pPr>
        <w:pStyle w:val="Heading1"/>
      </w:pPr>
      <w:r>
        <w:t xml:space="preserve">Firehorse Product Manufacturing Operating Model</w:t>
      </w:r>
    </w:p>
    <w:bookmarkStart w:id="20" w:name="X23038f51c82a5836529dc388a6b0ad950b800f0"/>
    <w:p>
      <w:pPr>
        <w:pStyle w:val="Heading2"/>
      </w:pPr>
      <w:r>
        <w:t xml:space="preserve">Hybrid AI-Edge Architecture for Climate-Intelligent Industrial Platforms</w:t>
      </w:r>
    </w:p>
    <w:p>
      <w:r>
        <w:pict>
          <v:rect style="width:0;height:1.5pt" o:hralign="center" o:hrstd="t" o:hr="t"/>
        </w:pict>
      </w:r>
    </w:p>
    <w:bookmarkEnd w:id="20"/>
    <w:bookmarkEnd w:id="21"/>
    <w:bookmarkStart w:id="26" w:name="version-and-agent-history"/>
    <w:p>
      <w:pPr>
        <w:pStyle w:val="Heading1"/>
      </w:pPr>
      <w:r>
        <w:t xml:space="preserve">VERSION AND AGENT HISTORY</w:t>
      </w:r>
    </w:p>
    <w:p>
      <w:pPr>
        <w:pStyle w:val="FirstParagraph"/>
      </w:pPr>
      <w:r>
        <w:t xml:space="preserve">Version: 3.84</w:t>
      </w:r>
      <w:r>
        <w:t xml:space="preserve"> </w:t>
      </w:r>
      <w:r>
        <w:t xml:space="preserve">Sessions &amp; Modifications:</w:t>
      </w:r>
    </w:p>
    <w:p>
      <w:pPr>
        <w:numPr>
          <w:ilvl w:val="0"/>
          <w:numId w:val="1001"/>
        </w:numPr>
      </w:pPr>
      <w:r>
        <w:t xml:space="preserve">Version: 3.84 | Tool: Claude Code (claude-opus-5) | Session: claude/greg-isenberg-field-notes-a2r544 | Date: 25.07.2026 | Changes: Added §10.26 (Cryptographic Review of the Verified-Done Attestation Signing Path: Two Findings, and Falsification as a Test-Quality Gate). Implementation evidence per the CLAUDE.md Thesis Content Scope Rule: documents the Ed25519-via-node:crypto dependency decision (narrow trusted computing base over ergonomics); finding F1 (HIGH) that the signature excluded the proof options, leaving proof.created and proof.verificationMethod mutable post-signing — an unprotected Article 12 timestamp and trust-anchor selection from unsigned data; the root cause in TEST DESIGN rather than cryptographic knowledge (the suite tampered the credential subject, never the proof block); the W3C Data Integrity remediation binding proof options into the signing payload; finding F3 (key-type assertion, fail-loud on misconfiguration while unconfigured stays valid); and the methodological contribution — falsification as a test-quality gate, in which the fix was REVERTED and the four new tests confirmed to fail against the defective source before acceptance, yielding the criterion that a test passing both before and after a fix carries no information about that fix (47 → 51 tests). Also records the attestation-anchor schema finding sequencing the tenant fix as a precondition to enabling signatures. Market-signal and scientific framing for the same session is in PHD_FIREHORSE §14.42.</w:t>
      </w:r>
    </w:p>
    <w:p>
      <w:pPr>
        <w:numPr>
          <w:ilvl w:val="0"/>
          <w:numId w:val="1001"/>
        </w:numPr>
      </w:pPr>
      <w:r>
        <w:t xml:space="preserve">Version: 3.83 | Tool: Claude Code | Session: claude/eda-dws-iq-business-case-jm7p3g | Date: 17.07.2026 | Changes: Lockstep version bump 3.82 → 3.83 across all 4 thesis files per CLAUDE.md thesis rule. No content change in this master’s thesis file: the v3.83 addition (DAC 2026’s agentic-EDA tutorial track as cross-disciplinary evidence for the three-vector agentic/open/governed operating-model thesis, and the sovereign design-IP-envelope relocation of the EDA defensible remainder) is a market-signal/scientific-framing contribution and per the §1.4 master-vs-PhD scope rule lives in PHD_FIREHORSE_EN.md §14.41 and Key Contribution #48. Companion artefacts: docs/DGX_SPARK_4X_EDA_BUSINESS_CASE.md, onelifetime.world/posts/ai-supercomputing-meets-eda-sovereign-design.html.</w:t>
      </w:r>
    </w:p>
    <w:p>
      <w:pPr>
        <w:numPr>
          <w:ilvl w:val="0"/>
          <w:numId w:val="1001"/>
        </w:numPr>
      </w:pPr>
      <w:r>
        <w:t xml:space="preserve">Version: 3.82 | Tool: Claude Code (claude-sonnet-5) | Session: claude/nvidia-halos-robotics-suqayg | Date: 10.07.2026 | Changes: Lockstep version bump 3.81 → 3.82 across all 4 thesis files per CLAUDE.md thesis rule. No content change in this master’s thesis file: the v3.82 addition (NVIDIA Halos for Robotics as a standardisation-ahead-of-deadline signal for physical-AI safety certification, the certification-vs-evidence regulatory-object distinction, and the KYA physical-safety binding) is a market-signal/regulatory-pipeline contribution and per the §1.4 master-vs-PhD scope rule lives in PHD_FIREHORSE_EN.md §14.40 and Key Contribution #47. Companion artefact: docs/regulatory-radar/NVIDIA_HALOS_ROBOTICS_BRIEF.md.</w:t>
      </w:r>
    </w:p>
    <w:p>
      <w:pPr>
        <w:numPr>
          <w:ilvl w:val="0"/>
          <w:numId w:val="1001"/>
        </w:numPr>
      </w:pPr>
      <w:r>
        <w:t xml:space="preserve">Version: 3.81 | Tool: Claude Code (Fable 5) | Session: claude/ai-sovereignty-research-9eshgd (merge-integrated) | Date: 07.07.2026 | Changes: Lockstep version bump 3.80 → 3.81 across all 4 thesis files per CLAUDE.md thesis rule. No content change in this master’s thesis file: the v3.81 merge-integrated content (the AI-sovereignty nine-theses framework and the weights-control argument — an optionality definition of sovereignty, three silently-confiscated assets data/weights/value-orientation, the sovereignty–alpha identity, the Theses 6–9 governance layer, and the Palantir connector model as its operational instance) is a scientific/normative-framing contribution and per the §1.4 master-vs-PhD scope rule lives in PHD_FIREHORSE_EN.md §14.39 (renumbered from the branch’s original §14.34 — that slot was independently taken by</w:t>
      </w:r>
      <w:r>
        <w:t xml:space="preserve"> </w:t>
      </w:r>
      <w:r>
        <w:t xml:space="preserve">“</w:t>
      </w:r>
      <w:r>
        <w:t xml:space="preserve">The National Aggregation-Effect Framework</w:t>
      </w:r>
      <w:r>
        <w:t xml:space="preserve">”</w:t>
      </w:r>
      <w:r>
        <w:t xml:space="preserve"> </w:t>
      </w:r>
      <w:r>
        <w:t xml:space="preserve">on main) and Key Contribution #46. Companion artefact: docs/field-notes/2026-07-01-ai-sovereignty-nine-theses.md.</w:t>
      </w:r>
    </w:p>
    <w:p>
      <w:pPr>
        <w:numPr>
          <w:ilvl w:val="0"/>
          <w:numId w:val="1001"/>
        </w:numPr>
      </w:pPr>
      <w:r>
        <w:t xml:space="preserve">Version: 3.80 | Tool: Claude Code (Fable 5) | Session: claude/industry-world-models-study-Mk2mu (merge-integrated) | Date: 07.07.2026 | Changes: Lockstep version bump 3.79 → 3.80 across all 4 thesis files per CLAUDE.md thesis rule. No content change in this master’s thesis file: the v3.80 merge-integrated addition is a market/architecture signal (Karpathy GPT-2 → industry world models, five competing architectures, 16-industry Fit for 55 world model specification matrix, modular world model factory proposal, 2026 ecosystem convergence: AMI Labs / Cosmos 2.5 / Genie 3 / Marble / Siemens Digital Twin Composer) which per the master-vs-PhD scope rule §1.4 belongs in the PhD thesis only. See PHD_FIREHORSE_EN.md §14.38 (Industry World Models, renumbered from the branch’s original §14.20 — that slot was independently taken by</w:t>
      </w:r>
      <w:r>
        <w:t xml:space="preserve"> </w:t>
      </w:r>
      <w:r>
        <w:t xml:space="preserve">“</w:t>
      </w:r>
      <w:r>
        <w:t xml:space="preserve">AI Pricing Capitulation</w:t>
      </w:r>
      <w:r>
        <w:t xml:space="preserve">”</w:t>
      </w:r>
      <w:r>
        <w:t xml:space="preserve"> </w:t>
      </w:r>
      <w:r>
        <w:t xml:space="preserve">on main) and Key Contribution #45 for the scientific framing. Full study: docs/INDUSTRY_WORLD_MODELS_STUDY.md.</w:t>
      </w:r>
    </w:p>
    <w:p>
      <w:pPr>
        <w:numPr>
          <w:ilvl w:val="0"/>
          <w:numId w:val="1001"/>
        </w:numPr>
      </w:pPr>
      <w:r>
        <w:t xml:space="preserve">Version: 3.79 | Tool: Claude Code | Session: claude/aspire-development-evolution-16fxg0 | Date: 07.07.2026 | Changes: Added §10.25.6 (Amendment: The Span-Stamped Authorization Verdict) — external critique (Hakimi) that the GenAI trace records what fired but never whether it should have been able to; verified accurate against the code (LLM client had only the provider Bearer header; KYA enforcement isolated at the sandbox layer). Implemented same-day: KYAVerdict on withAgentSpan/withLLMSpan stamping dws.kya.verdict/trust_score/policy_version/gate alongside gen_ai.*; verdict-less spans stamped</w:t>
      </w:r>
      <w:r>
        <w:t xml:space="preserve"> </w:t>
      </w:r>
      <w:r>
        <w:t xml:space="preserve">‘</w:t>
      </w:r>
      <w:r>
        <w:t xml:space="preserve">ungated</w:t>
      </w:r>
      <w:r>
        <w:t xml:space="preserve">’</w:t>
      </w:r>
      <w:r>
        <w:t xml:space="preserve"> </w:t>
      </w:r>
      <w:r>
        <w:t xml:space="preserve">(never blank) so authorization-coverage gaps are queryable; ungated-span count named as the coverage-gap metric; 2 new unit tests (8/8 passing). PHD files receive the scientific restatement (§14.37.4 correction to KC #44(b)). Lockstep 3.78→3.79; Learn/ HTML regenerated. Companion: docs/field-notes/2026-07-07-hakimi-observability-vs-authorization.md.</w:t>
      </w:r>
    </w:p>
    <w:p>
      <w:pPr>
        <w:numPr>
          <w:ilvl w:val="0"/>
          <w:numId w:val="1001"/>
        </w:numPr>
      </w:pPr>
      <w:r>
        <w:t xml:space="preserve">Version: 3.78 | Tool: Claude Code | Session: claude/aspire-development-evolution-16fxg0 | Date: 07.07.2026 | Changes: Added §10.25 (Polyglot Observability in Production: Aspire Dashboard Adoption and the Silent-Telemetry Incident) — implementation-side content per the master-vs-PhD scope rule: dashboard-only Aspire adoption on DGX Spark (aspire-dashboard:13.3.5 pinned, compose v1.1.1), OTel implementation inventory (otel.ts opt-in init, tracing.ts GenAI semantic-convention span helpers, telemetry.types.ts + migration 066 Article-12 cross-referencing), the July 2026 silent-telemetry incident (all three OTLP producers pushed http/protobuf to the dashboard UI port 18888 instead of the OTLP/HTTP listener 18890 — telemetry silently dropped; fixed in compose v1.3.1), three engineering lessons (behavioral verification, fail-silent subsystems need compensating controls, adjacent-port failure class), and the open GenAI message-content-capture data-protection decision. PHD files receive the market-signal framing (§14.37 + Key Contribution #44). All 4 thesis files bumped 3.77→3.78 in lockstep per CLAUDE.md thesis rule; Learn/ HTML regenerated.</w:t>
      </w:r>
    </w:p>
    <w:p>
      <w:pPr>
        <w:numPr>
          <w:ilvl w:val="0"/>
          <w:numId w:val="1001"/>
        </w:numPr>
      </w:pPr>
      <w:r>
        <w:t xml:space="preserve">Version: 3.77 | Tool: Claude Code | Session: claude/dws-nvidia-os-NDuOs | Date: 19.05.2026 | Changes: Lockstep version bump 3.76 → 3.77 across all 4 thesis files per CLAUDE.md thesis rule. No content change in this master’s thesis file: the v3.77 substantive addition is a research-framing reframe and a 48-hour market signal (Dell + Palantir</w:t>
      </w:r>
      <w:r>
        <w:t xml:space="preserve"> </w:t>
      </w:r>
      <w:r>
        <w:t xml:space="preserve">“</w:t>
      </w:r>
      <w:r>
        <w:t xml:space="preserve">On-Premises AI Operating System</w:t>
      </w:r>
      <w:r>
        <w:t xml:space="preserve">”</w:t>
      </w:r>
      <w:r>
        <w:t xml:space="preserve"> </w:t>
      </w:r>
      <w:r>
        <w:t xml:space="preserve">18.05.2026 + Google</w:t>
      </w:r>
      <w:r>
        <w:t xml:space="preserve"> </w:t>
      </w:r>
      <w:r>
        <w:t xml:space="preserve">“</w:t>
      </w:r>
      <w:r>
        <w:t xml:space="preserve">Antigravity Agent Operating System</w:t>
      </w:r>
      <w:r>
        <w:t xml:space="preserve">”</w:t>
      </w:r>
      <w:r>
        <w:t xml:space="preserve"> </w:t>
      </w:r>
      <w:r>
        <w:t xml:space="preserve">19.05.2026) that names</w:t>
      </w:r>
      <w:r>
        <w:t xml:space="preserve"> </w:t>
      </w:r>
      <w:r>
        <w:rPr>
          <w:iCs/>
          <w:i/>
        </w:rPr>
        <w:t xml:space="preserve">DWS OS</w:t>
      </w:r>
      <w:r>
        <w:t xml:space="preserve"> </w:t>
      </w:r>
      <w:r>
        <w:t xml:space="preserve">as the unifying artefactual spine of the doctoral programme. Per the master-vs-PhD scope rule §1.4, research framing and market signals belong in the PhD thesis only. See PHD_FIREHORSE_EN.md §1.2.2 (Unified DWS OS Spine and Scenario Prioritization) and §14.36 (Two-Signal Convergence) for the scientific framing, and</w:t>
      </w:r>
      <w:r>
        <w:t xml:space="preserve"> </w:t>
      </w:r>
      <w:r>
        <w:rPr>
          <w:rStyle w:val="VerbatimChar"/>
        </w:rPr>
        <w:t xml:space="preserve">docs/DWS_OS_POSITIONING.md</w:t>
      </w:r>
      <w:r>
        <w:t xml:space="preserve"> </w:t>
      </w:r>
      <w:r>
        <w:t xml:space="preserve">+</w:t>
      </w:r>
      <w:r>
        <w:t xml:space="preserve"> </w:t>
      </w:r>
      <w:r>
        <w:rPr>
          <w:rStyle w:val="VerbatimChar"/>
        </w:rPr>
        <w:t xml:space="preserve">docs/lut/</w:t>
      </w:r>
      <w:r>
        <w:t xml:space="preserve"> </w:t>
      </w:r>
      <w:r>
        <w:t xml:space="preserve">for the supervisor-bound deliverables.</w:t>
      </w:r>
      <w:r>
        <w:t xml:space="preserve"> </w:t>
      </w:r>
      <w:r>
        <w:rPr>
          <w:rStyle w:val="VerbatimChar"/>
        </w:rPr>
        <w:t xml:space="preserve">Learn/</w:t>
      </w:r>
      <w:r>
        <w:t xml:space="preserve"> </w:t>
      </w:r>
      <w:r>
        <w:t xml:space="preserve">HTML regeneration required (not in this commit — needs Pandoc build). Merge note (06.07.2026, session claude/dws-nvidia-os-NDuOs merge): originally authored 19.05.2026 as v3.58 / §14.20 / Key Contribution #25; renumbered to v3.77 / §14.36 / Key Contribution #43 on merge because main’s v3.58–v3.76, §14.20–§14.35 and KC#25–#42 were already claimed by other sessions (same convention as the v3.73 renumber).</w:t>
      </w:r>
    </w:p>
    <w:p>
      <w:pPr>
        <w:numPr>
          <w:ilvl w:val="0"/>
          <w:numId w:val="1001"/>
        </w:numPr>
      </w:pPr>
      <w:r>
        <w:t xml:space="preserve">Version: 3.76 | Tool: Claude Code | Session: claude/physical-ai-first-person-3mmu70 | Date: 05.07.2026 | Changes: Lockstep version bump 3.75 → 3.76 across all 4 thesis files per CLAUDE.md thesis rule. The v3.76 substantive content (Jensen Huang’s</w:t>
      </w:r>
      <w:r>
        <w:t xml:space="preserve"> </w:t>
      </w:r>
      <w:r>
        <w:t xml:space="preserve">“</w:t>
      </w:r>
      <w:r>
        <w:t xml:space="preserve">digital robot</w:t>
      </w:r>
      <w:r>
        <w:t xml:space="preserve">”</w:t>
      </w:r>
      <w:r>
        <w:t xml:space="preserve"> </w:t>
      </w:r>
      <w:r>
        <w:t xml:space="preserve">framing of agentic AI and his identification of first-person data — against the world’s overwhelmingly third-person video corpus — as the hardest problem in physical AI; the re-identification of the LWM Phase-3 gating input as first-person operational data rather than compute or alignment; the element-for-element mapping of Huang’s five-element physical-AI stack — data engine / simulator / reward / runtime / computer — onto the Brain–Memory–Body–Hands architecture; the specification of Perception Capital’s production mechanism; and a sovereign, consent-governed, EU-resident first-person-data-provenance predicate extending the four-track KYA suite) is a market signal / scientific framing and per the §1.4 master-vs-PhD scope rule lives in PHD_FIREHORSE_EN.md §14.35 (The First-Person Data Bottleneck) and Key Contribution #42. Section/version/KC numbers advanced from the original v3.71/§14.33/#39 draft to v3.76/§14.35/#42 to avoid collision with main’s already-landed §14.33/§14.34 and KC #39–#41. No implementation has shipped for this signal (thesis/strategy-first decision), so this file receives a lockstep-only version-bump entry and no new sections.</w:t>
      </w:r>
      <w:r>
        <w:t xml:space="preserve"> </w:t>
      </w:r>
      <w:r>
        <w:rPr>
          <w:rStyle w:val="VerbatimChar"/>
        </w:rPr>
        <w:t xml:space="preserve">Learn/</w:t>
      </w:r>
      <w:r>
        <w:t xml:space="preserve"> </w:t>
      </w:r>
      <w:r>
        <w:t xml:space="preserve">HTML regenerated at v3.76 via scripts/gen-thesis-html.cjs. Primary source: Jensen Huang (NVIDIA), public remarks on agentic and physical AI, 2026.</w:t>
      </w:r>
    </w:p>
    <w:p>
      <w:pPr>
        <w:numPr>
          <w:ilvl w:val="0"/>
          <w:numId w:val="1001"/>
        </w:numPr>
      </w:pPr>
      <w:r>
        <w:t xml:space="preserve">Version: 3.75 | Tool: Claude Code | Session: claude/lifetime-handbook-web-updates-lmyi2g | Date: 01.07.2026 | Changes: Lockstep version bump only. Substantive content (Finnish Ministry of Finance security-oriented information management guide, VM 2026:27, mapped to DWS’s Control Room/Situation Room retention model) is regulatory-pipeline/market-signal framing per §1.4 master-vs-PhD scope rule, so it lives in</w:t>
      </w:r>
      <w:r>
        <w:t xml:space="preserve"> </w:t>
      </w:r>
      <w:r>
        <w:rPr>
          <w:rStyle w:val="VerbatimChar"/>
        </w:rPr>
        <w:t xml:space="preserve">docs/PHD_FIREHORSE_EN.md</w:t>
      </w:r>
      <w:r>
        <w:t xml:space="preserve"> </w:t>
      </w:r>
      <w:r>
        <w:t xml:space="preserve">§14.34 and Key Contribution #41. No implementation content added here.</w:t>
      </w:r>
    </w:p>
    <w:p>
      <w:pPr>
        <w:numPr>
          <w:ilvl w:val="0"/>
          <w:numId w:val="1001"/>
        </w:numPr>
      </w:pPr>
      <w:r>
        <w:t xml:space="preserve">Version: 3.74 | Tool: Claude Code (claude-opus-4-8) | Session: claude/anduril-case-study-iridtj | Date: 29.06.2026 | Changes: CSRD scope refined to the FINAL post-Omnibus figure (Council 24.02.2026):</w:t>
      </w:r>
      <w:r>
        <w:t xml:space="preserve"> </w:t>
      </w:r>
      <w:r>
        <w:t xml:space="preserve">“</w:t>
      </w:r>
      <w:r>
        <w:t xml:space="preserve">After Omnibus</w:t>
      </w:r>
      <w:r>
        <w:t xml:space="preserve">”</w:t>
      </w:r>
      <w:r>
        <w:t xml:space="preserve"> </w:t>
      </w:r>
      <w:r>
        <w:t xml:space="preserve">= fewer than ~5,000 large companies (&gt;1,000 employees AND &gt;450M EUR turnover), replacing the interim ~10,000; flat</w:t>
      </w:r>
      <w:r>
        <w:t xml:space="preserve"> </w:t>
      </w:r>
      <w:r>
        <w:t xml:space="preserve">“</w:t>
      </w:r>
      <w:r>
        <w:t xml:space="preserve">50,000+ by 2028</w:t>
      </w:r>
      <w:r>
        <w:t xml:space="preserve">”</w:t>
      </w:r>
      <w:r>
        <w:t xml:space="preserve"> </w:t>
      </w:r>
      <w:r>
        <w:t xml:space="preserve">market-timing claims corrected to post-Omnibus reality + Scope-3 value-chain pull. Lockstep across all 4 thesis files per CLAUDE.md thesis rule; DWS_TRUTH_STANDARD v2.5 section 2C. Learn/ HTML regeneration (Pandoc) + PhD-side figure references PENDING.</w:t>
      </w:r>
    </w:p>
    <w:p>
      <w:pPr>
        <w:numPr>
          <w:ilvl w:val="0"/>
          <w:numId w:val="1001"/>
        </w:numPr>
      </w:pPr>
      <w:r>
        <w:t xml:space="preserve">Version: 3.73 | Tool: Claude Code | Session: claude/article-research-phd-tvmskz | Date: 28.06.2026 | Changes: Merge conflict resolution: merged branch claude/article-research-phd-tvmskz (v3.71 RQGM §14.33) with origin/main (v3.71 interruption-cost §14.20.8 + v3.72 capability-ontology V3Thesis §10.24). KC#39 numbering collision resolved: main used KC#39 for capability ontology (V3Thesis §10.24), this branch used KC#39 for RQGM (PHD §14.33) → RQGM renumbered to KC#40. All 4 thesis files bumped to v3.73 in lockstep.</w:t>
      </w:r>
    </w:p>
    <w:p>
      <w:pPr>
        <w:numPr>
          <w:ilvl w:val="0"/>
          <w:numId w:val="1001"/>
        </w:numPr>
      </w:pPr>
      <w:r>
        <w:t xml:space="preserve">Version: 3.72 | Tool: Claude Code | Session: claude/winning-sales-strategy-qb1boj | Date: 28.06.2026 | Changes: Added §10.24 (Capability Ontology and Three-Pillar Consulting GTM — from agent taxonomy to enterprise delivery). Implementation evidence: 10 LWM-based knowledge graph classes organising 80+ agent capabilities (62 existing + 18 new), three-pillar consulting model (capability training, industry-specific compliance workflow development, disruption-free project continuity with Keskeytyslaskuri integration), Aegis Defence honest capability correction (SAR orbital detection only — no drone detection), and lifetime.fi website deployment with three-pillar consulting section. Companion artefact:</w:t>
      </w:r>
      <w:r>
        <w:t xml:space="preserve"> </w:t>
      </w:r>
      <w:r>
        <w:rPr>
          <w:rStyle w:val="VerbatimChar"/>
        </w:rPr>
        <w:t xml:space="preserve">docs/KONSULTOINNIN_KASIKIRJA_2026.md</w:t>
      </w:r>
      <w:r>
        <w:t xml:space="preserve"> </w:t>
      </w:r>
      <w:r>
        <w:t xml:space="preserve">v1.5 (Consultant Handbook 2026). Key Contribution #39. All 4 thesis files bumped to v3.72 in lockstep per CLAUDE.md thesis rule.</w:t>
      </w:r>
    </w:p>
    <w:p>
      <w:pPr>
        <w:numPr>
          <w:ilvl w:val="0"/>
          <w:numId w:val="1001"/>
        </w:numPr>
      </w:pPr>
      <w:r>
        <w:t xml:space="preserve">Version: 3.71 | Tool: Claude Code | Session: claude/article-research-phd-tvmskz | Date: 27.06.2026 | Changes: Lockstep version bump 3.70 → 3.71 across all 4 thesis files per CLAUDE.md thesis rule. The v3.71 substantive content (the Red Queen Gödel Machine signal — RQGM, Iacob et al., arXiv:2606.26294v1, 24.06.2026, Cambridge / NVIDIA / Flower Labs / MBZUAI / Inria — an evolutionary framework for recursive self-improvement under non-stationary utilities via controlled utility evolution; names the conformance-temporal gap where fixed evaluators degrade as agents improve, empirically 1.91× over-acceptance; extends the KYA four-track suite with epoch subscripts requiring evaluator re-validation; derives an Article 12 evaluator-calibration requirement; identifies Flower Labs federated learning as sovereignty-preserving transport for co-evolutionary improvement) is a market-signal / scientific-framing contribution and per the §1.4 master-vs-PhD scope rule lives in PHD_FIREHORSE_EN.md §14.33 and Key Contribution #40. No implementation has shipped; this file receives a lockstep-only version-bump entry. Companion artefact: docs/field-notes/2026-06-27-red-queen-godel-machine-rqgm.md.</w:t>
      </w:r>
    </w:p>
    <w:p>
      <w:pPr>
        <w:numPr>
          <w:ilvl w:val="0"/>
          <w:numId w:val="1001"/>
        </w:numPr>
      </w:pPr>
      <w:r>
        <w:t xml:space="preserve">Version: 3.71 | Tool: Claude Code | Session: claude/keskeytyslaskuri-lifetime-missing-6uaxvu | Date: 27.06.2026 | Changes: Lockstep version bump 3.70 → 3.71 across all 4 thesis files per CLAUDE.md thesis rule. The v3.71 substantive content (interruption-cost economics as a five-driver model extending the CSB-track with a CSB-I sub-track, derived from the Keskeytyslaskuri tool at lifetime.fi/laskuri/) is a market-signal/cost-analysis contribution and per the §1.4 master-vs-PhD scope rule lives in PHD_FIREHORSE_EN.md §14.20.8. No implementation-side content belongs in this master’s thesis for this signal, so this file receives a lockstep-only version-bump entry and no new sections.</w:t>
      </w:r>
    </w:p>
    <w:p>
      <w:pPr>
        <w:numPr>
          <w:ilvl w:val="0"/>
          <w:numId w:val="1001"/>
        </w:numPr>
      </w:pPr>
      <w:r>
        <w:t xml:space="preserve">Version: 3.70 | Tool: Claude Code | Session: claude/nvidia-vera-rubin-card-be8g7t | Date: 25.06.2026 | Changes: Lockstep version bump 3.69 → 3.70 across all 4 thesis files per CLAUDE.md thesis rule. The v3.70 substantive content (the regulated-industry autonomous-engineer category — composing the 51 Firehorse Skilled Agents + workflow orchestrators + the KYA bridge into NemoClaw long-running agents under OpenShell, with the KYA/Article-12/EU-sovereign envelope as the defensible remainder) is a strategy/market-signal contribution and per the §1.4 master-vs-PhD scope rule lives in PHD_FIREHORSE_EN.md §14.32 and Key Contribution #38. No implementation has shipped (thesis/strategy-first decision); this file receives a lockstep-only version-bump entry.</w:t>
      </w:r>
      <w:r>
        <w:t xml:space="preserve"> </w:t>
      </w:r>
      <w:r>
        <w:rPr>
          <w:rStyle w:val="VerbatimChar"/>
        </w:rPr>
        <w:t xml:space="preserve">Learn/</w:t>
      </w:r>
      <w:r>
        <w:t xml:space="preserve"> </w:t>
      </w:r>
      <w:r>
        <w:t xml:space="preserve">HTML regenerated at v3.70 via scripts/gen-thesis-html.cjs.</w:t>
      </w:r>
    </w:p>
    <w:p>
      <w:pPr>
        <w:numPr>
          <w:ilvl w:val="0"/>
          <w:numId w:val="1001"/>
        </w:numPr>
      </w:pPr>
      <w:r>
        <w:t xml:space="preserve">Version: 3.69 | Tool: Claude Code | Session: claude/nvidia-vera-rubin-card-be8g7t | Date: 25.06.2026 | Changes: Lockstep version bump 3.68 → 3.69 across all 4 thesis files per CLAUDE.md thesis rule. The v3.69 substantive content (NVIDIA’s June-2026 EuroHPC EU AI-Factory buildout as the public EU-sovereign training upstream, and NVIDIA’s open agent security stack — NeMo Agent Toolkit, OpenShell kernel-sandbox runtime, NemoClaw, Hermes/Nous Research — as a vendor-backed reference runtime for the KYA ASB/SIB tracks) is a market signal and per the §1.4 master-vs-PhD scope rule lives in PHD_FIREHORSE_EN.md §14.31 and Key Contribution #37. The one implementation-side consequence — migrating the agent runtime from bare OpenClaw to the OpenShell-sandboxed NemoClaw distribution on security grounds — is tracked as a scoped engineering migration, not a new master’s-thesis section, so this file receives a lockstep-only version-bump entry.</w:t>
      </w:r>
      <w:r>
        <w:t xml:space="preserve"> </w:t>
      </w:r>
      <w:r>
        <w:rPr>
          <w:rStyle w:val="VerbatimChar"/>
        </w:rPr>
        <w:t xml:space="preserve">Learn/</w:t>
      </w:r>
      <w:r>
        <w:t xml:space="preserve"> </w:t>
      </w:r>
      <w:r>
        <w:t xml:space="preserve">HTML regenerated at v3.69 via scripts/gen-thesis-html.cjs.</w:t>
      </w:r>
    </w:p>
    <w:p>
      <w:pPr>
        <w:numPr>
          <w:ilvl w:val="0"/>
          <w:numId w:val="1001"/>
        </w:numPr>
      </w:pPr>
      <w:r>
        <w:t xml:space="preserve">Version: 3.68 | Tool: Claude Code | Session: claude/aegis-multilingual-pages-3clsx0 | Date: 23.06.2026 | Changes: Lockstep version bump 3.67 → 3.68 across all 4 thesis files per CLAUDE.md thesis rule. The v3.68 substantive content (EU multilingual terminology as the canonical conformance layer for sovereign regulatory claims — the Regulation (EU) 2021/821 dual-use term across the official EU languages; the international-short-form-vs-national-official register decision; and sovereign-defence-market positioning relative to the Finnish defence-tech ecosystem — Nokia, Patria, VTT, NATO DIANA Espoo, EDIP 2026–2027) is a market/regulatory-positioning signal and per the §1.4 master-vs-PhD scope rule lives in PHD_FIREHORSE_EN.md §14.30 (The EU-Multilingual Sovereignty Surface) and Key Contribution #36. The implementation-side artefact — the Aegis intro page (/aegis) and product page (/products/aegis) rendered in five EU languages (FI/SV/DE/FR/EN) via the vertical language bar (vertical-lang-bar.js v1.3) with in-place dws-lang-stay switching and dual-folder mirror sync on dws10.com — is a thin web GTM-surface change already covered by the existing operations-model framing and requires no new master’s-thesis section.</w:t>
      </w:r>
      <w:r>
        <w:t xml:space="preserve"> </w:t>
      </w:r>
      <w:r>
        <w:rPr>
          <w:rStyle w:val="VerbatimChar"/>
        </w:rPr>
        <w:t xml:space="preserve">Learn/</w:t>
      </w:r>
      <w:r>
        <w:t xml:space="preserve"> </w:t>
      </w:r>
      <w:r>
        <w:t xml:space="preserve">HTML regenerated at v3.68 via scripts/gen-thesis-html.cjs.</w:t>
      </w:r>
    </w:p>
    <w:p>
      <w:pPr>
        <w:numPr>
          <w:ilvl w:val="0"/>
          <w:numId w:val="1001"/>
        </w:numPr>
      </w:pPr>
      <w:r>
        <w:t xml:space="preserve">Version: 3.67 | Tool: Claude Code | Session: claude/thesis-v3.64-lockstep-kqtal1 | Date: 21.06.2026 | Changes: Lockstep version bump 3.66 → 3.67 across all 4 thesis files per CLAUDE.md thesis rule. The v3.67 substantive content (the VTV 10/2026 supreme-audit signal on Finnish public-sector AI readiness) is a market/regulatory signal and per the §1.4 master-vs-PhD scope rule lives in PHD_FIREHORSE_EN.md §14.29 (The Finnish Public-Sector AI-Adoption Audit Signal) and Key Contribution #35. No implementation-side content belongs in this master’s thesis for this signal, so this file receives a lockstep-only version-bump entry and no new sections.</w:t>
      </w:r>
      <w:r>
        <w:t xml:space="preserve"> </w:t>
      </w:r>
      <w:r>
        <w:rPr>
          <w:rStyle w:val="VerbatimChar"/>
        </w:rPr>
        <w:t xml:space="preserve">Learn/</w:t>
      </w:r>
      <w:r>
        <w:t xml:space="preserve"> </w:t>
      </w:r>
      <w:r>
        <w:t xml:space="preserve">HTML regenerated at v3.67 via scripts/gen-thesis-html.cjs.</w:t>
      </w:r>
    </w:p>
    <w:p>
      <w:pPr>
        <w:numPr>
          <w:ilvl w:val="0"/>
          <w:numId w:val="1001"/>
        </w:numPr>
      </w:pPr>
      <w:r>
        <w:t xml:space="preserve">Version: 3.66 | Tool: Claude Code | Session: claude/thesis-v3.64-lockstep-kqtal1 | Date: 21.06.2026 | Changes: Added §5.2.1 (Milestone: Agents → Loops → Workflows, June 2026) — implementation evidence for the three-layer AI-native stack: 50 production Skilled Agents (BaseAgent + ledger-native output contract per Firehorse 7), the Maker–Checker Loop Engineering primitive (PR #1447, commit d34876a, shipped 2026-06-08; disk-persisted state / budget gate / safety gate / resumable), and live multi-agent Workflows (MCP Hub fan-out/sequential/reflection); summary table included. Provenance: deferred content from branch claude/lifetime-agents-loops-workflows-t3448v (commit abe8409,</w:t>
      </w:r>
      <w:r>
        <w:t xml:space="preserve"> </w:t>
      </w:r>
      <w:r>
        <w:t xml:space="preserve">“</w:t>
      </w:r>
      <w:r>
        <w:t xml:space="preserve">v3.64 lockstep</w:t>
      </w:r>
      <w:r>
        <w:t xml:space="preserve">”</w:t>
      </w:r>
      <w:r>
        <w:t xml:space="preserve">), held back from PR #1465; rebuilt against current main and renumbered v3.64→v3.66 because main had independently consumed v3.63/v3.64. The scientific/operating-model framing (3–7 year horizon, EU AI Act Articles 12/14/15 properties, structural-sequencing thesis) lives in PHD_FIREHORSE_EN/FI §14.28 and Key Contribution #34 per the §1.4 master-vs-PhD scope rule. All 4 thesis files bumped to v3.66 in lockstep.</w:t>
      </w:r>
    </w:p>
    <w:p>
      <w:pPr>
        <w:numPr>
          <w:ilvl w:val="0"/>
          <w:numId w:val="1001"/>
        </w:numPr>
      </w:pPr>
      <w:r>
        <w:t xml:space="preserve">Version: 3.65 | Tool: Claude Code (claude-opus-4-8) | Session: claude/modest-keller-dGHtw | Date: 22.06.2026 | Changes: Lockstep version bump 3.64 → 3.65 across all 4 thesis files per CLAUDE.md thesis rule. No content change in this master’s thesis file: the v3.65 substantive addition is a demand-side market signal (Simon Willison’s 29.05.2026 round-up confirming enterprise customers pay the listed per-token API price as of April 2026, newest frontier models raising price, Anthropic’s reported ~$1.25B/month SpaceX Colossus inference spend, and Opus-4.8 honesty/abstention gains) which per the master-vs-PhD scope rule §1.4 belongs in the PhD thesis only. See PHD_FIREHORSE_EN.md §14.20.7 (Week-22 Confirmation: The April-2026 Full-Price Inflection and the Verification-Cost Corollary) for the scientific framing, including the verification-cost refinement to the CSB-track (cost-surface stability governed by both inbound token price and outbound verification cost). The implementation-side properties of the Firehorse Operations Model exposed to this signal (Spark owned compute §10.10.6.1, prompt caching, OpenClaw on owned hardware) are already documented in this master’s thesis and require no new sections — the signal validates the existing implementation discipline. Companion artefact: docs/field-notes/2026-06-01-simon-willison-pmf-api-cost-edge-moat.md; customer-facing surfacing on dws10.com homepage (</w:t>
      </w:r>
      <w:r>
        <w:t xml:space="preserve">“</w:t>
      </w:r>
      <w:r>
        <w:t xml:space="preserve">The European Moat</w:t>
      </w:r>
      <w:r>
        <w:t xml:space="preserve">”</w:t>
      </w:r>
      <w:r>
        <w:t xml:space="preserve">) and buy page (</w:t>
      </w:r>
      <w:r>
        <w:t xml:space="preserve">“</w:t>
      </w:r>
      <w:r>
        <w:t xml:space="preserve">No Per-Token Cost</w:t>
      </w:r>
      <w:r>
        <w:t xml:space="preserve">”</w:t>
      </w:r>
      <w:r>
        <w:t xml:space="preserve">), both mirrored to landing-pages/dws10-com/.</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3.64 | Tool: Claude Code (claude-sonnet-4-6) | Session: claude/capital-classes-audit-jgworp | Date: 20.06.2026 | Changes: Added §10.23.7 (Mapping the Four Capital Classes to the Architecture) — maps the 4P canon (Prompt, People, Plant, Perception) to the DWS IQ 6 Brain-Memory-Body-Hands architecture with a component mapping table and cross-references; introduces the GTM land-and-expand pattern as the implementation-level consequence of Perception Capital’s accumulation mechanism; Key Contribution #33. Lockstep version bump 3.63 → 3.64 per CLAUDE.md thesis rule; PhD §14.26/§14.27 (theory + Kaukopää case) in PHD_FIREHORSE_EN/FI.md are the scientific framing (PhD scope per §1.4). Companion artefacts: docs/field-notes/2026-06-19-token-capital-human-capital-control-room-capital.md (v2.0), DWS_BRAND_STANDARD.md §23.</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3.63 | Tool: Claude Code (claude-fable-5) | Session: claude/token-human-capital-mjrbc7 | Date: 19.06.2026 | Changes: Added §10.23 (Three-Capital Accumulation Model — Token Capital, Human Capital, Control Room Capital as Durable Assets of the DWS IQ 6 Operating Model). Implementation-side content per the §1.4 master-vs-PhD scope rule: documents the 7-month HIL phase (Oct 2025 – Jun 2026) as a production engineering event, the measured token capital inventory (30+ skills, 150+ field notes, 50-agent foundry, Article 12 audit trail), the Control Room architecture as deployed in DWS IQ 6, and the HIL → HIC operational transition observable from June 2026. The market-signal and scientific framing (Nadella Build 2026, theoretical three-capital model, competitive barrier analysis, KYA Standard extension) lives in PHD_FIREHORSE_EN.md §14.25 and Key Contribution #30. All 4 thesis files bumped to v3.63 in lockstep per CLAUDE.md thesis rule. Companion artefact: docs/field-notes/2026-06-19-token-capital-human-capital-control-room-capital.md.</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3.62 | Tool: Claude Code | Session: claude/ai-spending-coalition-china-b8d2c | Date: 07.06.2026 | Changes: Lockstep version bump 3.61 → 3.62 across all 4 thesis files per CLAUDE.md thesis rule. Per the §1.4 master-vs-PhD scope rule, the v3.62 substantive content (a year-by-year study of AI expenditure by the</w:t>
      </w:r>
      <w:r>
        <w:t xml:space="preserve"> </w:t>
      </w:r>
      <w:r>
        <w:t xml:space="preserve">“</w:t>
      </w:r>
      <w:r>
        <w:t xml:space="preserve">coalition of the willing</w:t>
      </w:r>
      <w:r>
        <w:t xml:space="preserve">”</w:t>
      </w:r>
      <w:r>
        <w:t xml:space="preserve"> </w:t>
      </w:r>
      <w:r>
        <w:t xml:space="preserve">— G7 + aligned partners — versus China, scope = all AI investment) is market-signal / scientific framing and lives in PHD_FIREHORSE_EN.md §14.24 (The AI-Spending Asymmetry: G7-plus-Partners Capital Dominance, China’s Capital-Efficiency Counter-Trajectory, and the Sovereign-Compute Implication) and Key Contribution #29. No implementation-side content belongs in this master’s thesis for this signal, so this file receives a lockstep-only version-bump entry and no new sections. Primary sources for the PhD section: Stanford HAI AI Index Report 2025 &amp; 2026 (Economy chapters); Paris AI Action Summit (Feb 2025); G7 2025 (Canadian presidency) AI Adoption Roadmap.</w:t>
      </w:r>
    </w:p>
    <w:p>
      <w:pPr>
        <w:numPr>
          <w:ilvl w:val="0"/>
          <w:numId w:val="1001"/>
        </w:numPr>
      </w:pPr>
      <w:r>
        <w:t xml:space="preserve">Version: 3.61 | Tool: Claude Code (claude-opus-4-7) | Session: claude/sovereignty-field-note-2-R0Un5 | Date: 28.05.2026 | Changes: Lockstep version bump 3.60 → 3.61 across all 4 thesis files per CLAUDE.md thesis rule. Per the §1.4 master-vs-PhD scope rule, the v3.61 substantive content (the three-pillar × three-jurisdiction sovereignty taxonomy and the post-quantum cryptographic overlay) is market-signal / scientific framing and lives in PHD_FIREHORSE_EN.md §14.23 (Three-Pillar Sovereignty Taxonomy and Jurisdiction-Dependent Dynamics in Global Enterprises) and Key Contribution #28; the §1.2 PhD research questions have been restructured with Sovereignty as item #1 (the connecting research thread) and the §1.6 supervisor letter to Prof. Kari Smolander has been refreshed to v3.61. The implementation-side properties of the Firehorse Operations Model that compose with this taxonomy (DWS6’s Aegis / Sovereign Infra / Connect product segmentation per</w:t>
      </w:r>
      <w:r>
        <w:t xml:space="preserve"> </w:t>
      </w:r>
      <w:r>
        <w:rPr>
          <w:rStyle w:val="VerbatimChar"/>
        </w:rPr>
        <w:t xml:space="preserve">DWS_DEPLOYMENT_STANDARD.md</w:t>
      </w:r>
      <w:r>
        <w:t xml:space="preserve"> </w:t>
      </w:r>
      <w:r>
        <w:t xml:space="preserve">lines 165–172) are already documented in this master’s thesis in the sovereignty segmentation discussions, and no new implementation sections are required. This commit adds a new closing section</w:t>
      </w:r>
      <w:r>
        <w:t xml:space="preserve"> </w:t>
      </w:r>
      <w:r>
        <w:t xml:space="preserve">“</w:t>
      </w:r>
      <w:r>
        <w:t xml:space="preserve">Bibliography (Oxford)</w:t>
      </w:r>
      <w:r>
        <w:t xml:space="preserve">”</w:t>
      </w:r>
      <w:r>
        <w:t xml:space="preserve"> </w:t>
      </w:r>
      <w:r>
        <w:t xml:space="preserve">listing the canonical sources referenced from this master’s thesis, together with the chapter index showing which chapter cites which source (Oxford notes-bibliography style). Companion artefacts: docs/field-notes/2026-05-28-three-pillars-sovereignty-global.md (bilingual EN+FI field note), onelifetime.world/posts/sovereignty-field-note-2-three-pillars.html (EN canonical) + .fi.html (FI mirror) with landing-pages mirrors, docs/sales/2026-05-28-rightful-oy-partnership-proposal.md, and the Shufti partner letter refresh.</w:t>
      </w:r>
    </w:p>
    <w:p>
      <w:pPr>
        <w:numPr>
          <w:ilvl w:val="0"/>
          <w:numId w:val="1001"/>
        </w:numPr>
      </w:pPr>
      <w:r>
        <w:t xml:space="preserve">Version: 3.60 | Tool: Claude Code (claude-opus-4-7) | Session: claude/ai-services-audit-eY3rW | Date: 27.05.2026 | Changes: Lockstep version bump 3.59 → 3.60 across all 4 thesis files per CLAUDE.md thesis rule. No content change in this master’s thesis file: the v3.60 substantive addition is a services-tier market signal (2026-05-04 formation of a $1.5B AI-native enterprise services firm — Anthropic $300M + Blackstone $300M + Hellman &amp; Friedman $300M + Goldman Sachs $150M founding — targeting mid-sized businesses deploying Claude across core operations; 2026-05-21 acquisition of Fractional AI as the operational centrepiece, ending Fractional’s 11-month OpenAI partnership) which per the master-vs-PhD scope rule §1.4 belongs in the PhD thesis only. See PHD_FIREHORSE_EN.md §14.22 (Model-Provider-Aligned Services Tier: The Anthropic / Blackstone / Hellman &amp; Friedman / Goldman Sachs Vehicle and the Sovereign-Outcome Counter-Position) and Key Contribution #27 (Model-Provider-Aligned Services Tier and the Sovereign-Outcome Counter-Position) for the scientific framing, including the elevation of competitive positioning to a KYA conformance predicate testable via the existing four-track ASB / EAB / CSB / SIB vocabulary. The implementation-side properties of the Firehorse Operations Model that compose with this signal (catalogue repositioning of 8 Red-zone consultancy SKUs, two new outcome-priced SKUs AIS-EU-SOV-OC and AIS-OUTCOME-PILOT, retirement of two</w:t>
      </w:r>
      <w:r>
        <w:t xml:space="preserve"> </w:t>
      </w:r>
      <w:r>
        <w:rPr>
          <w:rStyle w:val="VerbatimChar"/>
        </w:rPr>
        <w:t xml:space="preserve">_OLD</w:t>
      </w:r>
      <w:r>
        <w:t xml:space="preserve"> </w:t>
      </w:r>
      <w:r>
        <w:t xml:space="preserve">SKUs, promotion of six defensible regulatory / sovereignty SKUs to featured) are operationally codified in</w:t>
      </w:r>
      <w:r>
        <w:t xml:space="preserve"> </w:t>
      </w:r>
      <w:r>
        <w:rPr>
          <w:rStyle w:val="VerbatimChar"/>
        </w:rPr>
        <w:t xml:space="preserve">scripts/ai_services_audit_apply.py</w:t>
      </w:r>
      <w:r>
        <w:t xml:space="preserve"> </w:t>
      </w:r>
      <w:r>
        <w:t xml:space="preserve">and applied to</w:t>
      </w:r>
      <w:r>
        <w:t xml:space="preserve"> </w:t>
      </w:r>
      <w:r>
        <w:rPr>
          <w:rStyle w:val="VerbatimChar"/>
        </w:rPr>
        <w:t xml:space="preserve">dws10.com/config/products.json</w:t>
      </w:r>
      <w:r>
        <w:t xml:space="preserve"> </w:t>
      </w:r>
      <w:r>
        <w:t xml:space="preserve">plus the dual-folder mirror in the same commit set as part of normal product operations; they do not require new master’s-thesis sections because the catalogue layer is a product-implementation artefact already covered by the existing operations-model framing.</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3.59 | Tool: Claude Code (Opus 4.7) | Session: claude/unitree-robotics-story-Ggp7v | Date: 23.05.2026 | Changes: Lockstep version bump 3.58 → 3.59 across all 4 thesis files per CLAUDE.md thesis rule. No content change in this master’s thesis file: the v3.59 substantive addition is a market signal (Unitree Robotics commercial profile — humanoids at $5,900 vs Boston Dynamics quadruped at $74,500, ~70% global quadruped market, 7,000+ humanoids deployed across 600+ industrial sites, only profitable humanoid manufacturer on Earth + the 200-hour 249,000-package autonomous warehouse run + PLA/Ukraine weaponisation footage and House China Committee letter + documented Go1/G1 security findings: default-credential remote tunnel, fleet-wide shared encryption key, Bluetooth self-propagation, mandatory 5-minute telemetry to PRC-reachable infrastructure on the G1) which per the master-vs-PhD scope rule §1.4 belongs in the PhD thesis only. See PHD_FIREHORSE_EN.md §14.21 (The Chinese Humanoid Signal: Vertical-Integration Moat, Embodied-AI Commercial Maturity, and the Security-vs-Sovereignty Tension) and Key Contribution #26 (The Vertical-Integration Moat and Substrate-Integrity Conformance in Embodied-AI Operating Models) for the scientific framing, including the new SIB-track (Substrate-Integrity Conformance) extending the KYA Standard to a four-track suite ASB / EAB / CSB / SIB and operationally specifying the §14.13 LWM Sequencing Strategy Phase 3 (physical AI) qualifying property. The implementation-side properties of the Firehorse Operations Model that compose with this signal (KYA-bound agent population, hardware-attested harness §14.12, LWM Sequencing Strategy §14.13, owned-substrate testbed) are already documented in their respective sections of this master’s thesis and require no further additions — the signal validates the existing implementation discipline and adds a standards-layer extension (SIB-track) that belongs to the PhD scientific scope rather than master’s product-implementation scope.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3.58 | Tool: Claude Code (Opus 4.7) | Session: claude/ai-pricing-enterprise-Cnzfu | Date: 21.05.2026 | Changes: Lockstep version bump 3.57 → 3.58 across all 4 thesis files per CLAUDE.md thesis rule. No content change in this master’s thesis file: the v3.58 substantive addition is a demand-side market signal (Microsoft cancels internal Claude Code licenses on token-billing grounds despite ~$13B OpenAI stake + Anthropic-powering Azure capacity; Uber CTO memo — entire 2026 AI budget consumed in four months; US AI software prices +20–37% in H1 2026; GitHub flat-rate plans phased out for usage-based billing across Copilot/Codespaces/Actions) which per the master-vs-PhD scope rule §1.4 belongs in the PhD thesis only. See PHD_FIREHORSE_EN.md §14.20 (AI Pricing Capitulation: The Token-Based Billing Squeeze and the Operating-Cost Discipline of Owned-Compute Operations) and Key Contribution #25 (Demand-Side Capitulation and the Cost-Surface Stability Dimension of Agentic AI Conformity) for the scientific framing, including the new CSB-track (Cost-Surface Stability under deployment) extending EU AI Act Article 14 oversight from quality to affordability-stability variable. The implementation-side properties of the Firehorse Operations Model that are exposed to this signal (Spark NVFP4 owned compute §10.10.6.1, prompt caching architecture, OpenClaw on owned hardware, Proton mailbox-per-agent, multi-provider routing with task-aware model-selector) are already documented in their respective sections of this master’s thesis and require no further additions — the signal validates the existing implementation discipline rather than triggering new product work.</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3.57 | Tool: Claude Code (Opus 4.7) | Session: claude/multi-agent-ai-alignment-F2NIO | Date: 17.05.2026 | Changes: Lockstep version bump 3.56 → 3.57 across all 4 thesis files per CLAUDE.md thesis rule. No content change in this master’s thesis file: the v3.57 substantive addition is a market/standardisation signal (Shapira et al. </w:t>
      </w:r>
      <w:r>
        <w:t xml:space="preserve">“</w:t>
      </w:r>
      <w:r>
        <w:t xml:space="preserve">Agents of Chaos</w:t>
      </w:r>
      <w:r>
        <w:t xml:space="preserve">”</w:t>
      </w:r>
      <w:r>
        <w:t xml:space="preserve"> </w:t>
      </w:r>
      <w:r>
        <w:t xml:space="preserve">arXiv:2602.20021 + Emergence AI</w:t>
      </w:r>
      <w:r>
        <w:t xml:space="preserve"> </w:t>
      </w:r>
      <w:r>
        <w:t xml:space="preserve">“</w:t>
      </w:r>
      <w:r>
        <w:t xml:space="preserve">Emergence World</w:t>
      </w:r>
      <w:r>
        <w:t xml:space="preserve">”</w:t>
      </w:r>
      <w:r>
        <w:t xml:space="preserve"> </w:t>
      </w:r>
      <w:r>
        <w:t xml:space="preserve">world.emergence.ai → KYA Standard falsifiability locus) which per the master-vs-PhD scope rule §1.4 belongs in the PhD thesis only. See PHD_FIREHORSE_EN.md §14.19 (Multi-Agent Emergent Misalignment and Incentive Design as the Alignment Unit) and Key Contribution #24 for the scientific framing.</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3.56 | Tool: Claude Code | Session: claude/compare-qwen-deepseek-E6Gly | Date: 16.05.2026 | Changes: Added §10.10.6.1 (Hardware Brain Update — May 2026) documenting the Spark Primary tier swap from</w:t>
      </w:r>
      <w:r>
        <w:t xml:space="preserve"> </w:t>
      </w:r>
      <w:r>
        <w:rPr>
          <w:rStyle w:val="VerbatimChar"/>
        </w:rPr>
        <w:t xml:space="preserve">llama3.3:70b</w:t>
      </w:r>
      <w:r>
        <w:t xml:space="preserve"> </w:t>
      </w:r>
      <w:r>
        <w:t xml:space="preserve">to</w:t>
      </w:r>
      <w:r>
        <w:t xml:space="preserve"> </w:t>
      </w:r>
      <w:r>
        <w:rPr>
          <w:rStyle w:val="VerbatimChar"/>
        </w:rPr>
        <w:t xml:space="preserve">nemotron-3-super</w:t>
      </w:r>
      <w:r>
        <w:t xml:space="preserve"> </w:t>
      </w:r>
      <w:r>
        <w:t xml:space="preserve">(~4.5× decode speedup, MoE 123.6B / 12.7B active, Mamba-2 + attention + Latent MoE, NVFP4-pretrained), the Fast tier upgrade from</w:t>
      </w:r>
      <w:r>
        <w:t xml:space="preserve"> </w:t>
      </w:r>
      <w:r>
        <w:rPr>
          <w:rStyle w:val="VerbatimChar"/>
        </w:rPr>
        <w:t xml:space="preserve">qwen2.5-coder:32b</w:t>
      </w:r>
      <w:r>
        <w:t xml:space="preserve"> </w:t>
      </w:r>
      <w:r>
        <w:t xml:space="preserve">to</w:t>
      </w:r>
      <w:r>
        <w:t xml:space="preserve"> </w:t>
      </w:r>
      <w:r>
        <w:rPr>
          <w:rStyle w:val="VerbatimChar"/>
        </w:rPr>
        <w:t xml:space="preserve">qwen3-coder:30b</w:t>
      </w:r>
      <w:r>
        <w:t xml:space="preserve">, and the addition of OpenClaw as a first-class compose service for EU-sovereign no-egress agent workloads. Implementation artefacts cited: field note 2026-03-29 v1.6, DWS_DEPLOYMENT_STANDARD.md v1.4, docker-compose.yml, DWS7_ROADMAP.md PR 161 re-base. Market-signal rationale (compute scarcity, NVFP4 hardware moat) cross-referenced to PHD_FIREHORSE_EN §14.18 per the master-vs-PhD scope rule §1.4. All 4 thesis files bumped to v3.56 in lockstep per CLAUDE.md thesis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3.55 | Tool: GitHub Copilot CLI (GPT-5.3-Codex) | Session: main | Date: 11.05.2026 | Changes: Version bump from 3.54 to 3.55 in lockstep across all 4 thesis files; fixed VERSION AND AGENT HISTORY closing delimiter to ***; regenerated Learn thesis HTML outputs at v3.55</w:t>
      </w:r>
    </w:p>
    <w:p>
      <w:pPr>
        <w:numPr>
          <w:ilvl w:val="0"/>
          <w:numId w:val="1001"/>
        </w:numPr>
      </w:pPr>
      <w:r>
        <w:t xml:space="preserve">Version: 3.54 | Tool: Claude Code (Sonnet 4.6) | Session: main | Date: 10.05.2026 | Changes: Added §1.4 Content Scope Rule — master’s thesis is product/implementation-focused, excludes market intelligence and long-horizon roadmap; scope rule written into CLAUDE.md and mirrored in all 4 thesis files; PhD thesis differentiation formalized; version bump in lockstep per CLAUDE.md thesis rule</w:t>
      </w:r>
    </w:p>
    <w:p>
      <w:pPr>
        <w:numPr>
          <w:ilvl w:val="0"/>
          <w:numId w:val="1001"/>
        </w:numPr>
      </w:pPr>
      <w:r>
        <w:t xml:space="preserve">Version: 3.53 | Tool: Claude Code (Sonnet 4.6) | Session: main | Date: 10.05.2026 | Changes: Added agent accountability and observability layer as new Key Contribution: AgentLogger (structured JSONL + non-blocking Supabase agent_executions), AgentVersionRegistry for version rollback, drift-detector.ts daily confidence-drop reports, eval-runner.ts compliance dataset scoring — directly implements EU AI Act Articles 9 (risk management), 12 (logging), and 14 (human oversight) obligations as running production code; Baseten added as OpenAI-compatible LLM provider expanding multi-provider routing to Groq/Baseten/OpenAI with task-aware model-selector; /case-run skill registered (Themis v2.0 case-coordinate action — case-type→sub-agent mapping), Legora AOS competitive analysis documenting DWS Case entity roadmap P0 actions; Outokumpu CBAM partnership model as first industrial-buyer compliance cost quantification case; TokenSpeed inference engine field note (LightSeek MIT — TensorRT-LLM-class throughput, DGX Spark fit assessment); all 4 thesis files bumped in lockstep per CLAUDE.md thesis rule</w:t>
      </w:r>
    </w:p>
    <w:p>
      <w:pPr>
        <w:numPr>
          <w:ilvl w:val="0"/>
          <w:numId w:val="1001"/>
        </w:numPr>
      </w:pPr>
      <w:r>
        <w:t xml:space="preserve">Version: 3.52 | Tool: Claude Code (Opus 4.7) | Session: claude/update-thesis-ontology-blog-3RGKG | Date: 29.04.2026 | Changes: Added Section 1.6</w:t>
      </w:r>
      <w:r>
        <w:t xml:space="preserve"> </w:t>
      </w:r>
      <w:r>
        <w:t xml:space="preserve">“</w:t>
      </w:r>
      <w:r>
        <w:t xml:space="preserve">Ontology — Etymology and Philosophical Background</w:t>
      </w:r>
      <w:r>
        <w:t xml:space="preserve">”</w:t>
      </w:r>
      <w:r>
        <w:t xml:space="preserve"> </w:t>
      </w:r>
      <w:r>
        <w:t xml:space="preserve">linking the thesis to ONTOLOGY.md v1.3 (Greek ón + lógos, Aristotle, scholastic 17th–18th c. systematization, modern computer-science meaning). Aligns thesis terminology with the canonical DWS Ontology Standard. All 4 thesis files bumped in lockstep per CLAUDE.md thesis rule.</w:t>
      </w:r>
    </w:p>
    <w:p>
      <w:pPr>
        <w:numPr>
          <w:ilvl w:val="0"/>
          <w:numId w:val="1001"/>
        </w:numPr>
      </w:pPr>
      <w:r>
        <w:t xml:space="preserve">Version: 3.51 | Tool: Claude Code (Haiku 4.5) | Session: claude/sync-version-numbering-adEeB | Date: 28.04.2026 | Changes: Bumped from 3.39 to 3.51 (12 steps × 0.01). Unified thesis version track maintained. Created new Tutkimussuunnitelma_3.51.md (Research Plan) with three research streams (KYA standardization, DWS 7 empirical testbed, dual-use industries), eight research questions,</w:t>
      </w:r>
      <w:r>
        <w:t xml:space="preserve"> </w:t>
      </w:r>
      <w:r>
        <w:t xml:space="preserve">“</w:t>
      </w:r>
      <w:r>
        <w:t xml:space="preserve">Human in Command ja Human in Loop</w:t>
      </w:r>
      <w:r>
        <w:t xml:space="preserve">”</w:t>
      </w:r>
      <w:r>
        <w:t xml:space="preserve"> </w:t>
      </w:r>
      <w:r>
        <w:t xml:space="preserve">governance framework; versioning format rule (.X9 → .X+1,0) documented for DWS_DOCUMENT_STANDARD.md §5</w:t>
      </w:r>
    </w:p>
    <w:p>
      <w:pPr>
        <w:numPr>
          <w:ilvl w:val="0"/>
          <w:numId w:val="1001"/>
        </w:numPr>
      </w:pPr>
      <w:r>
        <w:t xml:space="preserve">Version: 3.39 | Tool: Claude Code (Opus 4.7) | Session: claude/kya-memory-binding-RuJ0G | Date: 23.04.2026 | Changes: Terminology rename —</w:t>
      </w:r>
      <w:r>
        <w:t xml:space="preserve"> </w:t>
      </w:r>
      <w:r>
        <w:t xml:space="preserve">“</w:t>
      </w:r>
      <w:r>
        <w:t xml:space="preserve">Aiven overlay</w:t>
      </w:r>
      <w:r>
        <w:t xml:space="preserve">”</w:t>
      </w:r>
      <w:r>
        <w:t xml:space="preserve"> </w:t>
      </w:r>
      <w:r>
        <w:t xml:space="preserve">/</w:t>
      </w:r>
      <w:r>
        <w:t xml:space="preserve"> </w:t>
      </w:r>
      <w:r>
        <w:t xml:space="preserve">“</w:t>
      </w:r>
      <w:r>
        <w:t xml:space="preserve">Aiven layer</w:t>
      </w:r>
      <w:r>
        <w:t xml:space="preserve">”</w:t>
      </w:r>
      <w:r>
        <w:t xml:space="preserve"> </w:t>
      </w:r>
      <w:r>
        <w:t xml:space="preserve">(deprecated infrastructure labels) →</w:t>
      </w:r>
      <w:r>
        <w:t xml:space="preserve"> </w:t>
      </w:r>
      <w:r>
        <w:t xml:space="preserve">“</w:t>
      </w:r>
      <w:r>
        <w:t xml:space="preserve">Article 12 Logging Pipeline</w:t>
      </w:r>
      <w:r>
        <w:t xml:space="preserve">”</w:t>
      </w:r>
      <w:r>
        <w:t xml:space="preserve"> </w:t>
      </w:r>
      <w:r>
        <w:t xml:space="preserve">per new DWS_ARTICLE_12_LOGGING_STANDARD.md v1.0 (unified 3-tier canonical term). Aiven remains the correct name for the Postgres SaaS. All 4 thesis files bumped in lockstep per CLAUDE.md thesis rule; only V3Thesis_EN had the infra-context string in content</w:t>
      </w:r>
    </w:p>
    <w:p>
      <w:pPr>
        <w:numPr>
          <w:ilvl w:val="0"/>
          <w:numId w:val="1001"/>
        </w:numPr>
      </w:pPr>
      <w:r>
        <w:t xml:space="preserve">Version: 3.38 | Tool: Claude Code (Opus 4.7) | Session: claude/kya-memory-binding-RuJ0G | Date: 23.04.2026 | Changes: Typo correction —</w:t>
      </w:r>
      <w:r>
        <w:t xml:space="preserve"> </w:t>
      </w:r>
      <w:r>
        <w:t xml:space="preserve">“</w:t>
      </w:r>
      <w:r>
        <w:t xml:space="preserve">Aiwen</w:t>
      </w:r>
      <w:r>
        <w:t xml:space="preserve">”</w:t>
      </w:r>
      <w:r>
        <w:t xml:space="preserve"> </w:t>
      </w:r>
      <w:r>
        <w:t xml:space="preserve">→</w:t>
      </w:r>
      <w:r>
        <w:t xml:space="preserve"> </w:t>
      </w:r>
      <w:r>
        <w:t xml:space="preserve">“</w:t>
      </w:r>
      <w:r>
        <w:t xml:space="preserve">Aiven</w:t>
      </w:r>
      <w:r>
        <w:t xml:space="preserve">”</w:t>
      </w:r>
      <w:r>
        <w:t xml:space="preserve"> </w:t>
      </w:r>
      <w:r>
        <w:t xml:space="preserve">(Aiven.io is our Helsinki Postgres partner) as part of repo-wide sweep of 116 files; no content change beyond the spelling fix; unified version track preserved (all 4 thesis files bumped in lockstep per CLAUDE.md thesis rule)</w:t>
      </w:r>
    </w:p>
    <w:p>
      <w:pPr>
        <w:numPr>
          <w:ilvl w:val="0"/>
          <w:numId w:val="1001"/>
        </w:numPr>
      </w:pPr>
      <w:r>
        <w:t xml:space="preserve">Version: 3.37 | Tool: Claude Code (Opus 4.7) | Session: claude/rename-godagents-skilled-dXqBs | Date: 22.04.2026 | Changes: Added Section 10.22 (DWS Skilled Taxonomy — Three Tiers Across Agents, Workflows, and Jurisdictions); deprecated</w:t>
      </w:r>
      <w:r>
        <w:t xml:space="preserve"> </w:t>
      </w:r>
      <w:r>
        <w:t xml:space="preserve">“</w:t>
      </w:r>
      <w:r>
        <w:t xml:space="preserve">GodAgent</w:t>
      </w:r>
      <w:r>
        <w:t xml:space="preserve">”</w:t>
      </w:r>
      <w:r>
        <w:t xml:space="preserve">/</w:t>
      </w:r>
      <w:r>
        <w:t xml:space="preserve">“</w:t>
      </w:r>
      <w:r>
        <w:t xml:space="preserve">Godagent</w:t>
      </w:r>
      <w:r>
        <w:t xml:space="preserve">”</w:t>
      </w:r>
      <w:r>
        <w:t xml:space="preserve"> </w:t>
      </w:r>
      <w:r>
        <w:t xml:space="preserve">branding; codified the</w:t>
      </w:r>
      <w:r>
        <w:t xml:space="preserve"> </w:t>
      </w:r>
      <w:r>
        <w:rPr>
          <w:rStyle w:val="VerbatimChar"/>
        </w:rPr>
        <w:t xml:space="preserve">Skilled &lt;Axis&gt;</w:t>
      </w:r>
      <w:r>
        <w:t xml:space="preserve"> </w:t>
      </w:r>
      <w:r>
        <w:t xml:space="preserve">/</w:t>
      </w:r>
      <w:r>
        <w:t xml:space="preserve"> </w:t>
      </w:r>
      <w:r>
        <w:rPr>
          <w:rStyle w:val="VerbatimChar"/>
        </w:rPr>
        <w:t xml:space="preserve">Industrial Specialist &lt;Axis&gt;</w:t>
      </w:r>
      <w:r>
        <w:t xml:space="preserve"> </w:t>
      </w:r>
      <w:r>
        <w:t xml:space="preserve">/</w:t>
      </w:r>
      <w:r>
        <w:t xml:space="preserve"> </w:t>
      </w:r>
      <w:r>
        <w:rPr>
          <w:rStyle w:val="VerbatimChar"/>
        </w:rPr>
        <w:t xml:space="preserve">Industry &lt;Axis&gt;</w:t>
      </w:r>
      <w:r>
        <w:t xml:space="preserve"> </w:t>
      </w:r>
      <w:r>
        <w:t xml:space="preserve">three-tier pattern across three active axes (Agents, Workflows, Jurisdictions — EU/US/Aiven); pattern designed for extensibility to future capability axes (Datasets, Models, Regulations, Reports); added count-dynamism patterns (open-ended</w:t>
      </w:r>
      <w:r>
        <w:t xml:space="preserve"> </w:t>
      </w:r>
      <w:r>
        <w:rPr>
          <w:rStyle w:val="VerbatimChar"/>
        </w:rPr>
        <w:t xml:space="preserve">18+</w:t>
      </w:r>
      <w:r>
        <w:t xml:space="preserve">, registry-anchored, product-scoped); codified exclusions (Docker/infra identifiers, Pantheon Greek-mythology brand, historical records); canonical source of truth is</w:t>
      </w:r>
      <w:r>
        <w:t xml:space="preserve"> </w:t>
      </w:r>
      <w:r>
        <w:rPr>
          <w:rStyle w:val="VerbatimChar"/>
        </w:rPr>
        <w:t xml:space="preserve">docs/Deputy-Agents-Architecture.md</w:t>
      </w:r>
      <w:r>
        <w:t xml:space="preserve"> </w:t>
      </w:r>
      <w:r>
        <w:t xml:space="preserve">§1 Terminology; added Key Contribution #31</w:t>
      </w:r>
    </w:p>
    <w:p>
      <w:pPr>
        <w:numPr>
          <w:ilvl w:val="0"/>
          <w:numId w:val="1001"/>
        </w:numPr>
      </w:pPr>
      <w:r>
        <w:t xml:space="preserve">Version: 3.36 | Tool: GitHub Copilot CLI (GPT-5.3-Codex) | Session: f2a5b1e0-a01c-489a-8d33-fde09a7dd970 | Date: 21.04.2026 | Changes: Expanded Section 10.21 with Boardy-sourced refinements: KYA open-source standard path via Agentic AI Foundation / Linux Foundation, explicit NIST status (not submitted), Article 1 title lock, 2026-2029 publication phasing, and EIC Step 1 deliverable linkage; added Key Contribution #30</w:t>
      </w:r>
    </w:p>
    <w:p>
      <w:pPr>
        <w:numPr>
          <w:ilvl w:val="0"/>
          <w:numId w:val="1001"/>
        </w:numPr>
      </w:pPr>
      <w:r>
        <w:t xml:space="preserve">Version: 3.35 | Tool: GitHub Copilot CLI (GPT-5.3-Codex) | Session: f2a5b1e0-a01c-489a-8d33-fde09a7dd970 | Date: 21.04.2026 | Changes: Added Section 10.21 (doctoral-track targeting): KYA positioned toward Agentic AI Foundation standardization, DWS 7 objectives as empirical frame, DWS 5 -&gt; hydrogen-economy continuity, dual-use stream with Nokia Defence discussions, Aegis/Sovereign Infra/Connect sovereignty segmentation (core figure), Siemens and NVIDIA Connect collaboration anchors, and supervisor-response structure; added Key Contribution #29</w:t>
      </w:r>
    </w:p>
    <w:p>
      <w:pPr>
        <w:numPr>
          <w:ilvl w:val="0"/>
          <w:numId w:val="1001"/>
        </w:numPr>
      </w:pPr>
      <w:r>
        <w:t xml:space="preserve">Version: 3.34 | Tool: Claude Code (Opus 4.7) | Session: claude/update-thesis-work-EoyoF | Date: 20.04.2026 | Changes: Added Section 10.20 (April 2026 Evolution) — four subsections covering Anthropic Skills Paradigm validation (external confirmation of DWS skill-first architecture from §10.13.3), Lifetime Fleet roadmap crystallization (Finland Drone Strategy 2030 + Baltic-first 12–16wk MVP graduating</w:t>
      </w:r>
      <w:r>
        <w:t xml:space="preserve"> </w:t>
      </w:r>
      <w:r>
        <w:t xml:space="preserve">“</w:t>
      </w:r>
      <w:r>
        <w:t xml:space="preserve">Hands</w:t>
      </w:r>
      <w:r>
        <w:t xml:space="preserve">”</w:t>
      </w:r>
      <w:r>
        <w:t xml:space="preserve"> </w:t>
      </w:r>
      <w:r>
        <w:t xml:space="preserve">layer from spec to timeline), DWS IQ 7 Datacentre Compliance Agent (22nd industry, RFNBO Delegated Regulation 2023/1184 green-hydrogen additionality), Regulatory Stack Expansion to NIS2+CER (Hybridiosaamiskeskus 8.5.2026, CORE resilience model), and Founder→Team Transition (SOLO_FOUNDER_STATEMENT v1.2, CTO co-builder, /investor-outreach skill, 10+ INTRO notes); added Key Contributions #25–#28</w:t>
      </w:r>
    </w:p>
    <w:p>
      <w:pPr>
        <w:numPr>
          <w:ilvl w:val="0"/>
          <w:numId w:val="1001"/>
        </w:numPr>
      </w:pPr>
      <w:r>
        <w:t xml:space="preserve">Version: 3.33 | Tool: Claude Code (Opus 4.6) | Session: claude/add-red-hat-partners-d8Hey | Date: 21.03.2026 | Changes: Added Red Hat Key Findings market data to Platform Economics (§2.2), inference shift validation to Edge Computing (§2.4), Red Hat AgentOps partnership to Strategic Partnerships (§10.12.4), updated SWOT Opportunities with $644B market and inference shift data</w:t>
      </w:r>
    </w:p>
    <w:p>
      <w:pPr>
        <w:numPr>
          <w:ilvl w:val="0"/>
          <w:numId w:val="1001"/>
        </w:numPr>
      </w:pPr>
      <w:r>
        <w:t xml:space="preserve">Version: 3.32 | Tool: Claude Code (Opus 4.6) | Session: claude/review-claude-skills-vZQ0r | Date: 03.04.2026 | Changes: Added Section 10.19 (Thesis Versioning Strategy: v3.30.50 Metropolia Freeze); added Key Contribution #23; created frozen V3Thesis_EN_v3.30.50.md (50-page restructured Metropolia outgoing) while preserving 82-page living document; updated footer with dual-version architecture</w:t>
      </w:r>
    </w:p>
    <w:p>
      <w:pPr>
        <w:numPr>
          <w:ilvl w:val="0"/>
          <w:numId w:val="1001"/>
        </w:numPr>
      </w:pPr>
      <w:r>
        <w:t xml:space="preserve">Version: 3.31 | Tool: Claude Code (Opus 4.6) | Session: claude/review-claude-skills-vZQ0r | Date: 31.03.2026 | Changes: Updated Section 10.13.3 (Skills inventory from 6→21 skills, 4 subagents, 4 discipline skills); added Section 10.13.7 (Competitive Analysis: Domain-Specific vs Generic AI Harness — benchmarking against ECC 136-skill framework, six competitive differentiators documented); added Key Contribution #22</w:t>
      </w:r>
    </w:p>
    <w:p>
      <w:pPr>
        <w:numPr>
          <w:ilvl w:val="0"/>
          <w:numId w:val="1001"/>
        </w:numPr>
      </w:pPr>
      <w:r>
        <w:t xml:space="preserve">Version: 3.30 | Tool: Claude Code (Opus 4.6) | Session: claude/research-leworldmodel-r3VRA | Date: 25.03.2026 | Changes: Added Section 10.18 (LWM Sequencing Strategy — From Regulatory Intelligence to Physical AI): three-phase sequencing (compliance→fleet→Series A), LeWorldModel validation (arXiv:2603.19312), Phase 2 technical gap analysis (input modality, scale, regulatory-physical integration), investor objection handling with Persefoni/Sweep comparables; added Key Contribution #21</w:t>
      </w:r>
    </w:p>
    <w:p>
      <w:pPr>
        <w:numPr>
          <w:ilvl w:val="0"/>
          <w:numId w:val="1001"/>
        </w:numPr>
      </w:pPr>
      <w:r>
        <w:t xml:space="preserve">Version: 3.29 | Tool: Claude Code (Opus 4.6) | Session: claude/add-debit-credit-compliance-FevOa | Date: 24.03.2026 | Changes: Added Section 10.17 (Conclusion: Carbon Balance Sheet as Compliance Infrastructure) — debit-credit ledger thesis, double-entry bookkeeping for CO2 across ETS/CBAM/CSRD/Taxonomy, cross-vertical intelligence via ledger reconciliation, DWS 7 Phase 2.6 implementation plan; added Key Contribution #20 (was #20 Agent Memory — renumbered to #21)</w:t>
      </w:r>
    </w:p>
    <w:p>
      <w:pPr>
        <w:numPr>
          <w:ilvl w:val="0"/>
          <w:numId w:val="1001"/>
        </w:numPr>
      </w:pPr>
      <w:r>
        <w:t xml:space="preserve">Version: 3.28 | Tool: Claude Code (Opus 4.6) | Session: claude/agent-memory-fact-extraction-gLEss | Date: 23.03.2026 | Changes: Added Section 10.10.7 Agent Memory Fact Extraction Pipeline (PR-254): LLM-based structured fact extraction from conversations to subject-predicate-value triples, dual memory architecture (LWM domain knowledge + client relationship memory), three missing execution layers identified (Firehorse state machine, ERP connector layer, KYA governance wrapper); updated PR roadmap with KYA-first ordering (255→KYA audit→257→256→259→258); added Key Contribution #20; noted KYA Standard v1.4 internal / v1.1 public delta</w:t>
      </w:r>
    </w:p>
    <w:p>
      <w:pPr>
        <w:numPr>
          <w:ilvl w:val="0"/>
          <w:numId w:val="1001"/>
        </w:numPr>
      </w:pPr>
      <w:r>
        <w:t xml:space="preserve">Version: 3.27 | Tool: Claude Code (Opus 4.6) | Session: claude/qantic-energy-analysis-Yjg00 | Date: 21.03.2026 | Changes: Added Section 10.7.3 LWM Product-Market Validation (Qantic GmbH energy sector case study — first external validation of LWM commercial value outside construction, €21,693/year BESS compliance cost calculation, 6-industry expansion path for MAN-type clients, Solution Factory model confirmed); updated 16→20 industries in LWM sections; renumbered 10.7.3→10.7.4 Orchestration Studio</w:t>
      </w:r>
    </w:p>
    <w:p>
      <w:pPr>
        <w:numPr>
          <w:ilvl w:val="0"/>
          <w:numId w:val="1001"/>
        </w:numPr>
      </w:pPr>
      <w:r>
        <w:t xml:space="preserve">Version: 3.26 | Tool: Claude Code (Opus 4.6) | Session: claude/refine-thesis-critique-RP6Dv | Date: 16.03.2026 | Changes: Updated section 8 Results and Analysis with v3.16–3.25 evidence: harness engineering metrics (52.8%→66.5%), 13-agent Pantheon system, customer MVP features (API keys, metering, reports), PostgreSQL HTAP architecture, A/B testing results integration, updated compliance readiness (EU AI Act Art 12 implemented), updated SWOT with strategic partnerships; added new section 8.7 A/B Testing and Feedback Channel Results</w:t>
      </w:r>
    </w:p>
    <w:p>
      <w:pPr>
        <w:numPr>
          <w:ilvl w:val="0"/>
          <w:numId w:val="1001"/>
        </w:numPr>
      </w:pPr>
      <w:r>
        <w:t xml:space="preserve">Version: 3.25 | Tool: Claude Code (Opus 4.6) | Session: claude/add-harness-engineering-thesis-2zvZt | Date: 14.03.2026 | Changes: Added Section 10.16 (Harness Engineering — From Prompt Engineering to System Design): OpenAI’s 8 principles, DWS IQ 6 comparison with 6-layer L0-L6 architecture, empirical result (52.8%→66.5% from harness alone), EU regulation requires different harness than Silicon Valley; added Key Contribution #19</w:t>
      </w:r>
    </w:p>
    <w:p>
      <w:pPr>
        <w:numPr>
          <w:ilvl w:val="0"/>
          <w:numId w:val="1001"/>
        </w:numPr>
      </w:pPr>
      <w:r>
        <w:t xml:space="preserve">Version: 3.24 | Tool: Claude Code (Opus 4.6) | Session: claude/plan-postgres-columnar-3bSn6 | Date: 13.03.2026 | Changes: Expanded Appendix G glossary with Data Architecture (9 terms) and Research Methodology (4 terms) — autoresearch, HTAP, Hypercore, two-tier architecture, KYA, proxy-to-scale</w:t>
      </w:r>
    </w:p>
    <w:p>
      <w:pPr>
        <w:numPr>
          <w:ilvl w:val="0"/>
          <w:numId w:val="1001"/>
        </w:numPr>
      </w:pPr>
      <w:r>
        <w:t xml:space="preserve">Version: 3.23 | Tool: Claude Code (Opus 4.6) | Session: claude/plan-postgres-columnar-3bSn6 | Date: 13.03.2026 | Changes: Updated Section 10.15 with 2026 Aiven-first mandate: Hydra→Supabase Warehouse (Feb 2026), pg_mooncake→Databricks (Oct 2025), TimescaleDB 2.25.x Hypercore as approved standard, Aiven whitelist confirmed (pg_duckdb BLOCKED), two-tier HTAP (Aiven managed + GN100 edge), edge PostgreSQL deployment; added Key Contribution #18; updated footer</w:t>
      </w:r>
    </w:p>
    <w:p>
      <w:pPr>
        <w:numPr>
          <w:ilvl w:val="0"/>
          <w:numId w:val="1001"/>
        </w:numPr>
      </w:pPr>
      <w:r>
        <w:t xml:space="preserve">Version: 3.22 | Tool: Claude Code (Opus 4.6) | Session: claude/plan-postgres-columnar-3bSn6 | Date: 12.03.2026 | Changes: Added Section 10.15 (PostgreSQL Columnar HTAP Architecture — DWS Data Standard): pg_duckdb + TimescaleDB on Aiven EU for single-database HTAP, 4-phase rollout, DWS_DATA_STANDARD.md creation, EU regulatory compliance matrix (GDPR, EU AI Act Art 12, NIS2, CSRD, EU Data Act 2023/2854); added Key Contribution #17; updated footer</w:t>
      </w:r>
    </w:p>
    <w:p>
      <w:pPr>
        <w:numPr>
          <w:ilvl w:val="0"/>
          <w:numId w:val="1001"/>
        </w:numPr>
      </w:pPr>
      <w:r>
        <w:t xml:space="preserve">Version: 3.21 | Tool: Claude Code (Opus 4.6) | Session: claude/vigorous-meitner | Date: 09.03.2026 | Changes: Added Section 10.14 (Agent System Hardening — Production Reliability): 6 TypeScript compilation errors fixed, 3 test failures resolved, SandboxContext type alignment with opensandbox stage, MCP/HIL route wiring, locale-deterministic number formatting, dependency hygiene (luxon); added Key Contribution #16; updated footer</w:t>
      </w:r>
    </w:p>
    <w:p>
      <w:pPr>
        <w:numPr>
          <w:ilvl w:val="0"/>
          <w:numId w:val="1001"/>
        </w:numPr>
      </w:pPr>
      <w:r>
        <w:t xml:space="preserve">Version: 3.20 | Tool: Claude Code (Opus 4.6) | Session: claude/build-mvp-features-nFk7k | Date: 08.03.2026 | Changes: Added Key Contribution #15 (Customer-Facing MVP Features — API Key Management, Usage Metering with 3-tier billing, Compliance Report Export with scheduling); demonstrates transition from developer tools to customer-ready SaaS platform; validates Solution Factory productization hypothesis</w:t>
      </w:r>
    </w:p>
    <w:p>
      <w:pPr>
        <w:numPr>
          <w:ilvl w:val="0"/>
          <w:numId w:val="1001"/>
        </w:numPr>
      </w:pPr>
      <w:r>
        <w:t xml:space="preserve">Version: 3.19 | Tool: Claude Code (Opus 4.6) | Session: claude/happy-rhodes | Date: 07.03.2026 | Changes: Expanded Section 2.5.3 MCP Hub Orchestration Patterns with implementation details (4 patterns: Fan-Out, Sequential, Reflection, Pipeline), endpoints, context passing, production readiness table; added Section 2.5.4 Skills and CLIs as Agent Interfaces (Three-Interface Rule: CLI + MCP + Skills)</w:t>
      </w:r>
    </w:p>
    <w:p>
      <w:pPr>
        <w:numPr>
          <w:ilvl w:val="0"/>
          <w:numId w:val="1001"/>
        </w:numPr>
      </w:pPr>
      <w:r>
        <w:t xml:space="preserve">Version: 3.18 | Tool: GitHub Copilot (Claude Opus 4.6) | Session: Learn-Thinking | Date: 04.03.2026 | Changes: Added Section 9.5 Learn Thinking — daily learning loop via Learn/ folder, thesis files added to Generate-PDFs pipeline, reflective learning framework for AI-assisted product development</w:t>
      </w:r>
    </w:p>
    <w:p>
      <w:pPr>
        <w:numPr>
          <w:ilvl w:val="0"/>
          <w:numId w:val="1001"/>
        </w:numPr>
      </w:pPr>
      <w:r>
        <w:t xml:space="preserve">Version: 3.17 | Tool: Claude Code (Sonnet 4.6) | Session: claude/implement-workflow-agents-CHFFN | Date: 02.03.2026 | Changes: Added Section 10.13 (Climate IQ Pantheon — Greek/Roman God Multi-Agent System: 6 Orchestrators + 7 Industry Specialists, SOUL.md pattern, prompt injection fix, EU AI Act Article 12 logging); added Key Contribution #12; updated footer</w:t>
      </w:r>
    </w:p>
    <w:p>
      <w:pPr>
        <w:numPr>
          <w:ilvl w:val="0"/>
          <w:numId w:val="1001"/>
        </w:numPr>
      </w:pPr>
      <w:r>
        <w:t xml:space="preserve">Version: 3.17 | Tool: Claude Code (Sonnet 4.6) | Session: claude/organize-repo-structure-F3xqn | Date: 02.03.2026 | Changes: Added Section 10.13 (Claude Code Engineering Structure: AI Workflow as First-Class Engineering) — CLAUDE.md as project memory, Skills as reusable workflow components, Hooks for automated validation, Subagents for parallel execution; added Key Contribution #12; updated footer; validated against emerging Claude Code community best practices</w:t>
      </w:r>
    </w:p>
    <w:p>
      <w:pPr>
        <w:numPr>
          <w:ilvl w:val="0"/>
          <w:numId w:val="1001"/>
        </w:numPr>
      </w:pPr>
      <w:r>
        <w:t xml:space="preserve">Version: 3.16 | Tool: Claude Code (Sonnet 4.6) | Session: claude/sandbox-agents-opensandbox-HatfC | Date: 01.03.2026 | Changes: CONSOLIDATED — resolves version drift 3.12-3.15. Added Section 10.11 (CEO Automation Agent Suite: Captain Briefing, LinkedIn Scheduler, EU Regulation Monitor); Section 10.12 (Strategic Partnerships: NVIDIA, Siemens, ABB, xAI, Mistral + Multi-LLM Router); added Key Contributions #10-11; updated footer</w:t>
      </w:r>
    </w:p>
    <w:p>
      <w:pPr>
        <w:numPr>
          <w:ilvl w:val="0"/>
          <w:numId w:val="1001"/>
        </w:numPr>
      </w:pPr>
      <w:r>
        <w:t xml:space="preserve">Version: 3.15 | Tool: Cursor AI / Claude Code | Session: [untracked] | Date: 25-27.02.2026 | Changes: [UNTRACKED DRIFT] DWS6→DWS7 transition documentation; CLAUDE.md compaction; session handover protocol; ZenFree security integration; Resend email agent</w:t>
      </w:r>
    </w:p>
    <w:p>
      <w:pPr>
        <w:numPr>
          <w:ilvl w:val="0"/>
          <w:numId w:val="1001"/>
        </w:numPr>
      </w:pPr>
      <w:r>
        <w:t xml:space="preserve">Version: 3.14 | Tool: Claude Code (Sonnet 4.6) | Session: claude/sandbox-agents-opensandbox-HatfC | Date: 01.03.2026 | Changes: [CAPTURED IN 3.11] OpenSandbox Stage 1.5 on Acer Veriton GN100; EMPO² agent memory (arXiv:2602.23008)</w:t>
      </w:r>
    </w:p>
    <w:p>
      <w:pPr>
        <w:numPr>
          <w:ilvl w:val="0"/>
          <w:numId w:val="1001"/>
        </w:numPr>
      </w:pPr>
      <w:r>
        <w:t xml:space="preserve">Version: 3.13 | Tool: Claude Code (Opus 4.6) | Session: claude/dws6-dws7-update-doc-I2Cgk | Date: 27.02.2026 | Changes: [UNTRACKED DRIFT] Strategic partnerships expanded: NVIDIA Inception, Siemens Xcelerator, ABB Ability, xAI Grok, Mistral EU-sovereign; multi-LLM router architecture</w:t>
      </w:r>
    </w:p>
    <w:p>
      <w:pPr>
        <w:numPr>
          <w:ilvl w:val="0"/>
          <w:numId w:val="1001"/>
        </w:numPr>
      </w:pPr>
      <w:r>
        <w:t xml:space="preserve">Version: 3.12 | Tool: Claude Code (Opus 4.6) | Session: claude/ai-agent-orchestration-t89Ig | Date: 24.02.2026 | Changes: [UNTRACKED DRIFT] CEO Automation Agent Suite: Captain Pre-Briefing, LinkedIn Post Scheduler, EU Regulation Monitor — 3 production agents with GitHub Actions cron</w:t>
      </w:r>
    </w:p>
    <w:p>
      <w:pPr>
        <w:numPr>
          <w:ilvl w:val="0"/>
          <w:numId w:val="1001"/>
        </w:numPr>
      </w:pPr>
      <w:r>
        <w:t xml:space="preserve">Version: 3.11 | Tool: Claude Code (Sonnet 4.6) | Session: claude/sandbox-agents-opensandbox-HatfC | Date: 01.03.2026 | Changes: Added Section 10.10 (Agent Foundry Stage 1.5 — OpenSandbox on Acer Veriton GN100); added EMPO² reference (arXiv:2602.23008 — hybrid on/off-policy RL for memory-augmented agents); updated NCC Sandbox stage annotation; added Key Contribution #9</w:t>
      </w:r>
    </w:p>
    <w:p>
      <w:pPr>
        <w:numPr>
          <w:ilvl w:val="0"/>
          <w:numId w:val="1001"/>
        </w:numPr>
      </w:pPr>
      <w:r>
        <w:t xml:space="preserve">Version: 3.10 | Tool: Claude Code (Opus 4.6) | Session: claude/modernize-dws7-77v2B | Date: 24.02.2026 | Changes: Added Section 10.9 DWS7 Agent Architecture Modernization — documents 6 critical fixes (agentic loops, tool use, multi-provider LLM, agent delegation, MCP server, event bus), Build for Agents principle (CLI, Claude Code Skills), agent-first product design philosophy</w:t>
      </w:r>
    </w:p>
    <w:p>
      <w:pPr>
        <w:numPr>
          <w:ilvl w:val="0"/>
          <w:numId w:val="1001"/>
        </w:numPr>
      </w:pPr>
      <w:r>
        <w:t xml:space="preserve">Version: 3.9 | Tool: Claude Code (Opus 4.6) | Session: claude/add-sdk-sandbox-isolation-Q0lzp | Date: 21.02.2026 | Changes: Enhanced LWM definition as enterprise learning layer (fine-tunes data/regulation, optimizes market value, ensures competitive advantage), added 25+-industry cross-learning network effects analysis</w:t>
      </w:r>
    </w:p>
    <w:p>
      <w:pPr>
        <w:numPr>
          <w:ilvl w:val="0"/>
          <w:numId w:val="1001"/>
        </w:numPr>
      </w:pPr>
      <w:r>
        <w:t xml:space="preserve">Version: 3.8 | Tool: Claude Code (Opus 4.6) | Session: claude/add-sdk-sandbox-isolation-Q0lzp | Date: 21.02.2026 | Changes: Added sections 10.6 Per-Industry Open LLM Selection (20 industries, 7 candidate models), 10.7 Enterprise BYOA Architecture (Bring Your Own Agent — NCC scenario, 24 agents, Langflow+React Flow+Temporal.io graphical workflow builder, contractor onboarding flow)</w:t>
      </w:r>
    </w:p>
    <w:p>
      <w:pPr>
        <w:numPr>
          <w:ilvl w:val="0"/>
          <w:numId w:val="1001"/>
        </w:numPr>
      </w:pPr>
      <w:r>
        <w:t xml:space="preserve">Version: 3.7 | Tool: Claude Code (Opus 4.6) | Session: HIL-PR-Automation | Date: 20.02.2026 | Changes: Added Appendix H — Automated PR Workflow (HIL Automation): dual-model AI review (Claude + Gemini), Copilot fix loop, auto-merge workflow, MCP Hub Gemini endpoint, Cloud Run dws6run6 deployment. Generated versioned HTML for Learn/</w:t>
      </w:r>
    </w:p>
    <w:p>
      <w:pPr>
        <w:numPr>
          <w:ilvl w:val="0"/>
          <w:numId w:val="1001"/>
        </w:numPr>
      </w:pPr>
      <w:r>
        <w:t xml:space="preserve">Version: 3.6 | Tool: Claude Code (Opus 4.6) | Session: e5wXD | Date: 20.02.2026 | Changes: Updated DWS standards, admin manuals with HIL automation references. Version header correction (3.4-3.5 were not tracked)</w:t>
      </w:r>
    </w:p>
    <w:p>
      <w:pPr>
        <w:numPr>
          <w:ilvl w:val="0"/>
          <w:numId w:val="1001"/>
        </w:numPr>
      </w:pPr>
      <w:r>
        <w:t xml:space="preserve">Version: 3.5 | Tool: Claude Code (Opus 4.6) | Session: e7fe405 | Date: 20.02.2026 | Changes: Added section 12 IPR Protection &amp; Trade Secret Strategy, section 13 Prompt Caching Architecture for AI Agents, renumbered sections 12-15 → 14-17, added EU Trade Secrets Directive references</w:t>
      </w:r>
    </w:p>
    <w:p>
      <w:pPr>
        <w:numPr>
          <w:ilvl w:val="0"/>
          <w:numId w:val="1001"/>
        </w:numPr>
      </w:pPr>
      <w:r>
        <w:t xml:space="preserve">Version: 3.4 | Tool: Cursor AI (Claude Sonnet 4.6) | Session: 278819d | Date: 18.02.2026 | Changes: Company rename Lifetime Consulting Oy → Lifetime Oy across all documentation (Omnibus_Fit55 analysis files)</w:t>
      </w:r>
    </w:p>
    <w:p>
      <w:pPr>
        <w:numPr>
          <w:ilvl w:val="0"/>
          <w:numId w:val="1001"/>
        </w:numPr>
      </w:pPr>
      <w:r>
        <w:t xml:space="preserve">Version: 3.3 | Tool: Claude Code (Opus 4.6) | Session: V3-Merge | Date: 10.02.2026 | Changes: Merged Thesis_FI.md (v2.1) and V2Thesis_FI.md (v3.2) into a single consolidated version. Fixed Scandinavian characters, updated identifiers, added DWS10 e-commerce, audio chat and HIL pipeline sections, Karpathy appendix, Firehorse operating model sections</w:t>
      </w:r>
    </w:p>
    <w:p>
      <w:pPr>
        <w:numPr>
          <w:ilvl w:val="0"/>
          <w:numId w:val="1001"/>
        </w:numPr>
      </w:pPr>
      <w:r>
        <w:t xml:space="preserve">Version: 3.2 | Tool: Claude Code (Opus 4.6) | Session: HIL-Pipeline | Date: 07.02.2026 | Changes: Added section 6.7 - Human-in-the-Loop learning pipeline (daily automation, three-layer backup, Learn/ folder output)</w:t>
      </w:r>
    </w:p>
    <w:p>
      <w:pPr>
        <w:numPr>
          <w:ilvl w:val="0"/>
          <w:numId w:val="1001"/>
        </w:numPr>
      </w:pPr>
      <w:r>
        <w:t xml:space="preserve">Version: 3.1 | Tool: Claude Code (Opus 4.5) | Session: Karpathy-Principles | Date: 04.02.2026 | Changes: Added Appendix E - AI Agent Behavioral Guidelines (Karpathy Principles), EU AI Act compliance mapping, implementation outcome metrics</w:t>
      </w:r>
    </w:p>
    <w:p>
      <w:pPr>
        <w:numPr>
          <w:ilvl w:val="0"/>
          <w:numId w:val="1001"/>
        </w:numPr>
      </w:pPr>
      <w:r>
        <w:t xml:space="preserve">Version: 3.0 | Tool: Claude Code (Opus 4.5) | Session: DWS10-Store-Integration | Date: 28.01.2026 | Changes: Added DWS10.com e-commerce store findings, Google Merchant Center integration, Revolut Business payments, Audio chat evolution roadmap with Groq/Llama models, Industry carbon footprint calculator, EU compliance mapping</w:t>
      </w:r>
    </w:p>
    <w:p>
      <w:pPr>
        <w:numPr>
          <w:ilvl w:val="0"/>
          <w:numId w:val="1001"/>
        </w:numPr>
      </w:pPr>
      <w:r>
        <w:t xml:space="preserve">Version: 2.2 | Tool: Word (HIL) | Session: dws6.com Google Run | Date: 19.01.2026 | Changes: Google admin@dws6.com and project under Google. Established 19.1.2026. Google Workspace Standard adopted. DNS records changed from Proton to Google. Created project dws6run to serve Google Run processes.</w:t>
      </w:r>
    </w:p>
    <w:p>
      <w:pPr>
        <w:numPr>
          <w:ilvl w:val="0"/>
          <w:numId w:val="1001"/>
        </w:numPr>
      </w:pPr>
      <w:r>
        <w:t xml:space="preserve">Version: 2.1 | Tool: Cursor AI (Claude) | Session: 16-Industries | Date: 06.01.2026 | Changes: Added Fit for 55 25+-industry analysis, AI usage disclosure, DWS10 use cases, expanded current state analysis</w:t>
      </w:r>
    </w:p>
    <w:p>
      <w:pPr>
        <w:numPr>
          <w:ilvl w:val="0"/>
          <w:numId w:val="1001"/>
        </w:numPr>
      </w:pPr>
      <w:r>
        <w:t xml:space="preserve">Version: 2.0 | Tool: Cursor AI (Claude) | Session: Thesis-Revision | Date: 05.01.2026 | Changes: Major revision - Added Solution Factory model, AgentFoundry documentation, Lifetime Scope Signals theory, SWOT analysis, research questions answers, complete theoretical framework</w:t>
      </w:r>
    </w:p>
    <w:p>
      <w:pPr>
        <w:numPr>
          <w:ilvl w:val="0"/>
          <w:numId w:val="1001"/>
        </w:numPr>
      </w:pPr>
      <w:r>
        <w:t xml:space="preserve">Version: 1.0 | Tool: GitHub Copilot | Session: 2025-12-30 | Date: 30.12.2025 | Changes: Applied DWS document standard, synchronized with Finnish version</w:t>
      </w:r>
    </w:p>
    <w:p>
      <w:pPr>
        <w:pStyle w:val="FirstParagraph"/>
      </w:pPr>
      <w:r>
        <w:t xml:space="preserve">Session Links &amp; References:</w:t>
      </w:r>
    </w:p>
    <w:p>
      <w:pPr>
        <w:numPr>
          <w:ilvl w:val="0"/>
          <w:numId w:val="1002"/>
        </w:numPr>
        <w:pStyle w:val="Compact"/>
      </w:pPr>
      <w:r>
        <w:t xml:space="preserve">Claude Code (2026-02-10): V3 merge and Scandinavian character fixes</w:t>
      </w:r>
    </w:p>
    <w:p>
      <w:pPr>
        <w:numPr>
          <w:ilvl w:val="0"/>
          <w:numId w:val="1002"/>
        </w:numPr>
        <w:pStyle w:val="Compact"/>
      </w:pPr>
      <w:r>
        <w:t xml:space="preserve">Claude Code (2026-01-28): DWS10 store integration, Google Merchant, Revolut, Audio chat roadmap</w:t>
      </w:r>
    </w:p>
    <w:p>
      <w:pPr>
        <w:numPr>
          <w:ilvl w:val="0"/>
          <w:numId w:val="1002"/>
        </w:numPr>
        <w:pStyle w:val="Compact"/>
      </w:pPr>
      <w:r>
        <w:t xml:space="preserve">Cursor AI (2026-01-05): Thesis revision integrating codebase evidence</w:t>
      </w:r>
    </w:p>
    <w:p>
      <w:pPr>
        <w:numPr>
          <w:ilvl w:val="0"/>
          <w:numId w:val="1002"/>
        </w:numPr>
        <w:pStyle w:val="Compact"/>
      </w:pPr>
      <w:r>
        <w:t xml:space="preserve">GitHub Copilot (2025-12-30): https://github.com/blogtheristo/dws6/commits/main</w:t>
      </w:r>
    </w:p>
    <w:p>
      <w:pPr>
        <w:numPr>
          <w:ilvl w:val="0"/>
          <w:numId w:val="1002"/>
        </w:numPr>
        <w:pStyle w:val="Compact"/>
      </w:pPr>
      <w:r>
        <w:t xml:space="preserve">View on GitHub: https://github.com/blogtheristo/dws6/blob/main/docs/metropolia/master-thesis/en/V3Thesis_EN.md</w:t>
      </w:r>
    </w:p>
    <w:p>
      <w:pPr>
        <w:pStyle w:val="FirstParagraph"/>
      </w:pPr>
      <w:r>
        <w:t xml:space="preserve">Document Status:</w:t>
      </w:r>
    </w:p>
    <w:p>
      <w:pPr>
        <w:numPr>
          <w:ilvl w:val="0"/>
          <w:numId w:val="1003"/>
        </w:numPr>
        <w:pStyle w:val="Compact"/>
      </w:pPr>
      <w:r>
        <w:t xml:space="preserve">Created: 30.12.2025</w:t>
      </w:r>
    </w:p>
    <w:p>
      <w:pPr>
        <w:numPr>
          <w:ilvl w:val="0"/>
          <w:numId w:val="1003"/>
        </w:numPr>
        <w:pStyle w:val="Compact"/>
      </w:pPr>
      <w:r>
        <w:t xml:space="preserve">Last Modified: 21.04.2026</w:t>
      </w:r>
    </w:p>
    <w:p>
      <w:pPr>
        <w:numPr>
          <w:ilvl w:val="0"/>
          <w:numId w:val="1003"/>
        </w:numPr>
        <w:pStyle w:val="Compact"/>
      </w:pPr>
      <w:r>
        <w:t xml:space="preserve">Language: English</w:t>
      </w:r>
    </w:p>
    <w:p>
      <w:pPr>
        <w:numPr>
          <w:ilvl w:val="0"/>
          <w:numId w:val="1003"/>
        </w:numPr>
        <w:pStyle w:val="Compact"/>
      </w:pPr>
      <w:r>
        <w:t xml:space="preserve">Languages Available: English, Suomi</w:t>
      </w:r>
    </w:p>
    <w:p>
      <w:pPr>
        <w:numPr>
          <w:ilvl w:val="0"/>
          <w:numId w:val="1003"/>
        </w:numPr>
        <w:pStyle w:val="Compact"/>
      </w:pPr>
      <w:r>
        <w:t xml:space="preserve">Publication Status: DRAFT (V3.36 — KYA open-source standard path, NIST status, Article 1 refinement, publication phasing)</w:t>
      </w:r>
    </w:p>
    <w:p>
      <w:r>
        <w:pict>
          <v:rect style="width:0;height:1.5pt" o:hralign="center" o:hrstd="t" o:hr="t"/>
        </w:pict>
      </w:r>
    </w:p>
    <w:p>
      <w:pPr>
        <w:pStyle w:val="FirstParagraph"/>
      </w:pPr>
      <w:r>
        <w:rPr>
          <w:bCs/>
          <w:b/>
        </w:rPr>
        <w:t xml:space="preserve">Master’s Thesis</w:t>
      </w:r>
      <w:r>
        <w:t xml:space="preserve"> </w:t>
      </w:r>
      <w:r>
        <w:rPr>
          <w:bCs/>
          <w:b/>
        </w:rPr>
        <w:t xml:space="preserve">Metropolia University of Applied Sciences</w:t>
      </w:r>
    </w:p>
    <w:p>
      <w:pPr>
        <w:pStyle w:val="BodyText"/>
      </w:pPr>
      <w:r>
        <w:rPr>
          <w:bCs/>
          <w:b/>
        </w:rPr>
        <w:t xml:space="preserve">Author:</w:t>
      </w:r>
      <w:r>
        <w:t xml:space="preserve"> </w:t>
      </w:r>
      <w:r>
        <w:t xml:space="preserve">Risto Anton Päärni</w:t>
      </w:r>
      <w:r>
        <w:t xml:space="preserve"> </w:t>
      </w:r>
      <w:r>
        <w:rPr>
          <w:bCs/>
          <w:b/>
        </w:rPr>
        <w:t xml:space="preserve">Program:</w:t>
      </w:r>
      <w:r>
        <w:t xml:space="preserve"> </w:t>
      </w:r>
      <w:r>
        <w:t xml:space="preserve">Smart Factory, Master’s Degree (YAMK)</w:t>
      </w:r>
      <w:r>
        <w:t xml:space="preserve"> </w:t>
      </w:r>
      <w:r>
        <w:rPr>
          <w:bCs/>
          <w:b/>
        </w:rPr>
        <w:t xml:space="preserve">Supervisor:</w:t>
      </w:r>
      <w:r>
        <w:t xml:space="preserve"> </w:t>
      </w:r>
      <w:r>
        <w:t xml:space="preserve">Jarno Varteva (with Erkki Räsänen)</w:t>
      </w:r>
      <w:r>
        <w:t xml:space="preserve"> </w:t>
      </w:r>
      <w:r>
        <w:rPr>
          <w:bCs/>
          <w:b/>
        </w:rPr>
        <w:t xml:space="preserve">Company:</w:t>
      </w:r>
      <w:r>
        <w:t xml:space="preserve"> </w:t>
      </w:r>
      <w:r>
        <w:t xml:space="preserve">Lifetime Oy (Firehorse brand)</w:t>
      </w:r>
      <w:r>
        <w:t xml:space="preserve"> </w:t>
      </w:r>
      <w:r>
        <w:rPr>
          <w:bCs/>
          <w:b/>
        </w:rPr>
        <w:t xml:space="preserve">Date:</w:t>
      </w:r>
      <w:r>
        <w:t xml:space="preserve"> </w:t>
      </w:r>
      <w:r>
        <w:t xml:space="preserve">16.1.2026</w:t>
      </w:r>
      <w:r>
        <w:t xml:space="preserve"> </w:t>
      </w:r>
      <w:r>
        <w:rPr>
          <w:bCs/>
          <w:b/>
        </w:rPr>
        <w:t xml:space="preserve">InvestEU Portal:</w:t>
      </w:r>
      <w:r>
        <w:t xml:space="preserve"> </w:t>
      </w:r>
      <w:r>
        <w:t xml:space="preserve">Project Lifetime World, DWS IQ 6, Firehorse (INPO-20254383) submitted for publication on the InvestEU Portal on 25.12.2025 — InvestEU Portal Team, European Commission</w:t>
      </w:r>
    </w:p>
    <w:p>
      <w:r>
        <w:pict>
          <v:rect style="width:0;height:1.5pt" o:hralign="center" o:hrstd="t" o:hr="t"/>
        </w:pict>
      </w:r>
    </w:p>
    <w:bookmarkStart w:id="22" w:name="abstract"/>
    <w:p>
      <w:pPr>
        <w:pStyle w:val="Heading2"/>
      </w:pPr>
      <w:r>
        <w:t xml:space="preserve">Abstract</w:t>
      </w:r>
    </w:p>
    <w:p>
      <w:pPr>
        <w:pStyle w:val="FirstParagraph"/>
      </w:pPr>
      <w:r>
        <w:t xml:space="preserve">This thesis examines the Firehorse product manufacturing operating model, which combines cloud and edge computing technologies for industrial SMEs. The work focuses on the construction industry and its challenges in the EU’s twin transition (digital + green).</w:t>
      </w:r>
      <w:r>
        <w:t xml:space="preserve"> </w:t>
      </w:r>
      <w:r>
        <w:rPr>
          <w:bCs/>
          <w:b/>
        </w:rPr>
        <w:t xml:space="preserve">Version 3.0 extends the research with e-commerce validation through DWS10.com store implementation, Google Merchant Center integration, Revolut Business payment processing, and an audio chat evolution roadmap using Groq inference with Llama models.</w:t>
      </w:r>
    </w:p>
    <w:p>
      <w:pPr>
        <w:pStyle w:val="BodyText"/>
      </w:pPr>
      <w:r>
        <w:rPr>
          <w:bCs/>
          <w:b/>
        </w:rPr>
        <w:t xml:space="preserve">Keywords:</w:t>
      </w:r>
      <w:r>
        <w:t xml:space="preserve"> </w:t>
      </w:r>
      <w:r>
        <w:t xml:space="preserve">Artificial Intelligence, Edge Computing, Construction Industry, Operating Model, Cloud Services, E-Commerce, Google Merchant Center, Revolut Business, Audio Chat, EU AI Act Compliance</w:t>
      </w:r>
    </w:p>
    <w:p>
      <w:r>
        <w:pict>
          <v:rect style="width:0;height:1.5pt" o:hralign="center" o:hrstd="t" o:hr="t"/>
        </w:pict>
      </w:r>
    </w:p>
    <w:bookmarkEnd w:id="22"/>
    <w:bookmarkStart w:id="23" w:name="tiivistelma"/>
    <w:p>
      <w:pPr>
        <w:pStyle w:val="Heading2"/>
      </w:pPr>
      <w:r>
        <w:t xml:space="preserve">Tiivistelma</w:t>
      </w:r>
    </w:p>
    <w:p>
      <w:pPr>
        <w:pStyle w:val="FirstParagraph"/>
      </w:pPr>
      <w:r>
        <w:t xml:space="preserve">Tama opinnaytetyo tutkii Firehorse-tuotevalmistuksen toimintamallia, joka yhdistaa pilvi- ja reunalaskentateknologiat teollisten pk-yritysten tarpeisiin. Tyo keskittyy rakennusteollisuuteen ja sen haasteisiin EU:n kaksoissiirtymassa (digitaalinen + vihrea).</w:t>
      </w:r>
      <w:r>
        <w:t xml:space="preserve"> </w:t>
      </w:r>
      <w:r>
        <w:rPr>
          <w:bCs/>
          <w:b/>
        </w:rPr>
        <w:t xml:space="preserve">Versio 3.0 laajentaa tutkimusta verkkokauppavalidoinnilla DWS10.com-kaupan toteutuksen, Google Merchant Center -integraation, Revolut Business -maksukasittelyn ja aanichat-kehityssuunnitelman kautta Groq-inferenssia ja Llama-malleja kayttaen.</w:t>
      </w:r>
    </w:p>
    <w:p>
      <w:pPr>
        <w:pStyle w:val="BodyText"/>
      </w:pPr>
      <w:r>
        <w:rPr>
          <w:bCs/>
          <w:b/>
        </w:rPr>
        <w:t xml:space="preserve">Avainsanat:</w:t>
      </w:r>
      <w:r>
        <w:t xml:space="preserve"> </w:t>
      </w:r>
      <w:r>
        <w:t xml:space="preserve">Tekoaly, reunalaskenta, rakennusteollisuus, toimintamalli, pilvipalvelut, verkkokauppa, Google Merchant Center, Revolut Business, aanichat, EU:n tekoalysaados</w:t>
      </w:r>
    </w:p>
    <w:p>
      <w:r>
        <w:pict>
          <v:rect style="width:0;height:1.5pt" o:hralign="center" o:hrstd="t" o:hr="t"/>
        </w:pict>
      </w:r>
    </w:p>
    <w:bookmarkEnd w:id="23"/>
    <w:bookmarkStart w:id="25" w:name="ai-tool-usage-disclosure"/>
    <w:p>
      <w:pPr>
        <w:pStyle w:val="Heading2"/>
      </w:pPr>
      <w:r>
        <w:t xml:space="preserve">AI Tool Usage Disclosure</w:t>
      </w:r>
    </w:p>
    <w:p>
      <w:pPr>
        <w:pStyle w:val="FirstParagraph"/>
      </w:pPr>
      <w:r>
        <w:t xml:space="preserve">AI-assisted tools were used in the preparation of this thesis in accordance with transparency and academic integrity principles.</w:t>
      </w:r>
    </w:p>
    <w:p>
      <w:pPr>
        <w:pStyle w:val="BodyText"/>
      </w:pPr>
      <w:r>
        <w:rPr>
          <w:bCs/>
          <w:b/>
        </w:rPr>
        <w:t xml:space="preserve">Tools used:</w:t>
      </w:r>
    </w:p>
    <w:p>
      <w:pPr>
        <w:numPr>
          <w:ilvl w:val="0"/>
          <w:numId w:val="1004"/>
        </w:numPr>
        <w:pStyle w:val="Compact"/>
      </w:pPr>
      <w:r>
        <w:rPr>
          <w:bCs/>
          <w:b/>
        </w:rPr>
        <w:t xml:space="preserve">Claude Code (Anthropic Opus 4.5/4.6)</w:t>
      </w:r>
      <w:r>
        <w:t xml:space="preserve"> </w:t>
      </w:r>
      <w:r>
        <w:t xml:space="preserve">— DWS10 e-commerce store integration, documentation generation, V3 merge</w:t>
      </w:r>
    </w:p>
    <w:p>
      <w:pPr>
        <w:numPr>
          <w:ilvl w:val="0"/>
          <w:numId w:val="1004"/>
        </w:numPr>
        <w:pStyle w:val="Compact"/>
      </w:pPr>
      <w:r>
        <w:rPr>
          <w:bCs/>
          <w:b/>
        </w:rPr>
        <w:t xml:space="preserve">Claude (Anthropic)</w:t>
      </w:r>
      <w:r>
        <w:t xml:space="preserve"> </w:t>
      </w:r>
      <w:r>
        <w:t xml:space="preserve">— Text editing, structure review, language improvement</w:t>
      </w:r>
    </w:p>
    <w:p>
      <w:pPr>
        <w:numPr>
          <w:ilvl w:val="0"/>
          <w:numId w:val="1004"/>
        </w:numPr>
        <w:pStyle w:val="Compact"/>
      </w:pPr>
      <w:r>
        <w:rPr>
          <w:bCs/>
          <w:b/>
        </w:rPr>
        <w:t xml:space="preserve">Cursor AI</w:t>
      </w:r>
      <w:r>
        <w:t xml:space="preserve"> </w:t>
      </w:r>
      <w:r>
        <w:t xml:space="preserve">— Code documentation, technical section validation</w:t>
      </w:r>
    </w:p>
    <w:p>
      <w:pPr>
        <w:numPr>
          <w:ilvl w:val="0"/>
          <w:numId w:val="1004"/>
        </w:numPr>
        <w:pStyle w:val="Compact"/>
      </w:pPr>
      <w:r>
        <w:rPr>
          <w:bCs/>
          <w:b/>
        </w:rPr>
        <w:t xml:space="preserve">GitHub Copilot</w:t>
      </w:r>
      <w:r>
        <w:t xml:space="preserve"> </w:t>
      </w:r>
      <w:r>
        <w:t xml:space="preserve">— Code examples, technical documentation</w:t>
      </w:r>
    </w:p>
    <w:p>
      <w:pPr>
        <w:pStyle w:val="FirstParagraph"/>
      </w:pPr>
      <w:r>
        <w:rPr>
          <w:bCs/>
          <w:b/>
        </w:rPr>
        <w:t xml:space="preserve">AI’s role in documentation:</w:t>
      </w:r>
    </w:p>
    <w:p>
      <w:pPr>
        <w:numPr>
          <w:ilvl w:val="0"/>
          <w:numId w:val="1005"/>
        </w:numPr>
        <w:pStyle w:val="Compact"/>
      </w:pPr>
      <w:r>
        <w:t xml:space="preserve">Language review and improvement suggestions (FI/EN)</w:t>
      </w:r>
    </w:p>
    <w:p>
      <w:pPr>
        <w:numPr>
          <w:ilvl w:val="0"/>
          <w:numId w:val="1005"/>
        </w:numPr>
        <w:pStyle w:val="Compact"/>
      </w:pPr>
      <w:r>
        <w:t xml:space="preserve">Technical documentation structuring and harmonization</w:t>
      </w:r>
    </w:p>
    <w:p>
      <w:pPr>
        <w:numPr>
          <w:ilvl w:val="0"/>
          <w:numId w:val="1005"/>
        </w:numPr>
        <w:pStyle w:val="Compact"/>
      </w:pPr>
      <w:r>
        <w:t xml:space="preserve">Translation assistance Finnish-English</w:t>
      </w:r>
    </w:p>
    <w:p>
      <w:pPr>
        <w:numPr>
          <w:ilvl w:val="0"/>
          <w:numId w:val="1005"/>
        </w:numPr>
        <w:pStyle w:val="Compact"/>
      </w:pPr>
      <w:r>
        <w:t xml:space="preserve">Table and diagram formatting</w:t>
      </w:r>
    </w:p>
    <w:p>
      <w:pPr>
        <w:numPr>
          <w:ilvl w:val="0"/>
          <w:numId w:val="1005"/>
        </w:numPr>
        <w:pStyle w:val="Compact"/>
      </w:pPr>
      <w:r>
        <w:t xml:space="preserve">E-commerce maintenance manual generation</w:t>
      </w:r>
    </w:p>
    <w:p>
      <w:pPr>
        <w:pStyle w:val="FirstParagraph"/>
      </w:pPr>
      <w:r>
        <w:rPr>
          <w:bCs/>
          <w:b/>
        </w:rPr>
        <w:t xml:space="preserve">Author’s original contribution:</w:t>
      </w:r>
    </w:p>
    <w:p>
      <w:pPr>
        <w:numPr>
          <w:ilvl w:val="0"/>
          <w:numId w:val="1006"/>
        </w:numPr>
        <w:pStyle w:val="Compact"/>
      </w:pPr>
      <w:r>
        <w:t xml:space="preserve">All research questions, hypotheses, and conclusions</w:t>
      </w:r>
    </w:p>
    <w:p>
      <w:pPr>
        <w:numPr>
          <w:ilvl w:val="0"/>
          <w:numId w:val="1006"/>
        </w:numPr>
        <w:pStyle w:val="Compact"/>
      </w:pPr>
      <w:r>
        <w:t xml:space="preserve">Original content, argumentation, and analysis</w:t>
      </w:r>
    </w:p>
    <w:p>
      <w:pPr>
        <w:numPr>
          <w:ilvl w:val="0"/>
          <w:numId w:val="1006"/>
        </w:numPr>
        <w:pStyle w:val="Compact"/>
      </w:pPr>
      <w:r>
        <w:t xml:space="preserve">Live codebase and implementation (dws6 repository: 50,000+ LOC)</w:t>
      </w:r>
    </w:p>
    <w:p>
      <w:pPr>
        <w:numPr>
          <w:ilvl w:val="0"/>
          <w:numId w:val="1006"/>
        </w:numPr>
        <w:pStyle w:val="Compact"/>
      </w:pPr>
      <w:r>
        <w:t xml:space="preserve">Business model design and validation</w:t>
      </w:r>
    </w:p>
    <w:p>
      <w:pPr>
        <w:numPr>
          <w:ilvl w:val="0"/>
          <w:numId w:val="1006"/>
        </w:numPr>
        <w:pStyle w:val="Compact"/>
      </w:pPr>
      <w:r>
        <w:t xml:space="preserve">Customer interviews and data (Uber, Bolt, Kela — EUR 10k MRR)</w:t>
      </w:r>
    </w:p>
    <w:p>
      <w:pPr>
        <w:numPr>
          <w:ilvl w:val="0"/>
          <w:numId w:val="1006"/>
        </w:numPr>
        <w:pStyle w:val="Compact"/>
      </w:pPr>
      <w:r>
        <w:t xml:space="preserve">Solution Factory model and AgentFoundry architecture development</w:t>
      </w:r>
    </w:p>
    <w:p>
      <w:pPr>
        <w:numPr>
          <w:ilvl w:val="0"/>
          <w:numId w:val="1006"/>
        </w:numPr>
        <w:pStyle w:val="Compact"/>
      </w:pPr>
      <w:r>
        <w:t xml:space="preserve">DWS10.com e-commerce product catalog and integrations</w:t>
      </w:r>
    </w:p>
    <w:p>
      <w:pPr>
        <w:pStyle w:val="FirstParagraph"/>
      </w:pPr>
      <w:r>
        <w:rPr>
          <w:bCs/>
          <w:b/>
        </w:rPr>
        <w:t xml:space="preserve">Evidence base:</w:t>
      </w:r>
    </w:p>
    <w:p>
      <w:pPr>
        <w:numPr>
          <w:ilvl w:val="0"/>
          <w:numId w:val="1007"/>
        </w:numPr>
        <w:pStyle w:val="Compact"/>
      </w:pPr>
      <w:r>
        <w:t xml:space="preserve">Git version history:</w:t>
      </w:r>
      <w:r>
        <w:t xml:space="preserve"> </w:t>
      </w:r>
      <w:hyperlink r:id="rId24">
        <w:r>
          <w:rPr>
            <w:rStyle w:val="Hyperlink"/>
          </w:rPr>
          <w:t xml:space="preserve">github.com/blogtheristo/dws6</w:t>
        </w:r>
      </w:hyperlink>
    </w:p>
    <w:p>
      <w:pPr>
        <w:numPr>
          <w:ilvl w:val="0"/>
          <w:numId w:val="1007"/>
        </w:numPr>
        <w:pStyle w:val="Compact"/>
      </w:pPr>
      <w:r>
        <w:t xml:space="preserve">Live customer validation: EUR 10,000+ MRR</w:t>
      </w:r>
    </w:p>
    <w:p>
      <w:pPr>
        <w:numPr>
          <w:ilvl w:val="0"/>
          <w:numId w:val="1007"/>
        </w:numPr>
        <w:pStyle w:val="Compact"/>
      </w:pPr>
      <w:r>
        <w:t xml:space="preserve">Working system: DWS10.com, DWS6.com, onelifetime.world, lifetime.fi</w:t>
      </w:r>
    </w:p>
    <w:p>
      <w:pPr>
        <w:numPr>
          <w:ilvl w:val="0"/>
          <w:numId w:val="1007"/>
        </w:numPr>
        <w:pStyle w:val="Compact"/>
      </w:pPr>
      <w:r>
        <w:t xml:space="preserve">Google Merchant Center: Account 8496329, 30 products approved</w:t>
      </w:r>
    </w:p>
    <w:p>
      <w:r>
        <w:pict>
          <v:rect style="width:0;height:1.5pt" o:hralign="center" o:hrstd="t" o:hr="t"/>
        </w:pict>
      </w:r>
    </w:p>
    <w:bookmarkEnd w:id="25"/>
    <w:bookmarkEnd w:id="26"/>
    <w:bookmarkStart w:id="27" w:name="table-of-contents"/>
    <w:p>
      <w:pPr>
        <w:pStyle w:val="Heading1"/>
      </w:pPr>
      <w:r>
        <w:t xml:space="preserve">Table of Contents</w:t>
      </w:r>
    </w:p>
    <w:p>
      <w:pPr>
        <w:numPr>
          <w:ilvl w:val="0"/>
          <w:numId w:val="1008"/>
        </w:numPr>
        <w:pStyle w:val="Compact"/>
      </w:pPr>
      <w:hyperlink w:anchor="Xe3d0fc0bea9a42ce7605565d0964033d7f6ee47">
        <w:r>
          <w:rPr>
            <w:rStyle w:val="Hyperlink"/>
          </w:rPr>
          <w:t xml:space="preserve">Introduction</w:t>
        </w:r>
      </w:hyperlink>
    </w:p>
    <w:p>
      <w:pPr>
        <w:numPr>
          <w:ilvl w:val="0"/>
          <w:numId w:val="1008"/>
        </w:numPr>
        <w:pStyle w:val="Compact"/>
      </w:pPr>
      <w:hyperlink w:anchor="X0d367b1edd1e6cb2f835f9b794fc1341b7723dd">
        <w:r>
          <w:rPr>
            <w:rStyle w:val="Hyperlink"/>
          </w:rPr>
          <w:t xml:space="preserve">Theoretical Framework</w:t>
        </w:r>
      </w:hyperlink>
    </w:p>
    <w:p>
      <w:pPr>
        <w:numPr>
          <w:ilvl w:val="0"/>
          <w:numId w:val="1008"/>
        </w:numPr>
        <w:pStyle w:val="Compact"/>
      </w:pPr>
      <w:hyperlink w:anchor="X9dbdde364144146c097b503be74725a4bdb84dd">
        <w:r>
          <w:rPr>
            <w:rStyle w:val="Hyperlink"/>
          </w:rPr>
          <w:t xml:space="preserve">Current State Analysis</w:t>
        </w:r>
      </w:hyperlink>
    </w:p>
    <w:p>
      <w:pPr>
        <w:numPr>
          <w:ilvl w:val="0"/>
          <w:numId w:val="1008"/>
        </w:numPr>
        <w:pStyle w:val="Compact"/>
      </w:pPr>
      <w:hyperlink w:anchor="Xd696a447ada39aeae08e61a22c48a1c7b05213c">
        <w:r>
          <w:rPr>
            <w:rStyle w:val="Hyperlink"/>
          </w:rPr>
          <w:t xml:space="preserve">DWS6 Operating Model Design</w:t>
        </w:r>
      </w:hyperlink>
    </w:p>
    <w:p>
      <w:pPr>
        <w:numPr>
          <w:ilvl w:val="0"/>
          <w:numId w:val="1008"/>
        </w:numPr>
        <w:pStyle w:val="Compact"/>
      </w:pPr>
      <w:hyperlink w:anchor="X84fd9ef713f3174dd65965a39b1c268df904512">
        <w:r>
          <w:rPr>
            <w:rStyle w:val="Hyperlink"/>
          </w:rPr>
          <w:t xml:space="preserve">Implementation (MVP Phase)</w:t>
        </w:r>
      </w:hyperlink>
    </w:p>
    <w:p>
      <w:pPr>
        <w:numPr>
          <w:ilvl w:val="0"/>
          <w:numId w:val="1008"/>
        </w:numPr>
        <w:pStyle w:val="Compact"/>
      </w:pPr>
      <w:hyperlink w:anchor="Xe6f964be2cde8351406a0c70a89ee426c77aaa5">
        <w:r>
          <w:rPr>
            <w:rStyle w:val="Hyperlink"/>
          </w:rPr>
          <w:t xml:space="preserve">DWS10.com E-Commerce Integration</w:t>
        </w:r>
      </w:hyperlink>
    </w:p>
    <w:p>
      <w:pPr>
        <w:numPr>
          <w:ilvl w:val="0"/>
          <w:numId w:val="1008"/>
        </w:numPr>
        <w:pStyle w:val="Compact"/>
      </w:pPr>
      <w:hyperlink w:anchor="Xf3db8f008c89ae333f0ba87a013816da45c9f07">
        <w:r>
          <w:rPr>
            <w:rStyle w:val="Hyperlink"/>
          </w:rPr>
          <w:t xml:space="preserve">Audio Chat Evolution Roadmap</w:t>
        </w:r>
      </w:hyperlink>
    </w:p>
    <w:p>
      <w:pPr>
        <w:numPr>
          <w:ilvl w:val="0"/>
          <w:numId w:val="1008"/>
        </w:numPr>
        <w:pStyle w:val="Compact"/>
      </w:pPr>
      <w:hyperlink w:anchor="X99f588f1bb9238f35429359605206a2b2b2da26">
        <w:r>
          <w:rPr>
            <w:rStyle w:val="Hyperlink"/>
          </w:rPr>
          <w:t xml:space="preserve">Results and Analysis</w:t>
        </w:r>
      </w:hyperlink>
    </w:p>
    <w:p>
      <w:pPr>
        <w:numPr>
          <w:ilvl w:val="0"/>
          <w:numId w:val="1008"/>
        </w:numPr>
        <w:pStyle w:val="Compact"/>
      </w:pPr>
      <w:hyperlink w:anchor="X7c81bf03759b1b00759d96e3a328e2270cfccbb">
        <w:r>
          <w:rPr>
            <w:rStyle w:val="Hyperlink"/>
          </w:rPr>
          <w:t xml:space="preserve">Discussion</w:t>
        </w:r>
      </w:hyperlink>
    </w:p>
    <w:p>
      <w:pPr>
        <w:numPr>
          <w:ilvl w:val="0"/>
          <w:numId w:val="1008"/>
        </w:numPr>
        <w:pStyle w:val="Compact"/>
      </w:pPr>
      <w:hyperlink w:anchor="Xc08366fdd8ce4bba8e9450d31be506a2b934a79">
        <w:r>
          <w:rPr>
            <w:rStyle w:val="Hyperlink"/>
          </w:rPr>
          <w:t xml:space="preserve">Conclusions</w:t>
        </w:r>
      </w:hyperlink>
    </w:p>
    <w:p>
      <w:pPr>
        <w:numPr>
          <w:ilvl w:val="0"/>
          <w:numId w:val="1008"/>
        </w:numPr>
        <w:pStyle w:val="Compact"/>
      </w:pPr>
      <w:hyperlink w:anchor="X726793783ba4ae7f9802481ba226d33bdbc715c">
        <w:r>
          <w:rPr>
            <w:rStyle w:val="Hyperlink"/>
          </w:rPr>
          <w:t xml:space="preserve">References</w:t>
        </w:r>
      </w:hyperlink>
    </w:p>
    <w:p>
      <w:pPr>
        <w:numPr>
          <w:ilvl w:val="0"/>
          <w:numId w:val="1008"/>
        </w:numPr>
        <w:pStyle w:val="Compact"/>
      </w:pPr>
      <w:hyperlink w:anchor="X30bfd1d3686d43b794f9c4bf827135f99f553e6">
        <w:r>
          <w:rPr>
            <w:rStyle w:val="Hyperlink"/>
          </w:rPr>
          <w:t xml:space="preserve">Appendices</w:t>
        </w:r>
      </w:hyperlink>
    </w:p>
    <w:p>
      <w:r>
        <w:pict>
          <v:rect style="width:0;height:1.5pt" o:hralign="center" o:hrstd="t" o:hr="t"/>
        </w:pict>
      </w:r>
    </w:p>
    <w:bookmarkEnd w:id="27"/>
    <w:bookmarkStart w:id="35" w:name="introduction"/>
    <w:p>
      <w:pPr>
        <w:pStyle w:val="Heading1"/>
      </w:pPr>
      <w:r>
        <w:t xml:space="preserve">1. Introduction</w:t>
      </w:r>
    </w:p>
    <w:bookmarkStart w:id="28" w:name="background"/>
    <w:p>
      <w:pPr>
        <w:pStyle w:val="Heading2"/>
      </w:pPr>
      <w:r>
        <w:t xml:space="preserve">1.1 Background</w:t>
      </w:r>
    </w:p>
    <w:p>
      <w:pPr>
        <w:pStyle w:val="FirstParagraph"/>
      </w:pPr>
      <w:r>
        <w:t xml:space="preserve">European industrial SMEs face a</w:t>
      </w:r>
      <w:r>
        <w:t xml:space="preserve"> </w:t>
      </w:r>
      <w:r>
        <w:t xml:space="preserve">“</w:t>
      </w:r>
      <w:r>
        <w:t xml:space="preserve">twin transition</w:t>
      </w:r>
      <w:r>
        <w:t xml:space="preserve">”</w:t>
      </w:r>
      <w:r>
        <w:t xml:space="preserve"> </w:t>
      </w:r>
      <w:r>
        <w:t xml:space="preserve">challenge:</w:t>
      </w:r>
    </w:p>
    <w:p>
      <w:pPr>
        <w:numPr>
          <w:ilvl w:val="0"/>
          <w:numId w:val="1009"/>
        </w:numPr>
        <w:pStyle w:val="Compact"/>
      </w:pPr>
      <w:r>
        <w:rPr>
          <w:bCs/>
          <w:b/>
        </w:rPr>
        <w:t xml:space="preserve">Digital transformation</w:t>
      </w:r>
      <w:r>
        <w:t xml:space="preserve">: AI, automation, real-time decision-making</w:t>
      </w:r>
    </w:p>
    <w:p>
      <w:pPr>
        <w:numPr>
          <w:ilvl w:val="0"/>
          <w:numId w:val="1009"/>
        </w:numPr>
        <w:pStyle w:val="Compact"/>
      </w:pPr>
      <w:r>
        <w:rPr>
          <w:bCs/>
          <w:b/>
        </w:rPr>
        <w:t xml:space="preserve">Green transformation</w:t>
      </w:r>
      <w:r>
        <w:t xml:space="preserve">: EU Fit for 55 (55% emissions reduction by 2030), embodied carbon mandates by 2028</w:t>
      </w:r>
    </w:p>
    <w:p>
      <w:pPr>
        <w:pStyle w:val="FirstParagraph"/>
      </w:pPr>
      <w:r>
        <w:t xml:space="preserve">Traditional SaaS platforms fail because they:</w:t>
      </w:r>
    </w:p>
    <w:p>
      <w:pPr>
        <w:numPr>
          <w:ilvl w:val="0"/>
          <w:numId w:val="1010"/>
        </w:numPr>
        <w:pStyle w:val="Compact"/>
      </w:pPr>
      <w:r>
        <w:t xml:space="preserve">Cost EUR 1,400+/month (unaffordable for SMEs)</w:t>
      </w:r>
    </w:p>
    <w:p>
      <w:pPr>
        <w:numPr>
          <w:ilvl w:val="0"/>
          <w:numId w:val="1010"/>
        </w:numPr>
        <w:pStyle w:val="Compact"/>
      </w:pPr>
      <w:r>
        <w:t xml:space="preserve">Require cloud-only architecture (high latency, high operational costs)</w:t>
      </w:r>
    </w:p>
    <w:p>
      <w:pPr>
        <w:numPr>
          <w:ilvl w:val="0"/>
          <w:numId w:val="1010"/>
        </w:numPr>
        <w:pStyle w:val="Compact"/>
      </w:pPr>
      <w:r>
        <w:t xml:space="preserve">Do not address industry-specific compliance workflows</w:t>
      </w:r>
    </w:p>
    <w:p>
      <w:pPr>
        <w:pStyle w:val="FirstParagraph"/>
      </w:pPr>
      <w:r>
        <w:rPr>
          <w:bCs/>
          <w:b/>
        </w:rPr>
        <w:t xml:space="preserve">Firehorse (DWS6)</w:t>
      </w:r>
      <w:r>
        <w:t xml:space="preserve"> </w:t>
      </w:r>
      <w:r>
        <w:t xml:space="preserve">solves this with a novel operating model combining:</w:t>
      </w:r>
    </w:p>
    <w:p>
      <w:pPr>
        <w:numPr>
          <w:ilvl w:val="0"/>
          <w:numId w:val="1011"/>
        </w:numPr>
        <w:pStyle w:val="Compact"/>
      </w:pPr>
      <w:r>
        <w:t xml:space="preserve">Free-tier cloud infrastructure (EUR 0-350/month vs EUR 1,400+)</w:t>
      </w:r>
    </w:p>
    <w:p>
      <w:pPr>
        <w:numPr>
          <w:ilvl w:val="0"/>
          <w:numId w:val="1011"/>
        </w:numPr>
        <w:pStyle w:val="Compact"/>
      </w:pPr>
      <w:r>
        <w:t xml:space="preserve">Edge AI (NVIDIA Jetson) for &lt;100ms inference</w:t>
      </w:r>
    </w:p>
    <w:p>
      <w:pPr>
        <w:numPr>
          <w:ilvl w:val="0"/>
          <w:numId w:val="1011"/>
        </w:numPr>
        <w:pStyle w:val="Compact"/>
      </w:pPr>
      <w:r>
        <w:t xml:space="preserve">Industry-specific AI agents (Construction, Manufacturing, Energy)</w:t>
      </w:r>
    </w:p>
    <w:p>
      <w:pPr>
        <w:numPr>
          <w:ilvl w:val="0"/>
          <w:numId w:val="1011"/>
        </w:numPr>
        <w:pStyle w:val="Compact"/>
      </w:pPr>
      <w:r>
        <w:t xml:space="preserve">Phased deployment (Silent Pilot -&gt; Advisor -&gt; Autonomous)</w:t>
      </w:r>
    </w:p>
    <w:p>
      <w:pPr>
        <w:numPr>
          <w:ilvl w:val="0"/>
          <w:numId w:val="1011"/>
        </w:numPr>
        <w:pStyle w:val="Compact"/>
      </w:pPr>
      <w:r>
        <w:rPr>
          <w:bCs/>
          <w:b/>
        </w:rPr>
        <w:t xml:space="preserve">E-commerce validation through DWS10.com, Google Merchant Center, and Revolut Business</w:t>
      </w:r>
      <w:r>
        <w:t xml:space="preserve"> </w:t>
      </w:r>
      <w:r>
        <w:t xml:space="preserve">[V3.0]</w:t>
      </w:r>
    </w:p>
    <w:bookmarkEnd w:id="28"/>
    <w:bookmarkStart w:id="29" w:name="research-problem"/>
    <w:p>
      <w:pPr>
        <w:pStyle w:val="Heading2"/>
      </w:pPr>
      <w:r>
        <w:t xml:space="preserve">1.2 Research Problem</w:t>
      </w:r>
    </w:p>
    <w:p>
      <w:pPr>
        <w:pStyle w:val="FirstParagraph"/>
      </w:pPr>
      <w:r>
        <w:rPr>
          <w:bCs/>
          <w:b/>
        </w:rPr>
        <w:t xml:space="preserve">Primary Research Question:</w:t>
      </w:r>
      <w:r>
        <w:t xml:space="preserve"> </w:t>
      </w:r>
      <w:r>
        <w:t xml:space="preserve">How can a bootstrapped industrial AI platform achieve product-market fit through a hybrid cloud-edge operating model while maintaining &lt;EUR 400/month operational costs?</w:t>
      </w:r>
    </w:p>
    <w:p>
      <w:pPr>
        <w:pStyle w:val="BodyText"/>
      </w:pPr>
      <w:r>
        <w:rPr>
          <w:bCs/>
          <w:b/>
        </w:rPr>
        <w:t xml:space="preserve">Secondary Research Questions:</w:t>
      </w:r>
    </w:p>
    <w:p>
      <w:pPr>
        <w:numPr>
          <w:ilvl w:val="0"/>
          <w:numId w:val="1012"/>
        </w:numPr>
      </w:pPr>
      <w:r>
        <w:rPr>
          <w:bCs/>
          <w:b/>
        </w:rPr>
        <w:t xml:space="preserve">Product &amp; Business Model:</w:t>
      </w:r>
      <w:r>
        <w:t xml:space="preserve"> </w:t>
      </w:r>
      <w:r>
        <w:t xml:space="preserve">How to develop a customer promise that solves a real problem and scales internationally?</w:t>
      </w:r>
    </w:p>
    <w:p>
      <w:pPr>
        <w:numPr>
          <w:ilvl w:val="0"/>
          <w:numId w:val="1012"/>
        </w:numPr>
      </w:pPr>
      <w:r>
        <w:rPr>
          <w:bCs/>
          <w:b/>
        </w:rPr>
        <w:t xml:space="preserve">Technology:</w:t>
      </w:r>
      <w:r>
        <w:t xml:space="preserve"> </w:t>
      </w:r>
      <w:r>
        <w:t xml:space="preserve">How to build a digital, scalable service product that operates across cloud + edge + e-commerce?</w:t>
      </w:r>
    </w:p>
    <w:p>
      <w:pPr>
        <w:numPr>
          <w:ilvl w:val="0"/>
          <w:numId w:val="1012"/>
        </w:numPr>
      </w:pPr>
      <w:r>
        <w:rPr>
          <w:bCs/>
          <w:b/>
        </w:rPr>
        <w:t xml:space="preserve">Technical Solution Evaluation:</w:t>
      </w:r>
      <w:r>
        <w:t xml:space="preserve"> </w:t>
      </w:r>
      <w:r>
        <w:t xml:space="preserve">Which technical solution best supports business objectives?</w:t>
      </w:r>
    </w:p>
    <w:p>
      <w:pPr>
        <w:numPr>
          <w:ilvl w:val="0"/>
          <w:numId w:val="1012"/>
        </w:numPr>
      </w:pPr>
      <w:r>
        <w:rPr>
          <w:bCs/>
          <w:b/>
        </w:rPr>
        <w:t xml:space="preserve">Enterprise Security:</w:t>
      </w:r>
      <w:r>
        <w:t xml:space="preserve"> </w:t>
      </w:r>
      <w:r>
        <w:t xml:space="preserve">How to ensure NIS 2, EU AI Act, GDPR, and Cybersecurity Act compliance?</w:t>
      </w:r>
    </w:p>
    <w:p>
      <w:pPr>
        <w:numPr>
          <w:ilvl w:val="0"/>
          <w:numId w:val="1012"/>
        </w:numPr>
      </w:pPr>
      <w:r>
        <w:rPr>
          <w:bCs/>
          <w:b/>
        </w:rPr>
        <w:t xml:space="preserve">E-Commerce Validation:</w:t>
      </w:r>
      <w:r>
        <w:t xml:space="preserve"> </w:t>
      </w:r>
      <w:r>
        <w:t xml:space="preserve">How can an automated store with AI-assisted operations validate product-market fit? [V3.0]</w:t>
      </w:r>
    </w:p>
    <w:bookmarkEnd w:id="29"/>
    <w:bookmarkStart w:id="30" w:name="objectives"/>
    <w:p>
      <w:pPr>
        <w:pStyle w:val="Heading2"/>
      </w:pPr>
      <w:r>
        <w:t xml:space="preserve">1.3 Objectives</w:t>
      </w:r>
    </w:p>
    <w:p>
      <w:pPr>
        <w:numPr>
          <w:ilvl w:val="0"/>
          <w:numId w:val="1013"/>
        </w:numPr>
        <w:pStyle w:val="Compact"/>
      </w:pPr>
      <w:r>
        <w:t xml:space="preserve">Document the Firehorse operating model (MVP -&gt; V1)</w:t>
      </w:r>
    </w:p>
    <w:p>
      <w:pPr>
        <w:numPr>
          <w:ilvl w:val="0"/>
          <w:numId w:val="1013"/>
        </w:numPr>
        <w:pStyle w:val="Compact"/>
      </w:pPr>
      <w:r>
        <w:t xml:space="preserve">Validate the free-tier cost model (EUR 0/month target)</w:t>
      </w:r>
    </w:p>
    <w:p>
      <w:pPr>
        <w:numPr>
          <w:ilvl w:val="0"/>
          <w:numId w:val="1013"/>
        </w:numPr>
        <w:pStyle w:val="Compact"/>
      </w:pPr>
      <w:r>
        <w:t xml:space="preserve">Measure customer benefit (&lt;=2 month payback period)</w:t>
      </w:r>
    </w:p>
    <w:p>
      <w:pPr>
        <w:numPr>
          <w:ilvl w:val="0"/>
          <w:numId w:val="1013"/>
        </w:numPr>
        <w:pStyle w:val="Compact"/>
      </w:pPr>
      <w:r>
        <w:t xml:space="preserve">Create a replicable model for other industrial startups</w:t>
      </w:r>
    </w:p>
    <w:p>
      <w:pPr>
        <w:numPr>
          <w:ilvl w:val="0"/>
          <w:numId w:val="1013"/>
        </w:numPr>
        <w:pStyle w:val="Compact"/>
      </w:pPr>
      <w:r>
        <w:rPr>
          <w:bCs/>
          <w:b/>
        </w:rPr>
        <w:t xml:space="preserve">Validate e-commerce channel with Google Merchant Center integration</w:t>
      </w:r>
      <w:r>
        <w:t xml:space="preserve"> </w:t>
      </w:r>
      <w:r>
        <w:t xml:space="preserve">[V3.0]</w:t>
      </w:r>
    </w:p>
    <w:bookmarkEnd w:id="30"/>
    <w:bookmarkStart w:id="32" w:name="scope"/>
    <w:p>
      <w:pPr>
        <w:pStyle w:val="Heading2"/>
      </w:pPr>
      <w:r>
        <w:t xml:space="preserve">1.4 Scope</w:t>
      </w:r>
    </w:p>
    <w:p>
      <w:pPr>
        <w:numPr>
          <w:ilvl w:val="0"/>
          <w:numId w:val="1014"/>
        </w:numPr>
        <w:pStyle w:val="Compact"/>
      </w:pPr>
      <w:r>
        <w:rPr>
          <w:bCs/>
          <w:b/>
        </w:rPr>
        <w:t xml:space="preserve">Industry:</w:t>
      </w:r>
      <w:r>
        <w:t xml:space="preserve"> </w:t>
      </w:r>
      <w:r>
        <w:t xml:space="preserve">Construction industry (3.5M companies in Europe) + 15 other EU industries</w:t>
      </w:r>
    </w:p>
    <w:p>
      <w:pPr>
        <w:numPr>
          <w:ilvl w:val="0"/>
          <w:numId w:val="1014"/>
        </w:numPr>
        <w:pStyle w:val="Compact"/>
      </w:pPr>
      <w:r>
        <w:rPr>
          <w:bCs/>
          <w:b/>
        </w:rPr>
        <w:t xml:space="preserve">Market:</w:t>
      </w:r>
      <w:r>
        <w:t xml:space="preserve"> </w:t>
      </w:r>
      <w:r>
        <w:t xml:space="preserve">Nordics + Central and Eastern Europe</w:t>
      </w:r>
    </w:p>
    <w:p>
      <w:pPr>
        <w:numPr>
          <w:ilvl w:val="0"/>
          <w:numId w:val="1014"/>
        </w:numPr>
        <w:pStyle w:val="Compact"/>
      </w:pPr>
      <w:r>
        <w:rPr>
          <w:bCs/>
          <w:b/>
        </w:rPr>
        <w:t xml:space="preserve">Timeframe:</w:t>
      </w:r>
      <w:r>
        <w:t xml:space="preserve"> </w:t>
      </w:r>
      <w:r>
        <w:t xml:space="preserve">MVP phase (December 2025 - February 2026)</w:t>
      </w:r>
    </w:p>
    <w:p>
      <w:pPr>
        <w:numPr>
          <w:ilvl w:val="0"/>
          <w:numId w:val="1014"/>
        </w:numPr>
        <w:pStyle w:val="Compact"/>
      </w:pPr>
      <w:r>
        <w:rPr>
          <w:bCs/>
          <w:b/>
        </w:rPr>
        <w:t xml:space="preserve">Customers:</w:t>
      </w:r>
      <w:r>
        <w:t xml:space="preserve"> </w:t>
      </w:r>
      <w:r>
        <w:t xml:space="preserve">5 pilot customers (EUR 10-100M revenue)</w:t>
      </w:r>
    </w:p>
    <w:p>
      <w:pPr>
        <w:numPr>
          <w:ilvl w:val="0"/>
          <w:numId w:val="1014"/>
        </w:numPr>
        <w:pStyle w:val="Compact"/>
      </w:pPr>
      <w:r>
        <w:rPr>
          <w:bCs/>
          <w:b/>
        </w:rPr>
        <w:t xml:space="preserve">E-commerce:</w:t>
      </w:r>
      <w:r>
        <w:t xml:space="preserve"> </w:t>
      </w:r>
      <w:r>
        <w:t xml:space="preserve">30 products across platform, software, and service categories [V3.0]</w:t>
      </w:r>
    </w:p>
    <w:bookmarkStart w:id="31" w:name="content-scope-rule-v3.55"/>
    <w:p>
      <w:pPr>
        <w:pStyle w:val="Heading3"/>
      </w:pPr>
      <w:r>
        <w:t xml:space="preserve">Content Scope Rule (v3.55)</w:t>
      </w:r>
    </w:p>
    <w:p>
      <w:pPr>
        <w:pStyle w:val="FirstParagraph"/>
      </w:pPr>
      <w:r>
        <w:t xml:space="preserve">This thesis is</w:t>
      </w:r>
      <w:r>
        <w:t xml:space="preserve"> </w:t>
      </w:r>
      <w:r>
        <w:rPr>
          <w:bCs/>
          <w:b/>
        </w:rPr>
        <w:t xml:space="preserve">product- and implementation-focused</w:t>
      </w:r>
      <w:r>
        <w:t xml:space="preserve">. Its content is tightly coupled to the current and next DWS IQ product version. It documents engineering decisions, architecture, pull requests, and measurable operational results.</w:t>
      </w:r>
    </w:p>
    <w:p>
      <w:pPr>
        <w:pStyle w:val="BodyText"/>
      </w:pPr>
      <w:r>
        <w:rPr>
          <w:bCs/>
          <w:b/>
        </w:rPr>
        <w:t xml:space="preserve">This thesis does NOT contain:</w:t>
      </w:r>
    </w:p>
    <w:p>
      <w:pPr>
        <w:numPr>
          <w:ilvl w:val="0"/>
          <w:numId w:val="1015"/>
        </w:numPr>
        <w:pStyle w:val="Compact"/>
      </w:pPr>
      <w:r>
        <w:t xml:space="preserve">Market intelligence or competitive signals</w:t>
      </w:r>
    </w:p>
    <w:p>
      <w:pPr>
        <w:numPr>
          <w:ilvl w:val="0"/>
          <w:numId w:val="1015"/>
        </w:numPr>
        <w:pStyle w:val="Compact"/>
      </w:pPr>
      <w:r>
        <w:t xml:space="preserve">Long-horizon roadmap speculation (beyond next product version)</w:t>
      </w:r>
    </w:p>
    <w:p>
      <w:pPr>
        <w:numPr>
          <w:ilvl w:val="0"/>
          <w:numId w:val="1015"/>
        </w:numPr>
        <w:pStyle w:val="Compact"/>
      </w:pPr>
      <w:r>
        <w:t xml:space="preserve">Scientific framing, standardization body activity, or research-program positioning</w:t>
      </w:r>
    </w:p>
    <w:p>
      <w:pPr>
        <w:pStyle w:val="FirstParagraph"/>
      </w:pPr>
      <w:r>
        <w:t xml:space="preserve">Those belong in the PhD thesis (</w:t>
      </w:r>
      <w:r>
        <w:rPr>
          <w:rStyle w:val="VerbatimChar"/>
        </w:rPr>
        <w:t xml:space="preserve">PHD_FIREHORSE_EN.md</w:t>
      </w:r>
      <w:r>
        <w:t xml:space="preserve"> </w:t>
      </w:r>
      <w:r>
        <w:t xml:space="preserve">/</w:t>
      </w:r>
      <w:r>
        <w:t xml:space="preserve"> </w:t>
      </w:r>
      <w:r>
        <w:rPr>
          <w:rStyle w:val="VerbatimChar"/>
        </w:rPr>
        <w:t xml:space="preserve">PHD_FIREHORSE_FI.md</w:t>
      </w:r>
      <w:r>
        <w:t xml:space="preserve">).</w:t>
      </w:r>
    </w:p>
    <w:bookmarkEnd w:id="31"/>
    <w:bookmarkEnd w:id="32"/>
    <w:bookmarkStart w:id="33" w:name="key-concepts"/>
    <w:p>
      <w:pPr>
        <w:pStyle w:val="Heading2"/>
      </w:pPr>
      <w:r>
        <w:t xml:space="preserve">1.5 Key Concepts</w:t>
      </w:r>
    </w:p>
    <w:tbl>
      <w:tblPr>
        <w:tblStyle w:val="Table"/>
        <w:tblW w:type="pct" w:w="5000"/>
        <w:tblLook w:firstRow="1" w:lastRow="0" w:firstColumn="0" w:lastColumn="0" w:noHBand="0" w:noVBand="0" w:val="0020"/>
        <w:jc w:val="start"/>
      </w:tblPr>
      <w:tblGrid>
        <w:gridCol w:w="1635"/>
        <w:gridCol w:w="6284"/>
      </w:tblGrid>
      <w:tr>
        <w:trPr>
          <w:tblHeader w:val="true"/>
        </w:trPr>
        <w:tc>
          <w:tcPr/>
          <w:p>
            <w:pPr>
              <w:pStyle w:val="Compact"/>
              <w:jc w:val="left"/>
            </w:pPr>
            <w:r>
              <w:t xml:space="preserve">Concept</w:t>
            </w:r>
          </w:p>
        </w:tc>
        <w:tc>
          <w:tcPr/>
          <w:p>
            <w:pPr>
              <w:pStyle w:val="Compact"/>
              <w:jc w:val="left"/>
            </w:pPr>
            <w:r>
              <w:t xml:space="preserve">Definition</w:t>
            </w:r>
          </w:p>
        </w:tc>
      </w:tr>
      <w:tr>
        <w:tc>
          <w:tcPr/>
          <w:p>
            <w:pPr>
              <w:pStyle w:val="Compact"/>
              <w:jc w:val="left"/>
            </w:pPr>
            <w:r>
              <w:rPr>
                <w:bCs/>
                <w:b/>
              </w:rPr>
              <w:t xml:space="preserve">MVP</w:t>
            </w:r>
          </w:p>
        </w:tc>
        <w:tc>
          <w:tcPr/>
          <w:p>
            <w:pPr>
              <w:pStyle w:val="Compact"/>
              <w:jc w:val="left"/>
            </w:pPr>
            <w:r>
              <w:t xml:space="preserve">Minimum Viable Product - The smallest functional product</w:t>
            </w:r>
          </w:p>
        </w:tc>
      </w:tr>
      <w:tr>
        <w:tc>
          <w:tcPr/>
          <w:p>
            <w:pPr>
              <w:pStyle w:val="Compact"/>
              <w:jc w:val="left"/>
            </w:pPr>
            <w:r>
              <w:rPr>
                <w:bCs/>
                <w:b/>
              </w:rPr>
              <w:t xml:space="preserve">Edge AI</w:t>
            </w:r>
          </w:p>
        </w:tc>
        <w:tc>
          <w:tcPr/>
          <w:p>
            <w:pPr>
              <w:pStyle w:val="Compact"/>
              <w:jc w:val="left"/>
            </w:pPr>
            <w:r>
              <w:t xml:space="preserve">Artificial intelligence that runs on-device (no cloud connection)</w:t>
            </w:r>
          </w:p>
        </w:tc>
      </w:tr>
      <w:tr>
        <w:tc>
          <w:tcPr/>
          <w:p>
            <w:pPr>
              <w:pStyle w:val="Compact"/>
              <w:jc w:val="left"/>
            </w:pPr>
            <w:r>
              <w:rPr>
                <w:bCs/>
                <w:b/>
              </w:rPr>
              <w:t xml:space="preserve">SaaS</w:t>
            </w:r>
          </w:p>
        </w:tc>
        <w:tc>
          <w:tcPr/>
          <w:p>
            <w:pPr>
              <w:pStyle w:val="Compact"/>
              <w:jc w:val="left"/>
            </w:pPr>
            <w:r>
              <w:t xml:space="preserve">Software as a Service</w:t>
            </w:r>
          </w:p>
        </w:tc>
      </w:tr>
      <w:tr>
        <w:tc>
          <w:tcPr/>
          <w:p>
            <w:pPr>
              <w:pStyle w:val="Compact"/>
              <w:jc w:val="left"/>
            </w:pPr>
            <w:r>
              <w:rPr>
                <w:bCs/>
                <w:b/>
              </w:rPr>
              <w:t xml:space="preserve">DWS6</w:t>
            </w:r>
          </w:p>
        </w:tc>
        <w:tc>
          <w:tcPr/>
          <w:p>
            <w:pPr>
              <w:pStyle w:val="Compact"/>
              <w:jc w:val="left"/>
            </w:pPr>
            <w:r>
              <w:t xml:space="preserve">Digital Work System 6 - Technical name for the Firehorse platform</w:t>
            </w:r>
          </w:p>
        </w:tc>
      </w:tr>
      <w:tr>
        <w:tc>
          <w:tcPr/>
          <w:p>
            <w:pPr>
              <w:pStyle w:val="Compact"/>
              <w:jc w:val="left"/>
            </w:pPr>
            <w:r>
              <w:rPr>
                <w:bCs/>
                <w:b/>
              </w:rPr>
              <w:t xml:space="preserve">Embodied Carbon</w:t>
            </w:r>
          </w:p>
        </w:tc>
        <w:tc>
          <w:tcPr/>
          <w:p>
            <w:pPr>
              <w:pStyle w:val="Compact"/>
              <w:jc w:val="left"/>
            </w:pPr>
            <w:r>
              <w:t xml:space="preserve">Emissions from the manufacturing and transportation of building materials</w:t>
            </w:r>
          </w:p>
        </w:tc>
      </w:tr>
    </w:tbl>
    <w:bookmarkEnd w:id="33"/>
    <w:bookmarkStart w:id="34" w:name="X2099ab195dded87116c2c363c0211db4e08ed5e"/>
    <w:p>
      <w:pPr>
        <w:pStyle w:val="Heading2"/>
      </w:pPr>
      <w:r>
        <w:t xml:space="preserve">1.6 Ontology — Etymology and Philosophical Background</w:t>
      </w:r>
    </w:p>
    <w:p>
      <w:pPr>
        <w:pStyle w:val="FirstParagraph"/>
      </w:pPr>
      <w:r>
        <w:t xml:space="preserve">The Firehorse platform’s data and reasoning layer is structured around a formal ontology — the DWS Ontology Standard (see</w:t>
      </w:r>
      <w:r>
        <w:t xml:space="preserve"> </w:t>
      </w:r>
      <w:r>
        <w:rPr>
          <w:rStyle w:val="VerbatimChar"/>
        </w:rPr>
        <w:t xml:space="preserve">ONTOLOGY.md</w:t>
      </w:r>
      <w:r>
        <w:t xml:space="preserve"> </w:t>
      </w:r>
      <w:r>
        <w:t xml:space="preserve">v1.3 in the project repository). To ground the engineering choices in their conceptual heritage, this section briefly reviews the origin of the term.</w:t>
      </w:r>
    </w:p>
    <w:p>
      <w:pPr>
        <w:pStyle w:val="BodyText"/>
      </w:pPr>
      <w:r>
        <w:rPr>
          <w:bCs/>
          <w:b/>
        </w:rPr>
        <w:t xml:space="preserve">Etymology.</w:t>
      </w:r>
      <w:r>
        <w:t xml:space="preserve"> </w:t>
      </w:r>
      <w:r>
        <w:t xml:space="preserve">The word</w:t>
      </w:r>
      <w:r>
        <w:t xml:space="preserve"> </w:t>
      </w:r>
      <w:r>
        <w:rPr>
          <w:iCs/>
          <w:i/>
        </w:rPr>
        <w:t xml:space="preserve">ontology</w:t>
      </w:r>
      <w:r>
        <w:t xml:space="preserve"> </w:t>
      </w:r>
      <w:r>
        <w:t xml:space="preserve">derives from two Greek roots:</w:t>
      </w:r>
      <w:r>
        <w:t xml:space="preserve"> </w:t>
      </w:r>
      <w:r>
        <w:rPr>
          <w:bCs/>
          <w:b/>
        </w:rPr>
        <w:t xml:space="preserve">ὄν (ón)</w:t>
      </w:r>
      <w:r>
        <w:t xml:space="preserve"> </w:t>
      </w:r>
      <w:r>
        <w:t xml:space="preserve">—</w:t>
      </w:r>
      <w:r>
        <w:t xml:space="preserve"> </w:t>
      </w:r>
      <w:r>
        <w:t xml:space="preserve">“</w:t>
      </w:r>
      <w:r>
        <w:t xml:space="preserve">that which is</w:t>
      </w:r>
      <w:r>
        <w:t xml:space="preserve">”</w:t>
      </w:r>
      <w:r>
        <w:t xml:space="preserve">, the present participle of</w:t>
      </w:r>
      <w:r>
        <w:t xml:space="preserve"> </w:t>
      </w:r>
      <w:r>
        <w:rPr>
          <w:iCs/>
          <w:i/>
        </w:rPr>
        <w:t xml:space="preserve">einai</w:t>
      </w:r>
      <w:r>
        <w:t xml:space="preserve"> </w:t>
      </w:r>
      <w:r>
        <w:t xml:space="preserve">(</w:t>
      </w:r>
      <w:r>
        <w:t xml:space="preserve">“</w:t>
      </w:r>
      <w:r>
        <w:t xml:space="preserve">to be</w:t>
      </w:r>
      <w:r>
        <w:t xml:space="preserve">”</w:t>
      </w:r>
      <w:r>
        <w:t xml:space="preserve">) — and</w:t>
      </w:r>
      <w:r>
        <w:t xml:space="preserve"> </w:t>
      </w:r>
      <w:r>
        <w:rPr>
          <w:bCs/>
          <w:b/>
        </w:rPr>
        <w:t xml:space="preserve">λόγος (lógos)</w:t>
      </w:r>
      <w:r>
        <w:t xml:space="preserve"> </w:t>
      </w:r>
      <w:r>
        <w:t xml:space="preserve">—</w:t>
      </w:r>
      <w:r>
        <w:t xml:space="preserve"> </w:t>
      </w:r>
      <w:r>
        <w:t xml:space="preserve">“</w:t>
      </w:r>
      <w:r>
        <w:t xml:space="preserve">doctrine, account, rational explanation</w:t>
      </w:r>
      <w:r>
        <w:t xml:space="preserve">”</w:t>
      </w:r>
      <w:r>
        <w:t xml:space="preserve">. Literally, ontology is</w:t>
      </w:r>
      <w:r>
        <w:t xml:space="preserve"> </w:t>
      </w:r>
      <w:r>
        <w:t xml:space="preserve">“</w:t>
      </w:r>
      <w:r>
        <w:t xml:space="preserve">the doctrine of being</w:t>
      </w:r>
      <w:r>
        <w:t xml:space="preserve">”</w:t>
      </w:r>
      <w:r>
        <w:t xml:space="preserve"> </w:t>
      </w:r>
      <w:r>
        <w:t xml:space="preserve">— the study of what exists and in what manner.</w:t>
      </w:r>
    </w:p>
    <w:p>
      <w:pPr>
        <w:pStyle w:val="BodyText"/>
      </w:pPr>
      <w:r>
        <w:rPr>
          <w:bCs/>
          <w:b/>
        </w:rPr>
        <w:t xml:space="preserve">Philosophical background.</w:t>
      </w:r>
      <w:r>
        <w:t xml:space="preserve"> </w:t>
      </w:r>
      <w:r>
        <w:t xml:space="preserve">Ontology is one of the central branches of metaphysics. Already in classical Greece, philosophers such as Aristotle examined the nature of being: what it means for something to</w:t>
      </w:r>
      <w:r>
        <w:t xml:space="preserve"> </w:t>
      </w:r>
      <w:r>
        <w:rPr>
          <w:iCs/>
          <w:i/>
        </w:rPr>
        <w:t xml:space="preserve">be</w:t>
      </w:r>
      <w:r>
        <w:t xml:space="preserve">, what kinds of entities exist (objects, properties, relations, events), and what the basic structure of being is. The term</w:t>
      </w:r>
      <w:r>
        <w:t xml:space="preserve"> </w:t>
      </w:r>
      <w:r>
        <w:rPr>
          <w:iCs/>
          <w:i/>
        </w:rPr>
        <w:t xml:space="preserve">ontology</w:t>
      </w:r>
      <w:r>
        <w:t xml:space="preserve"> </w:t>
      </w:r>
      <w:r>
        <w:t xml:space="preserve">itself was consolidated only in the 17th–18th centuries, particularly within scholastic and early-modern philosophy, when metaphysics began to be systematised into distinct sub-fields.</w:t>
      </w:r>
    </w:p>
    <w:p>
      <w:pPr>
        <w:pStyle w:val="BodyText"/>
      </w:pPr>
      <w:r>
        <w:rPr>
          <w:bCs/>
          <w:b/>
        </w:rPr>
        <w:t xml:space="preserve">Modern usage.</w:t>
      </w:r>
      <w:r>
        <w:t xml:space="preserve"> </w:t>
      </w:r>
      <w:r>
        <w:t xml:space="preserve">Today the term is applied in several contexts: in philosophy, the study of the fundamental nature of existence; in computer science and artificial intelligence, a formal model of concepts and the relations between them (classes, properties, relations); and in the philosophy of science, the question of which entities a given theory commits to. The original meaning —</w:t>
      </w:r>
      <w:r>
        <w:t xml:space="preserve"> </w:t>
      </w:r>
      <w:r>
        <w:rPr>
          <w:iCs/>
          <w:i/>
        </w:rPr>
        <w:t xml:space="preserve">structuring what is</w:t>
      </w:r>
      <w:r>
        <w:t xml:space="preserve"> </w:t>
      </w:r>
      <w:r>
        <w:t xml:space="preserve">— is preserved, while the application surface shifts. The DWS Ontology Standard builds on this foundation: EU regulations and industrial concepts are structured into a machine-readable form that humans and agents can query through the same interface.</w:t>
      </w:r>
    </w:p>
    <w:p>
      <w:r>
        <w:pict>
          <v:rect style="width:0;height:1.5pt" o:hralign="center" o:hrstd="t" o:hr="t"/>
        </w:pict>
      </w:r>
    </w:p>
    <w:bookmarkEnd w:id="34"/>
    <w:bookmarkEnd w:id="35"/>
    <w:bookmarkStart w:id="46" w:name="theoretical-framework"/>
    <w:p>
      <w:pPr>
        <w:pStyle w:val="Heading1"/>
      </w:pPr>
      <w:r>
        <w:t xml:space="preserve">2. Theoretical Framework</w:t>
      </w:r>
    </w:p>
    <w:bookmarkStart w:id="36" w:name="lean-startup-methodology"/>
    <w:p>
      <w:pPr>
        <w:pStyle w:val="Heading2"/>
      </w:pPr>
      <w:r>
        <w:t xml:space="preserve">2.1 Lean Startup Methodology</w:t>
      </w:r>
    </w:p>
    <w:p>
      <w:pPr>
        <w:pStyle w:val="FirstParagraph"/>
      </w:pPr>
      <w:r>
        <w:t xml:space="preserve">The Lean Startup methodology (Ries, 2011) forms the foundation of Firehorse product development. The core principle of the Build-Measure-Learn cycle directly guides the phased deployment model:</w:t>
      </w:r>
    </w:p>
    <w:p>
      <w:pPr>
        <w:pStyle w:val="BodyText"/>
      </w:pPr>
      <w:r>
        <w:rPr>
          <w:bCs/>
          <w:b/>
        </w:rPr>
        <w:t xml:space="preserve">Application to Firehorse:</w:t>
      </w:r>
    </w:p>
    <w:tbl>
      <w:tblPr>
        <w:tblStyle w:val="Table"/>
        <w:tblW w:type="pct" w:w="5000"/>
        <w:tblLook w:firstRow="1" w:lastRow="0" w:firstColumn="0" w:lastColumn="0" w:noHBand="0" w:noVBand="0" w:val="0020"/>
        <w:jc w:val="start"/>
      </w:tblPr>
      <w:tblGrid>
        <w:gridCol w:w="2880"/>
        <w:gridCol w:w="5040"/>
      </w:tblGrid>
      <w:tr>
        <w:trPr>
          <w:tblHeader w:val="true"/>
        </w:trPr>
        <w:tc>
          <w:tcPr/>
          <w:p>
            <w:pPr>
              <w:pStyle w:val="Compact"/>
              <w:jc w:val="left"/>
            </w:pPr>
            <w:r>
              <w:t xml:space="preserve">Lean Startup Concept</w:t>
            </w:r>
          </w:p>
        </w:tc>
        <w:tc>
          <w:tcPr/>
          <w:p>
            <w:pPr>
              <w:pStyle w:val="Compact"/>
              <w:jc w:val="left"/>
            </w:pPr>
            <w:r>
              <w:t xml:space="preserve">Firehorse Implementation</w:t>
            </w:r>
          </w:p>
        </w:tc>
      </w:tr>
      <w:tr>
        <w:tc>
          <w:tcPr/>
          <w:p>
            <w:pPr>
              <w:pStyle w:val="Compact"/>
              <w:jc w:val="left"/>
            </w:pPr>
            <w:r>
              <w:rPr>
                <w:bCs/>
                <w:b/>
              </w:rPr>
              <w:t xml:space="preserve">MVP (Minimum Viable Product)</w:t>
            </w:r>
          </w:p>
        </w:tc>
        <w:tc>
          <w:tcPr/>
          <w:p>
            <w:pPr>
              <w:pStyle w:val="Compact"/>
              <w:jc w:val="left"/>
            </w:pPr>
            <w:r>
              <w:t xml:space="preserve">2 agents (CustomerSat, Viability) for 5 pilot customers</w:t>
            </w:r>
          </w:p>
        </w:tc>
      </w:tr>
      <w:tr>
        <w:tc>
          <w:tcPr/>
          <w:p>
            <w:pPr>
              <w:pStyle w:val="Compact"/>
              <w:jc w:val="left"/>
            </w:pPr>
            <w:r>
              <w:rPr>
                <w:bCs/>
                <w:b/>
              </w:rPr>
              <w:t xml:space="preserve">Validated Learning</w:t>
            </w:r>
          </w:p>
        </w:tc>
        <w:tc>
          <w:tcPr/>
          <w:p>
            <w:pPr>
              <w:pStyle w:val="Compact"/>
              <w:jc w:val="left"/>
            </w:pPr>
            <w:r>
              <w:t xml:space="preserve">Silent Pilot phase observes before acting</w:t>
            </w:r>
          </w:p>
        </w:tc>
      </w:tr>
      <w:tr>
        <w:tc>
          <w:tcPr/>
          <w:p>
            <w:pPr>
              <w:pStyle w:val="Compact"/>
              <w:jc w:val="left"/>
            </w:pPr>
            <w:r>
              <w:rPr>
                <w:bCs/>
                <w:b/>
              </w:rPr>
              <w:t xml:space="preserve">Build-Measure-Learn</w:t>
            </w:r>
          </w:p>
        </w:tc>
        <w:tc>
          <w:tcPr/>
          <w:p>
            <w:pPr>
              <w:pStyle w:val="Compact"/>
              <w:jc w:val="left"/>
            </w:pPr>
            <w:r>
              <w:t xml:space="preserve">Phase 1 -&gt; Phase 2 -&gt; Phase 3 progression</w:t>
            </w:r>
          </w:p>
        </w:tc>
      </w:tr>
      <w:tr>
        <w:tc>
          <w:tcPr/>
          <w:p>
            <w:pPr>
              <w:pStyle w:val="Compact"/>
              <w:jc w:val="left"/>
            </w:pPr>
            <w:r>
              <w:rPr>
                <w:bCs/>
                <w:b/>
              </w:rPr>
              <w:t xml:space="preserve">Pivot or Persevere</w:t>
            </w:r>
          </w:p>
        </w:tc>
        <w:tc>
          <w:tcPr/>
          <w:p>
            <w:pPr>
              <w:pStyle w:val="Compact"/>
              <w:jc w:val="left"/>
            </w:pPr>
            <w:r>
              <w:t xml:space="preserve">Signal-based coordination allows rapid course correction</w:t>
            </w:r>
          </w:p>
        </w:tc>
      </w:tr>
    </w:tbl>
    <w:p>
      <w:pPr>
        <w:pStyle w:val="BodyText"/>
      </w:pPr>
      <w:r>
        <w:t xml:space="preserve">The Customer Development methodology (Blank, 2013) extends this with the principle of</w:t>
      </w:r>
      <w:r>
        <w:t xml:space="preserve"> </w:t>
      </w:r>
      <w:r>
        <w:t xml:space="preserve">“</w:t>
      </w:r>
      <w:r>
        <w:t xml:space="preserve">getting out of the building</w:t>
      </w:r>
      <w:r>
        <w:t xml:space="preserve">”</w:t>
      </w:r>
      <w:r>
        <w:t xml:space="preserve"> </w:t>
      </w:r>
      <w:r>
        <w:t xml:space="preserve">- validating product-market fit with real customers before scaling. Firehorse’s 2-month payback guarantee operationalizes this by creating a measurable validation metric.</w:t>
      </w:r>
    </w:p>
    <w:p>
      <w:pPr>
        <w:pStyle w:val="BodyText"/>
      </w:pPr>
      <w:r>
        <w:rPr>
          <w:bCs/>
          <w:b/>
        </w:rPr>
        <w:t xml:space="preserve">Jobs-to-be-Done Framework:</w:t>
      </w:r>
      <w:r>
        <w:t xml:space="preserve"> </w:t>
      </w:r>
      <w:r>
        <w:t xml:space="preserve">Following Clayton Christensen’s framework, Firehorse identifies the</w:t>
      </w:r>
      <w:r>
        <w:t xml:space="preserve"> </w:t>
      </w:r>
      <w:r>
        <w:t xml:space="preserve">“</w:t>
      </w:r>
      <w:r>
        <w:t xml:space="preserve">job</w:t>
      </w:r>
      <w:r>
        <w:t xml:space="preserve">”</w:t>
      </w:r>
      <w:r>
        <w:t xml:space="preserve"> </w:t>
      </w:r>
      <w:r>
        <w:t xml:space="preserve">customers hire the product for:</w:t>
      </w:r>
    </w:p>
    <w:p>
      <w:pPr>
        <w:numPr>
          <w:ilvl w:val="0"/>
          <w:numId w:val="1016"/>
        </w:numPr>
        <w:pStyle w:val="Compact"/>
      </w:pPr>
      <w:r>
        <w:rPr>
          <w:bCs/>
          <w:b/>
        </w:rPr>
        <w:t xml:space="preserve">Functional Job:</w:t>
      </w:r>
      <w:r>
        <w:t xml:space="preserve"> </w:t>
      </w:r>
      <w:r>
        <w:t xml:space="preserve">Track embodied carbon for EU compliance (2028 deadline)</w:t>
      </w:r>
    </w:p>
    <w:p>
      <w:pPr>
        <w:numPr>
          <w:ilvl w:val="0"/>
          <w:numId w:val="1016"/>
        </w:numPr>
        <w:pStyle w:val="Compact"/>
      </w:pPr>
      <w:r>
        <w:rPr>
          <w:bCs/>
          <w:b/>
        </w:rPr>
        <w:t xml:space="preserve">Emotional Job:</w:t>
      </w:r>
      <w:r>
        <w:t xml:space="preserve"> </w:t>
      </w:r>
      <w:r>
        <w:t xml:space="preserve">Reduce anxiety about regulatory penalties</w:t>
      </w:r>
    </w:p>
    <w:p>
      <w:pPr>
        <w:numPr>
          <w:ilvl w:val="0"/>
          <w:numId w:val="1016"/>
        </w:numPr>
        <w:pStyle w:val="Compact"/>
      </w:pPr>
      <w:r>
        <w:rPr>
          <w:bCs/>
          <w:b/>
        </w:rPr>
        <w:t xml:space="preserve">Social Job:</w:t>
      </w:r>
      <w:r>
        <w:t xml:space="preserve"> </w:t>
      </w:r>
      <w:r>
        <w:t xml:space="preserve">Demonstrate sustainability leadership to stakeholders</w:t>
      </w:r>
    </w:p>
    <w:bookmarkEnd w:id="36"/>
    <w:bookmarkStart w:id="37" w:name="platform-economics"/>
    <w:p>
      <w:pPr>
        <w:pStyle w:val="Heading2"/>
      </w:pPr>
      <w:r>
        <w:t xml:space="preserve">2.2 Platform Economics</w:t>
      </w:r>
    </w:p>
    <w:p>
      <w:pPr>
        <w:pStyle w:val="FirstParagraph"/>
      </w:pPr>
      <w:r>
        <w:t xml:space="preserve">Platform economics (Parker, Van Alstyne &amp; Choudary, 2016) explains how multi-sided platforms create value through network effects. The Firehorse Solution Factory model extends this theory to industrial AI:</w:t>
      </w:r>
    </w:p>
    <w:p>
      <w:pPr>
        <w:pStyle w:val="BodyText"/>
      </w:pPr>
      <w:r>
        <w:rPr>
          <w:bCs/>
          <w:b/>
        </w:rPr>
        <w:t xml:space="preserve">Multi-sided platform design:</w:t>
      </w:r>
    </w:p>
    <w:p>
      <w:pPr>
        <w:pStyle w:val="SourceCode"/>
      </w:pPr>
      <w:r>
        <w:rPr>
          <w:rStyle w:val="VerbatimChar"/>
        </w:rPr>
        <w:t xml:space="preserve">+-------------------------------------------------------------+</w:t>
      </w:r>
      <w:r>
        <w:br/>
      </w:r>
      <w:r>
        <w:rPr>
          <w:rStyle w:val="VerbatimChar"/>
        </w:rPr>
        <w:t xml:space="preserve">|              FIREHORSE PLATFORM ECOSYSTEM                     |</w:t>
      </w:r>
      <w:r>
        <w:br/>
      </w:r>
      <w:r>
        <w:rPr>
          <w:rStyle w:val="VerbatimChar"/>
        </w:rPr>
        <w:t xml:space="preserve">+-------------------------------------------------------------+</w:t>
      </w:r>
      <w:r>
        <w:br/>
      </w:r>
      <w:r>
        <w:rPr>
          <w:rStyle w:val="VerbatimChar"/>
        </w:rPr>
        <w:t xml:space="preserve">|                                                               |</w:t>
      </w:r>
      <w:r>
        <w:br/>
      </w:r>
      <w:r>
        <w:rPr>
          <w:rStyle w:val="VerbatimChar"/>
        </w:rPr>
        <w:t xml:space="preserve">|  SIDE 1: Industrial Customers (across 8 verticals)           |</w:t>
      </w:r>
      <w:r>
        <w:br/>
      </w:r>
      <w:r>
        <w:rPr>
          <w:rStyle w:val="VerbatimChar"/>
        </w:rPr>
        <w:t xml:space="preserve">|  +- Construction: NCC, T2H (5 projects, EUR 50M portfolio)   |</w:t>
      </w:r>
      <w:r>
        <w:br/>
      </w:r>
      <w:r>
        <w:rPr>
          <w:rStyle w:val="VerbatimChar"/>
        </w:rPr>
        <w:t xml:space="preserve">|  +- Logistics: Uber, Bolt, Kela (EUR 10k MRR during pilot)   |</w:t>
      </w:r>
      <w:r>
        <w:br/>
      </w:r>
      <w:r>
        <w:rPr>
          <w:rStyle w:val="VerbatimChar"/>
        </w:rPr>
        <w:t xml:space="preserve">|  +- Manufacturing: 2M+ companies in Europe                   |</w:t>
      </w:r>
      <w:r>
        <w:br/>
      </w:r>
      <w:r>
        <w:rPr>
          <w:rStyle w:val="VerbatimChar"/>
        </w:rPr>
        <w:t xml:space="preserve">|  +- 5 additional verticals (Energy, Healthcare, etc.)        |</w:t>
      </w:r>
      <w:r>
        <w:br/>
      </w:r>
      <w:r>
        <w:rPr>
          <w:rStyle w:val="VerbatimChar"/>
        </w:rPr>
        <w:t xml:space="preserve">|                                                               |</w:t>
      </w:r>
      <w:r>
        <w:br/>
      </w:r>
      <w:r>
        <w:rPr>
          <w:rStyle w:val="VerbatimChar"/>
        </w:rPr>
        <w:t xml:space="preserve">|  SIDE 2: Data &amp; Intelligence Providers                        |</w:t>
      </w:r>
      <w:r>
        <w:br/>
      </w:r>
      <w:r>
        <w:rPr>
          <w:rStyle w:val="VerbatimChar"/>
        </w:rPr>
        <w:t xml:space="preserve">|  +- Lifetime World Model (55B parameter LLM)                 |</w:t>
      </w:r>
      <w:r>
        <w:br/>
      </w:r>
      <w:r>
        <w:rPr>
          <w:rStyle w:val="VerbatimChar"/>
        </w:rPr>
        <w:t xml:space="preserve">|  +- EU compliance databases (Fit for 55, EPBD)               |</w:t>
      </w:r>
      <w:r>
        <w:br/>
      </w:r>
      <w:r>
        <w:rPr>
          <w:rStyle w:val="VerbatimChar"/>
        </w:rPr>
        <w:t xml:space="preserve">|  +- Industry-specific carbon coefficients                    |</w:t>
      </w:r>
      <w:r>
        <w:br/>
      </w:r>
      <w:r>
        <w:rPr>
          <w:rStyle w:val="VerbatimChar"/>
        </w:rPr>
        <w:t xml:space="preserve">|                                                               |</w:t>
      </w:r>
      <w:r>
        <w:br/>
      </w:r>
      <w:r>
        <w:rPr>
          <w:rStyle w:val="VerbatimChar"/>
        </w:rPr>
        <w:t xml:space="preserve">|  SIDE 3: Hardware &amp; Edge Partners                             |</w:t>
      </w:r>
      <w:r>
        <w:br/>
      </w:r>
      <w:r>
        <w:rPr>
          <w:rStyle w:val="VerbatimChar"/>
        </w:rPr>
        <w:t xml:space="preserve">|  +- NVIDIA (Jetson Orin Nano edge devices)                   |</w:t>
      </w:r>
      <w:r>
        <w:br/>
      </w:r>
      <w:r>
        <w:rPr>
          <w:rStyle w:val="VerbatimChar"/>
        </w:rPr>
        <w:t xml:space="preserve">|  +- Acer/Asus (Blackwell training infrastructure)            |</w:t>
      </w:r>
      <w:r>
        <w:br/>
      </w:r>
      <w:r>
        <w:rPr>
          <w:rStyle w:val="VerbatimChar"/>
        </w:rPr>
        <w:t xml:space="preserve">|  +- IoT sensor manufacturers                                 |</w:t>
      </w:r>
      <w:r>
        <w:br/>
      </w:r>
      <w:r>
        <w:rPr>
          <w:rStyle w:val="VerbatimChar"/>
        </w:rPr>
        <w:t xml:space="preserve">|                                                               |</w:t>
      </w:r>
      <w:r>
        <w:br/>
      </w:r>
      <w:r>
        <w:rPr>
          <w:rStyle w:val="VerbatimChar"/>
        </w:rPr>
        <w:t xml:space="preserve">|  NETWORK EFFECTS:                                             |</w:t>
      </w:r>
      <w:r>
        <w:br/>
      </w:r>
      <w:r>
        <w:rPr>
          <w:rStyle w:val="VerbatimChar"/>
        </w:rPr>
        <w:t xml:space="preserve">|  * Cross-vertical intelligence (Logistics -&gt; Construction)   |</w:t>
      </w:r>
      <w:r>
        <w:br/>
      </w:r>
      <w:r>
        <w:rPr>
          <w:rStyle w:val="VerbatimChar"/>
        </w:rPr>
        <w:t xml:space="preserve">|  * Each new vertical makes ALL verticals smarter             |</w:t>
      </w:r>
      <w:r>
        <w:br/>
      </w:r>
      <w:r>
        <w:rPr>
          <w:rStyle w:val="VerbatimChar"/>
        </w:rPr>
        <w:t xml:space="preserve">|  * Agent templates become reusable across industries         |</w:t>
      </w:r>
      <w:r>
        <w:br/>
      </w:r>
      <w:r>
        <w:rPr>
          <w:rStyle w:val="VerbatimChar"/>
        </w:rPr>
        <w:t xml:space="preserve">|                                                               |</w:t>
      </w:r>
      <w:r>
        <w:br/>
      </w:r>
      <w:r>
        <w:rPr>
          <w:rStyle w:val="VerbatimChar"/>
        </w:rPr>
        <w:t xml:space="preserve">+-------------------------------------------------------------+</w:t>
      </w:r>
    </w:p>
    <w:p>
      <w:pPr>
        <w:pStyle w:val="FirstParagraph"/>
      </w:pPr>
      <w:r>
        <w:rPr>
          <w:bCs/>
          <w:b/>
        </w:rPr>
        <w:t xml:space="preserve">Market context:</w:t>
      </w:r>
      <w:r>
        <w:t xml:space="preserve"> </w:t>
      </w:r>
      <w:r>
        <w:t xml:space="preserve">Worldwide generative AI spending is projected to reach $644 billion in 2025, a 76.4% year-over-year increase (Red Hat, 2025). Yet 64% of CEOs invest in AI technologies before clearly understanding the value they bring, creating technical debt and strategic fragility. This reactive posture validates the Firehorse platform approach: outcome-defined AI with built-in compliance guardrails, rather than technology-first experimentation.</w:t>
      </w:r>
    </w:p>
    <w:p>
      <w:pPr>
        <w:pStyle w:val="BodyText"/>
      </w:pPr>
      <w:r>
        <w:rPr>
          <w:bCs/>
          <w:b/>
        </w:rPr>
        <w:t xml:space="preserve">Value Creation Mechanisms:</w:t>
      </w:r>
    </w:p>
    <w:p>
      <w:pPr>
        <w:numPr>
          <w:ilvl w:val="0"/>
          <w:numId w:val="1017"/>
        </w:numPr>
        <w:pStyle w:val="Compact"/>
      </w:pPr>
      <w:r>
        <w:rPr>
          <w:bCs/>
          <w:b/>
        </w:rPr>
        <w:t xml:space="preserve">Same-side effects:</w:t>
      </w:r>
      <w:r>
        <w:t xml:space="preserve"> </w:t>
      </w:r>
      <w:r>
        <w:t xml:space="preserve">More customers -&gt; more industry data -&gt; better agent accuracy</w:t>
      </w:r>
    </w:p>
    <w:p>
      <w:pPr>
        <w:numPr>
          <w:ilvl w:val="0"/>
          <w:numId w:val="1017"/>
        </w:numPr>
        <w:pStyle w:val="Compact"/>
      </w:pPr>
      <w:r>
        <w:rPr>
          <w:bCs/>
          <w:b/>
        </w:rPr>
        <w:t xml:space="preserve">Cross-side effects:</w:t>
      </w:r>
      <w:r>
        <w:t xml:space="preserve"> </w:t>
      </w:r>
      <w:r>
        <w:t xml:space="preserve">More verticals -&gt; more reusable agent templates -&gt; faster deployment</w:t>
      </w:r>
    </w:p>
    <w:p>
      <w:pPr>
        <w:numPr>
          <w:ilvl w:val="0"/>
          <w:numId w:val="1017"/>
        </w:numPr>
        <w:pStyle w:val="Compact"/>
      </w:pPr>
      <w:r>
        <w:rPr>
          <w:bCs/>
          <w:b/>
        </w:rPr>
        <w:t xml:space="preserve">Data network effects:</w:t>
      </w:r>
      <w:r>
        <w:t xml:space="preserve"> </w:t>
      </w:r>
      <w:r>
        <w:t xml:space="preserve">Lifetime World Model improves with each customer interaction</w:t>
      </w:r>
    </w:p>
    <w:bookmarkEnd w:id="37"/>
    <w:bookmarkStart w:id="38" w:name="industry-5.0"/>
    <w:p>
      <w:pPr>
        <w:pStyle w:val="Heading2"/>
      </w:pPr>
      <w:r>
        <w:t xml:space="preserve">2.3 Industry 5.0</w:t>
      </w:r>
    </w:p>
    <w:p>
      <w:pPr>
        <w:pStyle w:val="FirstParagraph"/>
      </w:pPr>
      <w:r>
        <w:t xml:space="preserve">Industry 5.0 (European Commission, 2021) represents an evolution from Industry 4.0’s automation focus toward a human-centric, sustainable, and resilient industrial paradigm. The Firehorse operating model directly implements these three pillars:</w:t>
      </w:r>
    </w:p>
    <w:p>
      <w:pPr>
        <w:pStyle w:val="BodyText"/>
      </w:pPr>
      <w:r>
        <w:rPr>
          <w:bCs/>
          <w:b/>
        </w:rPr>
        <w:t xml:space="preserve">Human-centric implementation:</w:t>
      </w:r>
      <w:r>
        <w:t xml:space="preserve"> </w:t>
      </w:r>
      <w:r>
        <w:t xml:space="preserve">The three-phase deployment model (Silent Pilot -&gt; Advisor -&gt; Autonomous) ensures human oversight:</w:t>
      </w:r>
    </w:p>
    <w:tbl>
      <w:tblPr>
        <w:tblStyle w:val="Table"/>
        <w:tblW w:type="pct" w:w="5000"/>
        <w:tblLook w:firstRow="1" w:lastRow="0" w:firstColumn="0" w:lastColumn="0" w:noHBand="0" w:noVBand="0" w:val="0020"/>
        <w:jc w:val="start"/>
      </w:tblPr>
      <w:tblGrid>
        <w:gridCol w:w="1456"/>
        <w:gridCol w:w="1638"/>
        <w:gridCol w:w="2184"/>
        <w:gridCol w:w="2640"/>
      </w:tblGrid>
      <w:tr>
        <w:trPr>
          <w:tblHeader w:val="true"/>
        </w:trPr>
        <w:tc>
          <w:tcPr/>
          <w:p>
            <w:pPr>
              <w:pStyle w:val="Compact"/>
              <w:jc w:val="left"/>
            </w:pPr>
            <w:r>
              <w:t xml:space="preserve">Phase</w:t>
            </w:r>
          </w:p>
        </w:tc>
        <w:tc>
          <w:tcPr/>
          <w:p>
            <w:pPr>
              <w:pStyle w:val="Compact"/>
              <w:jc w:val="left"/>
            </w:pPr>
            <w:r>
              <w:t xml:space="preserve">Human Role</w:t>
            </w:r>
          </w:p>
        </w:tc>
        <w:tc>
          <w:tcPr/>
          <w:p>
            <w:pPr>
              <w:pStyle w:val="Compact"/>
              <w:jc w:val="left"/>
            </w:pPr>
            <w:r>
              <w:t xml:space="preserve">AI Role</w:t>
            </w:r>
          </w:p>
        </w:tc>
        <w:tc>
          <w:tcPr/>
          <w:p>
            <w:pPr>
              <w:pStyle w:val="Compact"/>
              <w:jc w:val="left"/>
            </w:pPr>
            <w:r>
              <w:t xml:space="preserve">Industry 5.0 Alignment</w:t>
            </w:r>
          </w:p>
        </w:tc>
      </w:tr>
      <w:tr>
        <w:tc>
          <w:tcPr/>
          <w:p>
            <w:pPr>
              <w:pStyle w:val="Compact"/>
              <w:jc w:val="left"/>
            </w:pPr>
            <w:r>
              <w:rPr>
                <w:bCs/>
                <w:b/>
              </w:rPr>
              <w:t xml:space="preserve">Silent Pilot</w:t>
            </w:r>
          </w:p>
        </w:tc>
        <w:tc>
          <w:tcPr/>
          <w:p>
            <w:pPr>
              <w:pStyle w:val="Compact"/>
              <w:jc w:val="left"/>
            </w:pPr>
            <w:r>
              <w:t xml:space="preserve">Full control</w:t>
            </w:r>
          </w:p>
        </w:tc>
        <w:tc>
          <w:tcPr/>
          <w:p>
            <w:pPr>
              <w:pStyle w:val="Compact"/>
              <w:jc w:val="left"/>
            </w:pPr>
            <w:r>
              <w:t xml:space="preserve">Observation only</w:t>
            </w:r>
          </w:p>
        </w:tc>
        <w:tc>
          <w:tcPr/>
          <w:p>
            <w:pPr>
              <w:pStyle w:val="Compact"/>
              <w:jc w:val="left"/>
            </w:pPr>
            <w:r>
              <w:t xml:space="preserve">Maximum human agency</w:t>
            </w:r>
          </w:p>
        </w:tc>
      </w:tr>
      <w:tr>
        <w:tc>
          <w:tcPr/>
          <w:p>
            <w:pPr>
              <w:pStyle w:val="Compact"/>
              <w:jc w:val="left"/>
            </w:pPr>
            <w:r>
              <w:rPr>
                <w:bCs/>
                <w:b/>
              </w:rPr>
              <w:t xml:space="preserve">Advisor</w:t>
            </w:r>
          </w:p>
        </w:tc>
        <w:tc>
          <w:tcPr/>
          <w:p>
            <w:pPr>
              <w:pStyle w:val="Compact"/>
              <w:jc w:val="left"/>
            </w:pPr>
            <w:r>
              <w:t xml:space="preserve">Approval required</w:t>
            </w:r>
          </w:p>
        </w:tc>
        <w:tc>
          <w:tcPr/>
          <w:p>
            <w:pPr>
              <w:pStyle w:val="Compact"/>
              <w:jc w:val="left"/>
            </w:pPr>
            <w:r>
              <w:t xml:space="preserve">Recommendations</w:t>
            </w:r>
          </w:p>
        </w:tc>
        <w:tc>
          <w:tcPr/>
          <w:p>
            <w:pPr>
              <w:pStyle w:val="Compact"/>
              <w:jc w:val="left"/>
            </w:pPr>
            <w:r>
              <w:t xml:space="preserve">Collaborative decision-making</w:t>
            </w:r>
          </w:p>
        </w:tc>
      </w:tr>
      <w:tr>
        <w:tc>
          <w:tcPr/>
          <w:p>
            <w:pPr>
              <w:pStyle w:val="Compact"/>
              <w:jc w:val="left"/>
            </w:pPr>
            <w:r>
              <w:rPr>
                <w:bCs/>
                <w:b/>
              </w:rPr>
              <w:t xml:space="preserve">Autonomous</w:t>
            </w:r>
          </w:p>
        </w:tc>
        <w:tc>
          <w:tcPr/>
          <w:p>
            <w:pPr>
              <w:pStyle w:val="Compact"/>
              <w:jc w:val="left"/>
            </w:pPr>
            <w:r>
              <w:t xml:space="preserve">Exception handling</w:t>
            </w:r>
          </w:p>
        </w:tc>
        <w:tc>
          <w:tcPr/>
          <w:p>
            <w:pPr>
              <w:pStyle w:val="Compact"/>
              <w:jc w:val="left"/>
            </w:pPr>
            <w:r>
              <w:t xml:space="preserve">Action within guardrails</w:t>
            </w:r>
          </w:p>
        </w:tc>
        <w:tc>
          <w:tcPr/>
          <w:p>
            <w:pPr>
              <w:pStyle w:val="Compact"/>
              <w:jc w:val="left"/>
            </w:pPr>
            <w:r>
              <w:t xml:space="preserve">Human oversight on edge cases</w:t>
            </w:r>
          </w:p>
        </w:tc>
      </w:tr>
    </w:tbl>
    <w:bookmarkEnd w:id="38"/>
    <w:bookmarkStart w:id="39" w:name="edge-computing-economics"/>
    <w:p>
      <w:pPr>
        <w:pStyle w:val="Heading2"/>
      </w:pPr>
      <w:r>
        <w:t xml:space="preserve">2.4 Edge Computing Economics</w:t>
      </w:r>
    </w:p>
    <w:p>
      <w:pPr>
        <w:pStyle w:val="FirstParagraph"/>
      </w:pPr>
      <w:r>
        <w:t xml:space="preserve">Edge computing economics (Shi et al., 2016) provides the theoretical foundation for Firehorse’s hybrid architecture. The key insight is that latency and bandwidth costs frequently exceed the savings of centralized processing:</w:t>
      </w:r>
    </w:p>
    <w:p>
      <w:pPr>
        <w:pStyle w:val="BodyText"/>
      </w:pPr>
      <w:r>
        <w:rPr>
          <w:bCs/>
          <w:b/>
        </w:rPr>
        <w:t xml:space="preserve">Latency-cost tradeoff analysis:</w:t>
      </w:r>
    </w:p>
    <w:tbl>
      <w:tblPr>
        <w:tblStyle w:val="Table"/>
        <w:tblW w:type="pct" w:w="5000"/>
        <w:tblLook w:firstRow="1" w:lastRow="0" w:firstColumn="0" w:lastColumn="0" w:noHBand="0" w:noVBand="0" w:val="0020"/>
        <w:jc w:val="start"/>
      </w:tblPr>
      <w:tblGrid>
        <w:gridCol w:w="2076"/>
        <w:gridCol w:w="922"/>
        <w:gridCol w:w="1999"/>
        <w:gridCol w:w="2921"/>
      </w:tblGrid>
      <w:tr>
        <w:trPr>
          <w:tblHeader w:val="true"/>
        </w:trPr>
        <w:tc>
          <w:tcPr/>
          <w:p>
            <w:pPr>
              <w:pStyle w:val="Compact"/>
              <w:jc w:val="left"/>
            </w:pPr>
            <w:r>
              <w:t xml:space="preserve">Processing Location</w:t>
            </w:r>
          </w:p>
        </w:tc>
        <w:tc>
          <w:tcPr/>
          <w:p>
            <w:pPr>
              <w:pStyle w:val="Compact"/>
              <w:jc w:val="left"/>
            </w:pPr>
            <w:r>
              <w:t xml:space="preserve">Latency</w:t>
            </w:r>
          </w:p>
        </w:tc>
        <w:tc>
          <w:tcPr/>
          <w:p>
            <w:pPr>
              <w:pStyle w:val="Compact"/>
              <w:jc w:val="left"/>
            </w:pPr>
            <w:r>
              <w:t xml:space="preserve">Monthly Cost</w:t>
            </w:r>
          </w:p>
        </w:tc>
        <w:tc>
          <w:tcPr/>
          <w:p>
            <w:pPr>
              <w:pStyle w:val="Compact"/>
              <w:jc w:val="left"/>
            </w:pPr>
            <w:r>
              <w:t xml:space="preserve">Use Case</w:t>
            </w:r>
          </w:p>
        </w:tc>
      </w:tr>
      <w:tr>
        <w:tc>
          <w:tcPr/>
          <w:p>
            <w:pPr>
              <w:pStyle w:val="Compact"/>
              <w:jc w:val="left"/>
            </w:pPr>
            <w:r>
              <w:rPr>
                <w:bCs/>
                <w:b/>
              </w:rPr>
              <w:t xml:space="preserve">Cloud (Groq API)</w:t>
            </w:r>
          </w:p>
        </w:tc>
        <w:tc>
          <w:tcPr/>
          <w:p>
            <w:pPr>
              <w:pStyle w:val="Compact"/>
              <w:jc w:val="left"/>
            </w:pPr>
            <w:r>
              <w:t xml:space="preserve">500-2000ms</w:t>
            </w:r>
          </w:p>
        </w:tc>
        <w:tc>
          <w:tcPr/>
          <w:p>
            <w:pPr>
              <w:pStyle w:val="Compact"/>
              <w:jc w:val="left"/>
            </w:pPr>
            <w:r>
              <w:t xml:space="preserve">EUR 555/month</w:t>
            </w:r>
          </w:p>
        </w:tc>
        <w:tc>
          <w:tcPr/>
          <w:p>
            <w:pPr>
              <w:pStyle w:val="Compact"/>
              <w:jc w:val="left"/>
            </w:pPr>
            <w:r>
              <w:t xml:space="preserve">Complex reasoning, report generation</w:t>
            </w:r>
          </w:p>
        </w:tc>
      </w:tr>
      <w:tr>
        <w:tc>
          <w:tcPr/>
          <w:p>
            <w:pPr>
              <w:pStyle w:val="Compact"/>
              <w:jc w:val="left"/>
            </w:pPr>
            <w:r>
              <w:rPr>
                <w:bCs/>
                <w:b/>
              </w:rPr>
              <w:t xml:space="preserve">Edge (Jetson Orin Nano)</w:t>
            </w:r>
          </w:p>
        </w:tc>
        <w:tc>
          <w:tcPr/>
          <w:p>
            <w:pPr>
              <w:pStyle w:val="Compact"/>
              <w:jc w:val="left"/>
            </w:pPr>
            <w:r>
              <w:t xml:space="preserve">&lt;100ms</w:t>
            </w:r>
          </w:p>
        </w:tc>
        <w:tc>
          <w:tcPr/>
          <w:p>
            <w:pPr>
              <w:pStyle w:val="Compact"/>
              <w:jc w:val="left"/>
            </w:pPr>
            <w:r>
              <w:t xml:space="preserve">EUR 100/year (electricity)</w:t>
            </w:r>
          </w:p>
        </w:tc>
        <w:tc>
          <w:tcPr/>
          <w:p>
            <w:pPr>
              <w:pStyle w:val="Compact"/>
              <w:jc w:val="left"/>
            </w:pPr>
            <w:r>
              <w:t xml:space="preserve">Real-time construction site monitoring</w:t>
            </w:r>
          </w:p>
        </w:tc>
      </w:tr>
      <w:tr>
        <w:tc>
          <w:tcPr/>
          <w:p>
            <w:pPr>
              <w:pStyle w:val="Compact"/>
              <w:jc w:val="left"/>
            </w:pPr>
            <w:r>
              <w:rPr>
                <w:bCs/>
                <w:b/>
              </w:rPr>
              <w:t xml:space="preserve">Hybrid</w:t>
            </w:r>
          </w:p>
        </w:tc>
        <w:tc>
          <w:tcPr/>
          <w:p>
            <w:pPr>
              <w:pStyle w:val="Compact"/>
              <w:jc w:val="left"/>
            </w:pPr>
            <w:r>
              <w:t xml:space="preserve">Best of both</w:t>
            </w:r>
          </w:p>
        </w:tc>
        <w:tc>
          <w:tcPr/>
          <w:p>
            <w:pPr>
              <w:pStyle w:val="Compact"/>
              <w:jc w:val="left"/>
            </w:pPr>
            <w:r>
              <w:t xml:space="preserve">EUR 25-350/month</w:t>
            </w:r>
          </w:p>
        </w:tc>
        <w:tc>
          <w:tcPr/>
          <w:p>
            <w:pPr>
              <w:pStyle w:val="Compact"/>
              <w:jc w:val="left"/>
            </w:pPr>
            <w:r>
              <w:t xml:space="preserve">Firehorse optimal configuration</w:t>
            </w:r>
          </w:p>
        </w:tc>
      </w:tr>
    </w:tbl>
    <w:p>
      <w:pPr>
        <w:pStyle w:val="BodyText"/>
      </w:pPr>
      <w:r>
        <w:rPr>
          <w:bCs/>
          <w:b/>
        </w:rPr>
        <w:t xml:space="preserve">Edge AI ROI calculation:</w:t>
      </w:r>
    </w:p>
    <w:p>
      <w:pPr>
        <w:pStyle w:val="SourceCode"/>
      </w:pPr>
      <w:r>
        <w:rPr>
          <w:rStyle w:val="VerbatimChar"/>
        </w:rPr>
        <w:t xml:space="preserve">Cloud solution (12 months):</w:t>
      </w:r>
      <w:r>
        <w:br/>
      </w:r>
      <w:r>
        <w:rPr>
          <w:rStyle w:val="VerbatimChar"/>
        </w:rPr>
        <w:t xml:space="preserve">  Compute: EUR 555/month x 12 = EUR 6,660/year</w:t>
      </w:r>
      <w:r>
        <w:br/>
      </w:r>
      <w:r>
        <w:rPr>
          <w:rStyle w:val="VerbatimChar"/>
        </w:rPr>
        <w:t xml:space="preserve">  Total: EUR 6,660/year</w:t>
      </w:r>
      <w:r>
        <w:br/>
      </w:r>
      <w:r>
        <w:br/>
      </w:r>
      <w:r>
        <w:rPr>
          <w:rStyle w:val="VerbatimChar"/>
        </w:rPr>
        <w:t xml:space="preserve">Edge AI solution:</w:t>
      </w:r>
      <w:r>
        <w:br/>
      </w:r>
      <w:r>
        <w:rPr>
          <w:rStyle w:val="VerbatimChar"/>
        </w:rPr>
        <w:t xml:space="preserve">  Hardware (one-time): EUR 1,084 (Jetson Orin Nano + accessories)</w:t>
      </w:r>
      <w:r>
        <w:br/>
      </w:r>
      <w:r>
        <w:rPr>
          <w:rStyle w:val="VerbatimChar"/>
        </w:rPr>
        <w:t xml:space="preserve">  Electricity: EUR 10/month x 12 = EUR 120/year</w:t>
      </w:r>
      <w:r>
        <w:br/>
      </w:r>
      <w:r>
        <w:rPr>
          <w:rStyle w:val="VerbatimChar"/>
        </w:rPr>
        <w:t xml:space="preserve">  Year 1 total: EUR 1,204</w:t>
      </w:r>
      <w:r>
        <w:br/>
      </w:r>
      <w:r>
        <w:rPr>
          <w:rStyle w:val="VerbatimChar"/>
        </w:rPr>
        <w:t xml:space="preserve">  Year 2+ total: EUR 120/year</w:t>
      </w:r>
      <w:r>
        <w:br/>
      </w:r>
      <w:r>
        <w:br/>
      </w:r>
      <w:r>
        <w:rPr>
          <w:rStyle w:val="VerbatimChar"/>
        </w:rPr>
        <w:t xml:space="preserve">Savings: EUR 5,456/year (82% cheaper)</w:t>
      </w:r>
      <w:r>
        <w:br/>
      </w:r>
      <w:r>
        <w:rPr>
          <w:rStyle w:val="VerbatimChar"/>
        </w:rPr>
        <w:t xml:space="preserve">Payback period: 1.95 months</w:t>
      </w:r>
    </w:p>
    <w:p>
      <w:pPr>
        <w:pStyle w:val="FirstParagraph"/>
      </w:pPr>
      <w:r>
        <w:rPr>
          <w:bCs/>
          <w:b/>
        </w:rPr>
        <w:t xml:space="preserve">Inference shift validation:</w:t>
      </w:r>
      <w:r>
        <w:t xml:space="preserve"> </w:t>
      </w:r>
      <w:r>
        <w:t xml:space="preserve">By 2028, more than 80% of data center workload accelerators will be deployed specifically for inference rather than training (Red Hat, 2025). This structural shift toward runtime execution validates the Firehorse edge-first architecture: the GN-100 Jetson Orin Nano runs inference workloads at EUR 120/year versus EUR 6,660/year in cloud — positioned precisely where the industry investment thesis is heading.</w:t>
      </w:r>
    </w:p>
    <w:bookmarkEnd w:id="39"/>
    <w:bookmarkStart w:id="44" w:name="X4f2064b2cf1bdfe6adbca5812c33986d8783861"/>
    <w:p>
      <w:pPr>
        <w:pStyle w:val="Heading2"/>
      </w:pPr>
      <w:r>
        <w:t xml:space="preserve">2.5 Multi-Agent Systems Theory and Lifetime Scope Signals</w:t>
      </w:r>
    </w:p>
    <w:p>
      <w:pPr>
        <w:pStyle w:val="FirstParagraph"/>
      </w:pPr>
      <w:r>
        <w:t xml:space="preserve">This section introduces a novel theoretical contribution: the</w:t>
      </w:r>
      <w:r>
        <w:t xml:space="preserve"> </w:t>
      </w:r>
      <w:r>
        <w:rPr>
          <w:bCs/>
          <w:b/>
        </w:rPr>
        <w:t xml:space="preserve">Lifetime Scope Signals protocol</w:t>
      </w:r>
      <w:r>
        <w:t xml:space="preserve"> </w:t>
      </w:r>
      <w:r>
        <w:t xml:space="preserve">for multi-agent coordination in bootstrapped industrial AI platforms.</w:t>
      </w:r>
    </w:p>
    <w:bookmarkStart w:id="40" w:name="multi-agent-systems-background"/>
    <w:p>
      <w:pPr>
        <w:pStyle w:val="Heading3"/>
      </w:pPr>
      <w:r>
        <w:t xml:space="preserve">2.5.1 Multi-Agent Systems Background</w:t>
      </w:r>
    </w:p>
    <w:p>
      <w:pPr>
        <w:pStyle w:val="FirstParagraph"/>
      </w:pPr>
      <w:r>
        <w:t xml:space="preserve">Multi-agent systems (MAS) theory (Wooldridge, 2009) provides the foundation for understanding how autonomous agents can coordinate to achieve complex objectives. Key concepts applied to Firehorse:</w:t>
      </w:r>
    </w:p>
    <w:p>
      <w:pPr>
        <w:numPr>
          <w:ilvl w:val="0"/>
          <w:numId w:val="1018"/>
        </w:numPr>
        <w:pStyle w:val="Compact"/>
      </w:pPr>
      <w:r>
        <w:rPr>
          <w:bCs/>
          <w:b/>
        </w:rPr>
        <w:t xml:space="preserve">Agent autonomy:</w:t>
      </w:r>
      <w:r>
        <w:t xml:space="preserve"> </w:t>
      </w:r>
      <w:r>
        <w:t xml:space="preserve">Each agent operates independently within defined responsibility areas</w:t>
      </w:r>
    </w:p>
    <w:p>
      <w:pPr>
        <w:numPr>
          <w:ilvl w:val="0"/>
          <w:numId w:val="1018"/>
        </w:numPr>
        <w:pStyle w:val="Compact"/>
      </w:pPr>
      <w:r>
        <w:rPr>
          <w:bCs/>
          <w:b/>
        </w:rPr>
        <w:t xml:space="preserve">Agent communication:</w:t>
      </w:r>
      <w:r>
        <w:t xml:space="preserve"> </w:t>
      </w:r>
      <w:r>
        <w:t xml:space="preserve">Agents exchange signals to coordinate dependencies</w:t>
      </w:r>
    </w:p>
    <w:p>
      <w:pPr>
        <w:numPr>
          <w:ilvl w:val="0"/>
          <w:numId w:val="1018"/>
        </w:numPr>
        <w:pStyle w:val="Compact"/>
      </w:pPr>
      <w:r>
        <w:rPr>
          <w:bCs/>
          <w:b/>
        </w:rPr>
        <w:t xml:space="preserve">Emergent behavior:</w:t>
      </w:r>
      <w:r>
        <w:t xml:space="preserve"> </w:t>
      </w:r>
      <w:r>
        <w:t xml:space="preserve">System-level capabilities arise from agent interactions</w:t>
      </w:r>
    </w:p>
    <w:p>
      <w:pPr>
        <w:numPr>
          <w:ilvl w:val="0"/>
          <w:numId w:val="1018"/>
        </w:numPr>
        <w:pStyle w:val="Compact"/>
      </w:pPr>
      <w:r>
        <w:rPr>
          <w:bCs/>
          <w:b/>
        </w:rPr>
        <w:t xml:space="preserve">Coordination mechanisms:</w:t>
      </w:r>
      <w:r>
        <w:t xml:space="preserve"> </w:t>
      </w:r>
      <w:r>
        <w:t xml:space="preserve">Protocols ensure agents work toward shared goals</w:t>
      </w:r>
    </w:p>
    <w:bookmarkEnd w:id="40"/>
    <w:bookmarkStart w:id="41" w:name="lifetime-scope-signals-protocol"/>
    <w:p>
      <w:pPr>
        <w:pStyle w:val="Heading3"/>
      </w:pPr>
      <w:r>
        <w:t xml:space="preserve">2.5.2 Lifetime Scope Signals Protocol</w:t>
      </w:r>
    </w:p>
    <w:p>
      <w:pPr>
        <w:pStyle w:val="FirstParagraph"/>
      </w:pPr>
      <w:r>
        <w:t xml:space="preserve">The Lifetime Scope Signals protocol is a novel coordination mechanism developed for DWS IQ 6. It enables deterministic multi-agent development coordination. Unlike traditional MAS approaches based on real-time negotiation, this protocol uses</w:t>
      </w:r>
      <w:r>
        <w:t xml:space="preserve"> </w:t>
      </w:r>
      <w:r>
        <w:rPr>
          <w:bCs/>
          <w:b/>
        </w:rPr>
        <w:t xml:space="preserve">declarative signal emission</w:t>
      </w:r>
      <w:r>
        <w:t xml:space="preserve"> </w:t>
      </w:r>
      <w:r>
        <w:t xml:space="preserve">to unblock dependent agents.</w:t>
      </w:r>
    </w:p>
    <w:p>
      <w:pPr>
        <w:pStyle w:val="BodyText"/>
      </w:pPr>
      <w:r>
        <w:rPr>
          <w:bCs/>
          <w:b/>
        </w:rPr>
        <w:t xml:space="preserve">Signal format:</w:t>
      </w:r>
    </w:p>
    <w:p>
      <w:pPr>
        <w:pStyle w:val="SourceCode"/>
      </w:pPr>
      <w:r>
        <w:rPr>
          <w:rStyle w:val="VerbatimChar"/>
        </w:rPr>
        <w:t xml:space="preserve">[AGENT-XX]:SIGNAL_TYPE:MILESTONE:TIMESTAMP</w:t>
      </w:r>
    </w:p>
    <w:p>
      <w:pPr>
        <w:pStyle w:val="FirstParagraph"/>
      </w:pPr>
      <w:r>
        <w:rPr>
          <w:bCs/>
          <w:b/>
        </w:rPr>
        <w:t xml:space="preserve">Signal types:</w:t>
      </w:r>
    </w:p>
    <w:tbl>
      <w:tblPr>
        <w:tblStyle w:val="Table"/>
        <w:tblW w:type="pct" w:w="5000"/>
        <w:tblLook w:firstRow="1" w:lastRow="0" w:firstColumn="0" w:lastColumn="0" w:noHBand="0" w:noVBand="0" w:val="0020"/>
        <w:jc w:val="start"/>
      </w:tblPr>
      <w:tblGrid>
        <w:gridCol w:w="1084"/>
        <w:gridCol w:w="3363"/>
        <w:gridCol w:w="3471"/>
      </w:tblGrid>
      <w:tr>
        <w:trPr>
          <w:tblHeader w:val="true"/>
        </w:trPr>
        <w:tc>
          <w:tcPr/>
          <w:p>
            <w:pPr>
              <w:pStyle w:val="Compact"/>
              <w:jc w:val="left"/>
            </w:pPr>
            <w:r>
              <w:t xml:space="preserve">Type</w:t>
            </w:r>
          </w:p>
        </w:tc>
        <w:tc>
          <w:tcPr/>
          <w:p>
            <w:pPr>
              <w:pStyle w:val="Compact"/>
              <w:jc w:val="left"/>
            </w:pPr>
            <w:r>
              <w:t xml:space="preserve">Meaning</w:t>
            </w:r>
          </w:p>
        </w:tc>
        <w:tc>
          <w:tcPr/>
          <w:p>
            <w:pPr>
              <w:pStyle w:val="Compact"/>
              <w:jc w:val="left"/>
            </w:pPr>
            <w:r>
              <w:t xml:space="preserve">Action</w:t>
            </w:r>
          </w:p>
        </w:tc>
      </w:tr>
      <w:tr>
        <w:tc>
          <w:tcPr/>
          <w:p>
            <w:pPr>
              <w:pStyle w:val="Compact"/>
              <w:jc w:val="left"/>
            </w:pPr>
            <w:r>
              <w:rPr>
                <w:rStyle w:val="VerbatimChar"/>
              </w:rPr>
              <w:t xml:space="preserve">READY</w:t>
            </w:r>
          </w:p>
        </w:tc>
        <w:tc>
          <w:tcPr/>
          <w:p>
            <w:pPr>
              <w:pStyle w:val="Compact"/>
              <w:jc w:val="left"/>
            </w:pPr>
            <w:r>
              <w:t xml:space="preserve">Milestone achieved</w:t>
            </w:r>
          </w:p>
        </w:tc>
        <w:tc>
          <w:tcPr/>
          <w:p>
            <w:pPr>
              <w:pStyle w:val="Compact"/>
              <w:jc w:val="left"/>
            </w:pPr>
            <w:r>
              <w:t xml:space="preserve">Unblocks downstream agents</w:t>
            </w:r>
          </w:p>
        </w:tc>
      </w:tr>
      <w:tr>
        <w:tc>
          <w:tcPr/>
          <w:p>
            <w:pPr>
              <w:pStyle w:val="Compact"/>
              <w:jc w:val="left"/>
            </w:pPr>
            <w:r>
              <w:rPr>
                <w:rStyle w:val="VerbatimChar"/>
              </w:rPr>
              <w:t xml:space="preserve">COMPLETE</w:t>
            </w:r>
          </w:p>
        </w:tc>
        <w:tc>
          <w:tcPr/>
          <w:p>
            <w:pPr>
              <w:pStyle w:val="Compact"/>
              <w:jc w:val="left"/>
            </w:pPr>
            <w:r>
              <w:t xml:space="preserve">All agent work finished</w:t>
            </w:r>
          </w:p>
        </w:tc>
        <w:tc>
          <w:tcPr/>
          <w:p>
            <w:pPr>
              <w:pStyle w:val="Compact"/>
              <w:jc w:val="left"/>
            </w:pPr>
            <w:r>
              <w:t xml:space="preserve">Agent transitions to ready state</w:t>
            </w:r>
          </w:p>
        </w:tc>
      </w:tr>
      <w:tr>
        <w:tc>
          <w:tcPr/>
          <w:p>
            <w:pPr>
              <w:pStyle w:val="Compact"/>
              <w:jc w:val="left"/>
            </w:pPr>
            <w:r>
              <w:rPr>
                <w:rStyle w:val="VerbatimChar"/>
              </w:rPr>
              <w:t xml:space="preserve">ERROR</w:t>
            </w:r>
          </w:p>
        </w:tc>
        <w:tc>
          <w:tcPr/>
          <w:p>
            <w:pPr>
              <w:pStyle w:val="Compact"/>
              <w:jc w:val="left"/>
            </w:pPr>
            <w:r>
              <w:t xml:space="preserve">Agent encountered an error</w:t>
            </w:r>
          </w:p>
        </w:tc>
        <w:tc>
          <w:tcPr/>
          <w:p>
            <w:pPr>
              <w:pStyle w:val="Compact"/>
              <w:jc w:val="left"/>
            </w:pPr>
            <w:r>
              <w:t xml:space="preserve">Alerts coordinator</w:t>
            </w:r>
          </w:p>
        </w:tc>
      </w:tr>
      <w:tr>
        <w:tc>
          <w:tcPr/>
          <w:p>
            <w:pPr>
              <w:pStyle w:val="Compact"/>
              <w:jc w:val="left"/>
            </w:pPr>
            <w:r>
              <w:rPr>
                <w:rStyle w:val="VerbatimChar"/>
              </w:rPr>
              <w:t xml:space="preserve">BLOCKED</w:t>
            </w:r>
          </w:p>
        </w:tc>
        <w:tc>
          <w:tcPr/>
          <w:p>
            <w:pPr>
              <w:pStyle w:val="Compact"/>
              <w:jc w:val="left"/>
            </w:pPr>
            <w:r>
              <w:t xml:space="preserve">Waiting for external dependency</w:t>
            </w:r>
          </w:p>
        </w:tc>
        <w:tc>
          <w:tcPr/>
          <w:p>
            <w:pPr>
              <w:pStyle w:val="Compact"/>
              <w:jc w:val="left"/>
            </w:pPr>
            <w:r>
              <w:t xml:space="preserve">No action until unblocked</w:t>
            </w:r>
          </w:p>
        </w:tc>
      </w:tr>
    </w:tbl>
    <w:bookmarkEnd w:id="41"/>
    <w:bookmarkStart w:id="42" w:name="mcp-hub-orchestration-patterns"/>
    <w:p>
      <w:pPr>
        <w:pStyle w:val="Heading3"/>
      </w:pPr>
      <w:r>
        <w:t xml:space="preserve">2.5.3 MCP Hub Orchestration Patterns</w:t>
      </w:r>
    </w:p>
    <w:p>
      <w:pPr>
        <w:pStyle w:val="FirstParagraph"/>
      </w:pPr>
      <w:r>
        <w:t xml:space="preserve">The Model Context Protocol (MCP) Hub (</w:t>
      </w:r>
      <w:r>
        <w:rPr>
          <w:rStyle w:val="VerbatimChar"/>
        </w:rPr>
        <w:t xml:space="preserve">mcp-hub/server.py</w:t>
      </w:r>
      <w:r>
        <w:t xml:space="preserve">, port 8765) implements four workflow patterns for multi-agent coordination. Each pattern exposes a dedicated HTTP endpoint and handles agent routing, error propagation, and result aggregation.</w:t>
      </w:r>
    </w:p>
    <w:p>
      <w:pPr>
        <w:pStyle w:val="BodyText"/>
      </w:pPr>
      <w:r>
        <w:rPr>
          <w:bCs/>
          <w:b/>
        </w:rPr>
        <w:t xml:space="preserve">1. Fan-Out Pattern</w:t>
      </w:r>
      <w:r>
        <w:t xml:space="preserve"> </w:t>
      </w:r>
      <w:r>
        <w:t xml:space="preserve">(</w:t>
      </w:r>
      <w:r>
        <w:rPr>
          <w:rStyle w:val="VerbatimChar"/>
        </w:rPr>
        <w:t xml:space="preserve">POST /workflow/fan-out</w:t>
      </w:r>
      <w:r>
        <w:t xml:space="preserve">)</w:t>
      </w:r>
      <w:r>
        <w:t xml:space="preserve"> </w:t>
      </w:r>
      <w:r>
        <w:t xml:space="preserve">Distributes tasks to multiple agents in parallel using</w:t>
      </w:r>
      <w:r>
        <w:t xml:space="preserve"> </w:t>
      </w:r>
      <w:r>
        <w:rPr>
          <w:rStyle w:val="VerbatimChar"/>
        </w:rPr>
        <w:t xml:space="preserve">asyncio.gather()</w:t>
      </w:r>
      <w:r>
        <w:t xml:space="preserve">. All agents execute concurrently with a shared HTTP client (300s timeout). Exceptions are serialized per-task, enabling partial success — if one agent fails, others still return results. Used for Category B (Operations) agents where tasks are independent.</w:t>
      </w:r>
    </w:p>
    <w:p>
      <w:pPr>
        <w:pStyle w:val="BodyText"/>
      </w:pPr>
      <w:r>
        <w:rPr>
          <w:bCs/>
          <w:b/>
        </w:rPr>
        <w:t xml:space="preserve">2. Sequential Pattern</w:t>
      </w:r>
      <w:r>
        <w:t xml:space="preserve"> </w:t>
      </w:r>
      <w:r>
        <w:t xml:space="preserve">(</w:t>
      </w:r>
      <w:r>
        <w:rPr>
          <w:rStyle w:val="VerbatimChar"/>
        </w:rPr>
        <w:t xml:space="preserve">POST /workflow/sequential</w:t>
      </w:r>
      <w:r>
        <w:t xml:space="preserve">)</w:t>
      </w:r>
      <w:r>
        <w:t xml:space="preserve"> </w:t>
      </w:r>
      <w:r>
        <w:t xml:space="preserve">Executes tasks one by one in dependency order. Each task’s result is injected as</w:t>
      </w:r>
      <w:r>
        <w:t xml:space="preserve"> </w:t>
      </w:r>
      <w:r>
        <w:rPr>
          <w:rStyle w:val="VerbatimChar"/>
        </w:rPr>
        <w:t xml:space="preserve">context["previous_result"]</w:t>
      </w:r>
      <w:r>
        <w:t xml:space="preserve"> </w:t>
      </w:r>
      <w:r>
        <w:t xml:space="preserve">into the next task, creating an explicit data flow chain. Suitable for pipelines where output of one agent feeds the next (e.g., data extraction → analysis → report generation).</w:t>
      </w:r>
    </w:p>
    <w:p>
      <w:pPr>
        <w:pStyle w:val="BodyText"/>
      </w:pPr>
      <w:r>
        <w:rPr>
          <w:bCs/>
          <w:b/>
        </w:rPr>
        <w:t xml:space="preserve">3. Reflection Pattern</w:t>
      </w:r>
      <w:r>
        <w:t xml:space="preserve"> </w:t>
      </w:r>
      <w:r>
        <w:t xml:space="preserve">(</w:t>
      </w:r>
      <w:r>
        <w:rPr>
          <w:rStyle w:val="VerbatimChar"/>
        </w:rPr>
        <w:t xml:space="preserve">POST /workflow/reflection</w:t>
      </w:r>
      <w:r>
        <w:t xml:space="preserve">)</w:t>
      </w:r>
      <w:r>
        <w:t xml:space="preserve"> </w:t>
      </w:r>
      <w:r>
        <w:t xml:space="preserve">Implements an iterative implementation-evaluation loop. An implementation agent produces output, an evaluation agent scores it (0.0–1.0) and provides feedback. If the score falls below a configurable threshold (default 0.85), the feedback is injected back into the implementation agent for another iteration (max 3 by default). Used for Category C (Customer-facing) agents where output quality is critical.</w:t>
      </w:r>
    </w:p>
    <w:p>
      <w:pPr>
        <w:pStyle w:val="BodyText"/>
      </w:pPr>
      <w:r>
        <w:rPr>
          <w:bCs/>
          <w:b/>
        </w:rPr>
        <w:t xml:space="preserve">4. Pipeline Pattern</w:t>
      </w:r>
      <w:r>
        <w:t xml:space="preserve"> </w:t>
      </w:r>
      <w:r>
        <w:t xml:space="preserve">(</w:t>
      </w:r>
      <w:r>
        <w:rPr>
          <w:rStyle w:val="VerbatimChar"/>
        </w:rPr>
        <w:t xml:space="preserve">POST /workflow/pipeline</w:t>
      </w:r>
      <w:r>
        <w:t xml:space="preserve">) —</w:t>
      </w:r>
      <w:r>
        <w:t xml:space="preserve"> </w:t>
      </w:r>
      <w:r>
        <w:rPr>
          <w:iCs/>
          <w:i/>
        </w:rPr>
        <w:t xml:space="preserve">Recommended for production</w:t>
      </w:r>
      <w:r>
        <w:t xml:space="preserve"> </w:t>
      </w:r>
      <w:r>
        <w:t xml:space="preserve">Combines parallel and sequential execution through staged workflows. Each stage contains a list of tasks that execute in parallel (fan-out within stage), while stages execute sequentially (results from stage N flow as context into stage N+1). This avoids the sequential bottleneck while maintaining dependency ordering between logical phases.</w:t>
      </w:r>
    </w:p>
    <w:tbl>
      <w:tblPr>
        <w:tblStyle w:val="Table"/>
        <w:tblW w:type="pct" w:w="5000"/>
        <w:tblLook w:firstRow="1" w:lastRow="0" w:firstColumn="0" w:lastColumn="0" w:noHBand="0" w:noVBand="0" w:val="0020"/>
        <w:jc w:val="start"/>
      </w:tblPr>
      <w:tblGrid>
        <w:gridCol w:w="1131"/>
        <w:gridCol w:w="2489"/>
        <w:gridCol w:w="1697"/>
        <w:gridCol w:w="2602"/>
      </w:tblGrid>
      <w:tr>
        <w:trPr>
          <w:tblHeader w:val="true"/>
        </w:trPr>
        <w:tc>
          <w:tcPr/>
          <w:p>
            <w:pPr>
              <w:pStyle w:val="Compact"/>
              <w:jc w:val="left"/>
            </w:pPr>
            <w:r>
              <w:t xml:space="preserve">Pattern</w:t>
            </w:r>
          </w:p>
        </w:tc>
        <w:tc>
          <w:tcPr/>
          <w:p>
            <w:pPr>
              <w:pStyle w:val="Compact"/>
              <w:jc w:val="left"/>
            </w:pPr>
            <w:r>
              <w:t xml:space="preserve">Parallelism</w:t>
            </w:r>
          </w:p>
        </w:tc>
        <w:tc>
          <w:tcPr/>
          <w:p>
            <w:pPr>
              <w:pStyle w:val="Compact"/>
              <w:jc w:val="left"/>
            </w:pPr>
            <w:r>
              <w:t xml:space="preserve">Context Passing</w:t>
            </w:r>
          </w:p>
        </w:tc>
        <w:tc>
          <w:tcPr/>
          <w:p>
            <w:pPr>
              <w:pStyle w:val="Compact"/>
              <w:jc w:val="left"/>
            </w:pPr>
            <w:r>
              <w:t xml:space="preserve">Best For</w:t>
            </w:r>
          </w:p>
        </w:tc>
      </w:tr>
      <w:tr>
        <w:tc>
          <w:tcPr/>
          <w:p>
            <w:pPr>
              <w:pStyle w:val="Compact"/>
              <w:jc w:val="left"/>
            </w:pPr>
            <w:r>
              <w:t xml:space="preserve">Fan-Out</w:t>
            </w:r>
          </w:p>
        </w:tc>
        <w:tc>
          <w:tcPr/>
          <w:p>
            <w:pPr>
              <w:pStyle w:val="Compact"/>
              <w:jc w:val="left"/>
            </w:pPr>
            <w:r>
              <w:t xml:space="preserve">Full parallel</w:t>
            </w:r>
          </w:p>
        </w:tc>
        <w:tc>
          <w:tcPr/>
          <w:p>
            <w:pPr>
              <w:pStyle w:val="Compact"/>
              <w:jc w:val="left"/>
            </w:pPr>
            <w:r>
              <w:t xml:space="preserve">None</w:t>
            </w:r>
          </w:p>
        </w:tc>
        <w:tc>
          <w:tcPr/>
          <w:p>
            <w:pPr>
              <w:pStyle w:val="Compact"/>
              <w:jc w:val="left"/>
            </w:pPr>
            <w:r>
              <w:t xml:space="preserve">Independent tasks</w:t>
            </w:r>
          </w:p>
        </w:tc>
      </w:tr>
      <w:tr>
        <w:tc>
          <w:tcPr/>
          <w:p>
            <w:pPr>
              <w:pStyle w:val="Compact"/>
              <w:jc w:val="left"/>
            </w:pPr>
            <w:r>
              <w:t xml:space="preserve">Sequential</w:t>
            </w:r>
          </w:p>
        </w:tc>
        <w:tc>
          <w:tcPr/>
          <w:p>
            <w:pPr>
              <w:pStyle w:val="Compact"/>
              <w:jc w:val="left"/>
            </w:pPr>
            <w:r>
              <w:t xml:space="preserve">None</w:t>
            </w:r>
          </w:p>
        </w:tc>
        <w:tc>
          <w:tcPr/>
          <w:p>
            <w:pPr>
              <w:pStyle w:val="Compact"/>
              <w:jc w:val="left"/>
            </w:pPr>
            <w:r>
              <w:t xml:space="preserve">Previous → Next</w:t>
            </w:r>
          </w:p>
        </w:tc>
        <w:tc>
          <w:tcPr/>
          <w:p>
            <w:pPr>
              <w:pStyle w:val="Compact"/>
              <w:jc w:val="left"/>
            </w:pPr>
            <w:r>
              <w:t xml:space="preserve">Dependent chains</w:t>
            </w:r>
          </w:p>
        </w:tc>
      </w:tr>
      <w:tr>
        <w:tc>
          <w:tcPr/>
          <w:p>
            <w:pPr>
              <w:pStyle w:val="Compact"/>
              <w:jc w:val="left"/>
            </w:pPr>
            <w:r>
              <w:t xml:space="preserve">Reflection</w:t>
            </w:r>
          </w:p>
        </w:tc>
        <w:tc>
          <w:tcPr/>
          <w:p>
            <w:pPr>
              <w:pStyle w:val="Compact"/>
              <w:jc w:val="left"/>
            </w:pPr>
            <w:r>
              <w:t xml:space="preserve">None</w:t>
            </w:r>
          </w:p>
        </w:tc>
        <w:tc>
          <w:tcPr/>
          <w:p>
            <w:pPr>
              <w:pStyle w:val="Compact"/>
              <w:jc w:val="left"/>
            </w:pPr>
            <w:r>
              <w:t xml:space="preserve">Feedback loop</w:t>
            </w:r>
          </w:p>
        </w:tc>
        <w:tc>
          <w:tcPr/>
          <w:p>
            <w:pPr>
              <w:pStyle w:val="Compact"/>
              <w:jc w:val="left"/>
            </w:pPr>
            <w:r>
              <w:t xml:space="preserve">Quality-critical output</w:t>
            </w:r>
          </w:p>
        </w:tc>
      </w:tr>
      <w:tr>
        <w:tc>
          <w:tcPr/>
          <w:p>
            <w:pPr>
              <w:pStyle w:val="Compact"/>
              <w:jc w:val="left"/>
            </w:pPr>
            <w:r>
              <w:t xml:space="preserve">Pipeline</w:t>
            </w:r>
          </w:p>
        </w:tc>
        <w:tc>
          <w:tcPr/>
          <w:p>
            <w:pPr>
              <w:pStyle w:val="Compact"/>
              <w:jc w:val="left"/>
            </w:pPr>
            <w:r>
              <w:t xml:space="preserve">Parallel within stages</w:t>
            </w:r>
          </w:p>
        </w:tc>
        <w:tc>
          <w:tcPr/>
          <w:p>
            <w:pPr>
              <w:pStyle w:val="Compact"/>
              <w:jc w:val="left"/>
            </w:pPr>
            <w:r>
              <w:t xml:space="preserve">Stage → Stage</w:t>
            </w:r>
          </w:p>
        </w:tc>
        <w:tc>
          <w:tcPr/>
          <w:p>
            <w:pPr>
              <w:pStyle w:val="Compact"/>
              <w:jc w:val="left"/>
            </w:pPr>
            <w:r>
              <w:t xml:space="preserve">Production workloads</w:t>
            </w:r>
          </w:p>
        </w:tc>
      </w:tr>
    </w:tbl>
    <w:bookmarkEnd w:id="42"/>
    <w:bookmarkStart w:id="43" w:name="skills-and-clis-as-agent-interfaces"/>
    <w:p>
      <w:pPr>
        <w:pStyle w:val="Heading3"/>
      </w:pPr>
      <w:r>
        <w:t xml:space="preserve">2.5.4 Skills and CLIs as Agent Interfaces</w:t>
      </w:r>
    </w:p>
    <w:p>
      <w:pPr>
        <w:pStyle w:val="FirstParagraph"/>
      </w:pPr>
      <w:r>
        <w:t xml:space="preserve">The</w:t>
      </w:r>
      <w:r>
        <w:t xml:space="preserve"> </w:t>
      </w:r>
      <w:r>
        <w:t xml:space="preserve">“</w:t>
      </w:r>
      <w:r>
        <w:t xml:space="preserve">Build for Agents</w:t>
      </w:r>
      <w:r>
        <w:t xml:space="preserve">”</w:t>
      </w:r>
      <w:r>
        <w:t xml:space="preserve"> </w:t>
      </w:r>
      <w:r>
        <w:t xml:space="preserve">principle establishes that every DWS product must be accessible through three complementary interfaces beyond the GUI: a CLI, an MCP server, and Claude Code Skills.</w:t>
      </w:r>
    </w:p>
    <w:p>
      <w:pPr>
        <w:pStyle w:val="BodyText"/>
      </w:pPr>
      <w:r>
        <w:rPr>
          <w:bCs/>
          <w:b/>
        </w:rPr>
        <w:t xml:space="preserve">CLI (Command-Line Interface)</w:t>
      </w:r>
      <w:r>
        <w:t xml:space="preserve"> </w:t>
      </w:r>
      <w:r>
        <w:t xml:space="preserve">The CLI (</w:t>
      </w:r>
      <w:r>
        <w:rPr>
          <w:rStyle w:val="VerbatimChar"/>
        </w:rPr>
        <w:t xml:space="preserve">npx tsx cli/src/cli.ts &lt;command&gt;</w:t>
      </w:r>
      <w:r>
        <w:t xml:space="preserve">) provides structured JSON output for every agent operation. This follows the industry trend where AI agents consume tools through command-line interfaces rather than graphical interfaces. Key commands:</w:t>
      </w:r>
    </w:p>
    <w:p>
      <w:pPr>
        <w:numPr>
          <w:ilvl w:val="0"/>
          <w:numId w:val="1019"/>
        </w:numPr>
        <w:pStyle w:val="Compact"/>
      </w:pPr>
      <w:r>
        <w:rPr>
          <w:rStyle w:val="VerbatimChar"/>
        </w:rPr>
        <w:t xml:space="preserve">dws agents</w:t>
      </w:r>
      <w:r>
        <w:t xml:space="preserve"> </w:t>
      </w:r>
      <w:r>
        <w:t xml:space="preserve">— List all registered agents</w:t>
      </w:r>
    </w:p>
    <w:p>
      <w:pPr>
        <w:numPr>
          <w:ilvl w:val="0"/>
          <w:numId w:val="1019"/>
        </w:numPr>
        <w:pStyle w:val="Compact"/>
      </w:pPr>
      <w:r>
        <w:rPr>
          <w:rStyle w:val="VerbatimChar"/>
        </w:rPr>
        <w:t xml:space="preserve">dws run &lt;agent&gt; --input '{...}'</w:t>
      </w:r>
      <w:r>
        <w:t xml:space="preserve"> </w:t>
      </w:r>
      <w:r>
        <w:t xml:space="preserve">— Execute a named agent with structured input</w:t>
      </w:r>
    </w:p>
    <w:p>
      <w:pPr>
        <w:numPr>
          <w:ilvl w:val="0"/>
          <w:numId w:val="1019"/>
        </w:numPr>
        <w:pStyle w:val="Compact"/>
      </w:pPr>
      <w:r>
        <w:rPr>
          <w:rStyle w:val="VerbatimChar"/>
        </w:rPr>
        <w:t xml:space="preserve">dws workflow &lt;name&gt;</w:t>
      </w:r>
      <w:r>
        <w:t xml:space="preserve"> </w:t>
      </w:r>
      <w:r>
        <w:t xml:space="preserve">— Trigger a multi-agent workflow</w:t>
      </w:r>
    </w:p>
    <w:p>
      <w:pPr>
        <w:pStyle w:val="FirstParagraph"/>
      </w:pPr>
      <w:r>
        <w:t xml:space="preserve">The CLI-first approach ensures that every feature is automatable, testable, and composable. A product that exists only as GUI is considered incomplete.</w:t>
      </w:r>
    </w:p>
    <w:p>
      <w:pPr>
        <w:pStyle w:val="BodyText"/>
      </w:pPr>
      <w:r>
        <w:rPr>
          <w:bCs/>
          <w:b/>
        </w:rPr>
        <w:t xml:space="preserve">MCP Server</w:t>
      </w:r>
      <w:r>
        <w:t xml:space="preserve"> </w:t>
      </w:r>
      <w:r>
        <w:t xml:space="preserve">The MCP endpoint (</w:t>
      </w:r>
      <w:r>
        <w:rPr>
          <w:rStyle w:val="VerbatimChar"/>
        </w:rPr>
        <w:t xml:space="preserve">/mcp</w:t>
      </w:r>
      <w:r>
        <w:t xml:space="preserve">, JSON-RPC 2.0) makes all agents auto-discoverable via</w:t>
      </w:r>
      <w:r>
        <w:t xml:space="preserve"> </w:t>
      </w:r>
      <w:r>
        <w:rPr>
          <w:rStyle w:val="VerbatimChar"/>
        </w:rPr>
        <w:t xml:space="preserve">tools/list</w:t>
      </w:r>
      <w:r>
        <w:t xml:space="preserve">. External AI systems (Claude Code, Cursor, VS Code Copilot) can connect to the MCP server and invoke any agent as a tool. This implements the Model Context Protocol specification for standardized tool integration.</w:t>
      </w:r>
    </w:p>
    <w:p>
      <w:pPr>
        <w:pStyle w:val="BodyText"/>
      </w:pPr>
      <w:r>
        <w:rPr>
          <w:bCs/>
          <w:b/>
        </w:rPr>
        <w:t xml:space="preserve">Claude Code Skills</w:t>
      </w:r>
      <w:r>
        <w:t xml:space="preserve"> </w:t>
      </w:r>
      <w:r>
        <w:t xml:space="preserve">Skills (</w:t>
      </w:r>
      <w:r>
        <w:rPr>
          <w:rStyle w:val="VerbatimChar"/>
        </w:rPr>
        <w:t xml:space="preserve">.claude/commands/*.md</w:t>
      </w:r>
      <w:r>
        <w:t xml:space="preserve">) are reusable workflow components that encapsulate agent invocations as slash commands. Six production skills are deployed: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Skill</w:t>
            </w:r>
          </w:p>
        </w:tc>
        <w:tc>
          <w:tcPr/>
          <w:p>
            <w:pPr>
              <w:pStyle w:val="Compact"/>
              <w:jc w:val="left"/>
            </w:pPr>
            <w:r>
              <w:t xml:space="preserve">Purpose</w:t>
            </w:r>
          </w:p>
        </w:tc>
      </w:tr>
      <w:tr>
        <w:tc>
          <w:tcPr/>
          <w:p>
            <w:pPr>
              <w:pStyle w:val="Compact"/>
              <w:jc w:val="left"/>
            </w:pPr>
            <w:r>
              <w:rPr>
                <w:rStyle w:val="VerbatimChar"/>
              </w:rPr>
              <w:t xml:space="preserve">/compliance-check</w:t>
            </w:r>
          </w:p>
        </w:tc>
        <w:tc>
          <w:tcPr/>
          <w:p>
            <w:pPr>
              <w:pStyle w:val="Compact"/>
              <w:jc w:val="left"/>
            </w:pPr>
            <w:r>
              <w:t xml:space="preserve">EU regulatory gap analysis (ETS, CBAM, CSRD)</w:t>
            </w:r>
          </w:p>
        </w:tc>
      </w:tr>
      <w:tr>
        <w:tc>
          <w:tcPr/>
          <w:p>
            <w:pPr>
              <w:pStyle w:val="Compact"/>
              <w:jc w:val="left"/>
            </w:pPr>
            <w:r>
              <w:rPr>
                <w:rStyle w:val="VerbatimChar"/>
              </w:rPr>
              <w:t xml:space="preserve">/agent-run</w:t>
            </w:r>
          </w:p>
        </w:tc>
        <w:tc>
          <w:tcPr/>
          <w:p>
            <w:pPr>
              <w:pStyle w:val="Compact"/>
              <w:jc w:val="left"/>
            </w:pPr>
            <w:r>
              <w:t xml:space="preserve">Execute any named agent with structured input</w:t>
            </w:r>
          </w:p>
        </w:tc>
      </w:tr>
      <w:tr>
        <w:tc>
          <w:tcPr/>
          <w:p>
            <w:pPr>
              <w:pStyle w:val="Compact"/>
              <w:jc w:val="left"/>
            </w:pPr>
            <w:r>
              <w:rPr>
                <w:rStyle w:val="VerbatimChar"/>
              </w:rPr>
              <w:t xml:space="preserve">/workflow</w:t>
            </w:r>
          </w:p>
        </w:tc>
        <w:tc>
          <w:tcPr/>
          <w:p>
            <w:pPr>
              <w:pStyle w:val="Compact"/>
              <w:jc w:val="left"/>
            </w:pPr>
            <w:r>
              <w:t xml:space="preserve">Trigger multi-agent workflows</w:t>
            </w:r>
          </w:p>
        </w:tc>
      </w:tr>
      <w:tr>
        <w:tc>
          <w:tcPr/>
          <w:p>
            <w:pPr>
              <w:pStyle w:val="Compact"/>
              <w:jc w:val="left"/>
            </w:pPr>
            <w:r>
              <w:rPr>
                <w:rStyle w:val="VerbatimChar"/>
              </w:rPr>
              <w:t xml:space="preserve">/discover-agents</w:t>
            </w:r>
          </w:p>
        </w:tc>
        <w:tc>
          <w:tcPr/>
          <w:p>
            <w:pPr>
              <w:pStyle w:val="Compact"/>
              <w:jc w:val="left"/>
            </w:pPr>
            <w:r>
              <w:t xml:space="preserve">Find agents by capability keyword</w:t>
            </w:r>
          </w:p>
        </w:tc>
      </w:tr>
      <w:tr>
        <w:tc>
          <w:tcPr/>
          <w:p>
            <w:pPr>
              <w:pStyle w:val="Compact"/>
              <w:jc w:val="left"/>
            </w:pPr>
            <w:r>
              <w:rPr>
                <w:rStyle w:val="VerbatimChar"/>
              </w:rPr>
              <w:t xml:space="preserve">/site-safety</w:t>
            </w:r>
          </w:p>
        </w:tc>
        <w:tc>
          <w:tcPr/>
          <w:p>
            <w:pPr>
              <w:pStyle w:val="Compact"/>
              <w:jc w:val="left"/>
            </w:pPr>
            <w:r>
              <w:t xml:space="preserve">Construction site safety assessment</w:t>
            </w:r>
          </w:p>
        </w:tc>
      </w:tr>
      <w:tr>
        <w:tc>
          <w:tcPr/>
          <w:p>
            <w:pPr>
              <w:pStyle w:val="Compact"/>
              <w:jc w:val="left"/>
            </w:pPr>
            <w:r>
              <w:rPr>
                <w:rStyle w:val="VerbatimChar"/>
              </w:rPr>
              <w:t xml:space="preserve">/carbon-analysis</w:t>
            </w:r>
          </w:p>
        </w:tc>
        <w:tc>
          <w:tcPr/>
          <w:p>
            <w:pPr>
              <w:pStyle w:val="Compact"/>
              <w:jc w:val="left"/>
            </w:pPr>
            <w:r>
              <w:t xml:space="preserve">Embodied carbon footprint calculation</w:t>
            </w:r>
          </w:p>
        </w:tc>
      </w:tr>
    </w:tbl>
    <w:p>
      <w:pPr>
        <w:pStyle w:val="BodyText"/>
      </w:pPr>
      <w:r>
        <w:t xml:space="preserve">Each skill is a callable, testable component that combines prompt engineering with tool orchestration. The skill pattern ensures that agent capabilities are accessible without requiring users to understand the underlying MCP protocol or CLI syntax.</w:t>
      </w:r>
    </w:p>
    <w:p>
      <w:pPr>
        <w:pStyle w:val="BodyText"/>
      </w:pPr>
      <w:r>
        <w:rPr>
          <w:bCs/>
          <w:b/>
        </w:rPr>
        <w:t xml:space="preserve">Three-Interface Rule:</w:t>
      </w:r>
      <w:r>
        <w:t xml:space="preserve"> </w:t>
      </w:r>
      <w:r>
        <w:t xml:space="preserve">Every new agent must ship with all three interfaces (CLI command, MCP tool, Claude Code Skill). This guarantees that agents are usable by humans (CLI), other AI systems (MCP), and within development workflows (Skills).</w:t>
      </w:r>
    </w:p>
    <w:bookmarkEnd w:id="43"/>
    <w:bookmarkEnd w:id="44"/>
    <w:bookmarkStart w:id="45" w:name="X1ceae78b04d973514b920a9238ba17cf3664007"/>
    <w:p>
      <w:pPr>
        <w:pStyle w:val="Heading2"/>
      </w:pPr>
      <w:r>
        <w:t xml:space="preserve">2.6 Conceptual Model: Firehorse Solution Factory</w:t>
      </w:r>
    </w:p>
    <w:p>
      <w:pPr>
        <w:pStyle w:val="FirstParagraph"/>
      </w:pPr>
      <w:r>
        <w:t xml:space="preserve">The Firehorse Solution Factory model synthesizes the aforementioned theoretical frameworks into a unified conceptual model for building climate-intelligent industrial platforms:</w:t>
      </w:r>
    </w:p>
    <w:p>
      <w:pPr>
        <w:pStyle w:val="SourceCode"/>
      </w:pPr>
      <w:r>
        <w:rPr>
          <w:rStyle w:val="VerbatimChar"/>
        </w:rPr>
        <w:t xml:space="preserve">+-------------------------------------------------------------------+</w:t>
      </w:r>
      <w:r>
        <w:br/>
      </w:r>
      <w:r>
        <w:rPr>
          <w:rStyle w:val="VerbatimChar"/>
        </w:rPr>
        <w:t xml:space="preserve">|                    FIREHORSE SOLUTION FACTORY                       |</w:t>
      </w:r>
      <w:r>
        <w:br/>
      </w:r>
      <w:r>
        <w:rPr>
          <w:rStyle w:val="VerbatimChar"/>
        </w:rPr>
        <w:t xml:space="preserve">|           Conceptual Model for Industrial AI Platforms              |</w:t>
      </w:r>
      <w:r>
        <w:br/>
      </w:r>
      <w:r>
        <w:rPr>
          <w:rStyle w:val="VerbatimChar"/>
        </w:rPr>
        <w:t xml:space="preserve">+-------------------------------------------------------------------+</w:t>
      </w:r>
      <w:r>
        <w:br/>
      </w:r>
      <w:r>
        <w:rPr>
          <w:rStyle w:val="VerbatimChar"/>
        </w:rPr>
        <w:t xml:space="preserve">|                                                                     |</w:t>
      </w:r>
      <w:r>
        <w:br/>
      </w:r>
      <w:r>
        <w:rPr>
          <w:rStyle w:val="VerbatimChar"/>
        </w:rPr>
        <w:t xml:space="preserve">|  STRATEGIC LAYER (Business Model)                                   |</w:t>
      </w:r>
      <w:r>
        <w:br/>
      </w:r>
      <w:r>
        <w:rPr>
          <w:rStyle w:val="VerbatimChar"/>
        </w:rPr>
        <w:t xml:space="preserve">|  +- Lifetime World Model (55B) -&gt; Cross-vertical intelligence      |</w:t>
      </w:r>
      <w:r>
        <w:br/>
      </w:r>
      <w:r>
        <w:rPr>
          <w:rStyle w:val="VerbatimChar"/>
        </w:rPr>
        <w:t xml:space="preserve">|  +- 8 vertical templates -&gt; Reusable agent configurations          |</w:t>
      </w:r>
      <w:r>
        <w:br/>
      </w:r>
      <w:r>
        <w:rPr>
          <w:rStyle w:val="VerbatimChar"/>
        </w:rPr>
        <w:t xml:space="preserve">|  +- AI-assisted development (Cursor Pro + Claude Code Max, 15-week MVP) |</w:t>
      </w:r>
      <w:r>
        <w:br/>
      </w:r>
      <w:r>
        <w:rPr>
          <w:rStyle w:val="VerbatimChar"/>
        </w:rPr>
        <w:t xml:space="preserve">|  +- EU compliance moat -&gt; Fit for 55, NIS2, GDPR                  |</w:t>
      </w:r>
      <w:r>
        <w:br/>
      </w:r>
      <w:r>
        <w:rPr>
          <w:rStyle w:val="VerbatimChar"/>
        </w:rPr>
        <w:t xml:space="preserve">|                                                                     |</w:t>
      </w:r>
      <w:r>
        <w:br/>
      </w:r>
      <w:r>
        <w:rPr>
          <w:rStyle w:val="VerbatimChar"/>
        </w:rPr>
        <w:t xml:space="preserve">|  OPERATIONAL LAYER (AgentFoundry + Lifetime Scope Signals)          |</w:t>
      </w:r>
      <w:r>
        <w:br/>
      </w:r>
      <w:r>
        <w:rPr>
          <w:rStyle w:val="VerbatimChar"/>
        </w:rPr>
        <w:t xml:space="preserve">|  +- Agent configurations -&gt; YAML templates per vertical            |</w:t>
      </w:r>
      <w:r>
        <w:br/>
      </w:r>
      <w:r>
        <w:rPr>
          <w:rStyle w:val="VerbatimChar"/>
        </w:rPr>
        <w:t xml:space="preserve">|  +- Lifetime Scope Signals -&gt; Coordination protocol                |</w:t>
      </w:r>
      <w:r>
        <w:br/>
      </w:r>
      <w:r>
        <w:rPr>
          <w:rStyle w:val="VerbatimChar"/>
        </w:rPr>
        <w:t xml:space="preserve">|  +- MCP Hub -&gt; Multi-agent orchestration                           |</w:t>
      </w:r>
      <w:r>
        <w:br/>
      </w:r>
      <w:r>
        <w:rPr>
          <w:rStyle w:val="VerbatimChar"/>
        </w:rPr>
        <w:t xml:space="preserve">|  +- Phased deployment -&gt; Silent -&gt; Advisor -&gt; Autonomous           |</w:t>
      </w:r>
      <w:r>
        <w:br/>
      </w:r>
      <w:r>
        <w:rPr>
          <w:rStyle w:val="VerbatimChar"/>
        </w:rPr>
        <w:t xml:space="preserve">|                                                                     |</w:t>
      </w:r>
      <w:r>
        <w:br/>
      </w:r>
      <w:r>
        <w:rPr>
          <w:rStyle w:val="VerbatimChar"/>
        </w:rPr>
        <w:t xml:space="preserve">|  EXECUTION LAYER (Brain-Memory-Body-Hands)                          |</w:t>
      </w:r>
      <w:r>
        <w:br/>
      </w:r>
      <w:r>
        <w:rPr>
          <w:rStyle w:val="VerbatimChar"/>
        </w:rPr>
        <w:t xml:space="preserve">|  +- Brain: DWS IQ 6 Platform (Groq + Claude + Gemini)              |</w:t>
      </w:r>
      <w:r>
        <w:br/>
      </w:r>
      <w:r>
        <w:rPr>
          <w:rStyle w:val="VerbatimChar"/>
        </w:rPr>
        <w:t xml:space="preserve">|  +- Memory: Lifetime World Model (climate knowledge base)          |</w:t>
      </w:r>
      <w:r>
        <w:br/>
      </w:r>
      <w:r>
        <w:rPr>
          <w:rStyle w:val="VerbatimChar"/>
        </w:rPr>
        <w:t xml:space="preserve">|  +- Body: 8 industry applications (vertical-specific agents)       |</w:t>
      </w:r>
      <w:r>
        <w:br/>
      </w:r>
      <w:r>
        <w:rPr>
          <w:rStyle w:val="VerbatimChar"/>
        </w:rPr>
        <w:t xml:space="preserve">|  +- Hands: Edge AI (Jetson), Drones, Robots, IoT sensors           |</w:t>
      </w:r>
      <w:r>
        <w:br/>
      </w:r>
      <w:r>
        <w:rPr>
          <w:rStyle w:val="VerbatimChar"/>
        </w:rPr>
        <w:t xml:space="preserve">|                                                                     |</w:t>
      </w:r>
      <w:r>
        <w:br/>
      </w:r>
      <w:r>
        <w:rPr>
          <w:rStyle w:val="VerbatimChar"/>
        </w:rPr>
        <w:t xml:space="preserve">+-------------------------------------------------------------------+</w:t>
      </w:r>
    </w:p>
    <w:p>
      <w:pPr>
        <w:pStyle w:val="FirstParagraph"/>
      </w:pPr>
      <w:r>
        <w:t xml:space="preserve">This conceptual model provides a replicable framework for other industrial AI startups seeking to achieve product-market fit while keeping operational costs low through the strategic use of AI-assisted development tools, edge computing, and multi-agent coordination.</w:t>
      </w:r>
    </w:p>
    <w:p>
      <w:r>
        <w:pict>
          <v:rect style="width:0;height:1.5pt" o:hralign="center" o:hrstd="t" o:hr="t"/>
        </w:pict>
      </w:r>
    </w:p>
    <w:bookmarkEnd w:id="45"/>
    <w:bookmarkEnd w:id="46"/>
    <w:bookmarkStart w:id="55" w:name="current-state-analysis"/>
    <w:p>
      <w:pPr>
        <w:pStyle w:val="Heading1"/>
      </w:pPr>
      <w:r>
        <w:t xml:space="preserve">3. Current State Analysis</w:t>
      </w:r>
    </w:p>
    <w:bookmarkStart w:id="51" w:name="european-industrial-ai-landscape"/>
    <w:p>
      <w:pPr>
        <w:pStyle w:val="Heading2"/>
      </w:pPr>
      <w:r>
        <w:t xml:space="preserve">3.1 European Industrial AI Landscape</w:t>
      </w:r>
    </w:p>
    <w:p>
      <w:pPr>
        <w:pStyle w:val="FirstParagraph"/>
      </w:pPr>
      <w:r>
        <w:t xml:space="preserve">European industry faces unprecedented regulatory pressure through the EU’s Fit for 55 package. This creates forced demand for climate compliance solutions across 20 industries.</w:t>
      </w:r>
    </w:p>
    <w:bookmarkStart w:id="47" w:name="the-16-industries-affected-by-fit-for-55"/>
    <w:p>
      <w:pPr>
        <w:pStyle w:val="Heading3"/>
      </w:pPr>
      <w:r>
        <w:t xml:space="preserve">3.1.1 The 16 Industries Affected by Fit for 55</w:t>
      </w:r>
    </w:p>
    <w:p>
      <w:pPr>
        <w:pStyle w:val="FirstParagraph"/>
      </w:pPr>
      <w:r>
        <w:t xml:space="preserve">The EU’s Fit for 55 package mandates 55% net emissions reduction by 2030. This creates an unprecedented compliance burden on 20 industries — requiring real-time carbon tracking, automated reporting, supply chain transparency, and continuous regulatory compliance.</w:t>
      </w:r>
    </w:p>
    <w:p>
      <w:pPr>
        <w:pStyle w:val="BodyText"/>
      </w:pPr>
      <w:r>
        <w:rPr>
          <w:bCs/>
          <w:b/>
        </w:rPr>
        <w:t xml:space="preserve">Tier 1: Critical Emission Industries (ETS + CBAM Direct Impact)</w:t>
      </w:r>
    </w:p>
    <w:p>
      <w:pPr>
        <w:pStyle w:val="BodyText"/>
      </w:pPr>
      <w:r>
        <w:t xml:space="preserve">These 8 industries face the greatest regulatory pressure: direct ETS coverage, CBAM border carbon levy, and mandatory carbon pricing.</w:t>
      </w:r>
    </w:p>
    <w:tbl>
      <w:tblPr>
        <w:tblStyle w:val="Table"/>
        <w:tblW w:type="pct" w:w="5000"/>
        <w:tblLook w:firstRow="1" w:lastRow="0" w:firstColumn="0" w:lastColumn="0" w:noHBand="0" w:noVBand="0" w:val="0020"/>
        <w:jc w:val="start"/>
      </w:tblPr>
      <w:tblGrid>
        <w:gridCol w:w="225"/>
        <w:gridCol w:w="1485"/>
        <w:gridCol w:w="810"/>
        <w:gridCol w:w="2160"/>
        <w:gridCol w:w="3240"/>
      </w:tblGrid>
      <w:tr>
        <w:trPr>
          <w:tblHeader w:val="true"/>
        </w:trPr>
        <w:tc>
          <w:tcPr/>
          <w:p>
            <w:pPr>
              <w:pStyle w:val="Compact"/>
              <w:jc w:val="left"/>
            </w:pPr>
            <w:r>
              <w:t xml:space="preserve">#</w:t>
            </w:r>
          </w:p>
        </w:tc>
        <w:tc>
          <w:tcPr/>
          <w:p>
            <w:pPr>
              <w:pStyle w:val="Compact"/>
              <w:jc w:val="left"/>
            </w:pPr>
            <w:r>
              <w:t xml:space="preserve">Industry</w:t>
            </w:r>
          </w:p>
        </w:tc>
        <w:tc>
          <w:tcPr/>
          <w:p>
            <w:pPr>
              <w:pStyle w:val="Compact"/>
              <w:jc w:val="left"/>
            </w:pPr>
            <w:r>
              <w:t xml:space="preserve">EU Emissions Share</w:t>
            </w:r>
          </w:p>
        </w:tc>
        <w:tc>
          <w:tcPr/>
          <w:p>
            <w:pPr>
              <w:pStyle w:val="Compact"/>
              <w:jc w:val="left"/>
            </w:pPr>
            <w:r>
              <w:t xml:space="preserve">Key Regulations</w:t>
            </w:r>
          </w:p>
        </w:tc>
        <w:tc>
          <w:tcPr/>
          <w:p>
            <w:pPr>
              <w:pStyle w:val="Compact"/>
              <w:jc w:val="left"/>
            </w:pPr>
            <w:r>
              <w:t xml:space="preserve">DWS IQ 6 Solution</w:t>
            </w:r>
          </w:p>
        </w:tc>
      </w:tr>
      <w:tr>
        <w:tc>
          <w:tcPr/>
          <w:p>
            <w:pPr>
              <w:pStyle w:val="Compact"/>
              <w:jc w:val="left"/>
            </w:pPr>
            <w:r>
              <w:rPr>
                <w:bCs/>
                <w:b/>
              </w:rPr>
              <w:t xml:space="preserve">1</w:t>
            </w:r>
          </w:p>
        </w:tc>
        <w:tc>
          <w:tcPr/>
          <w:p>
            <w:pPr>
              <w:pStyle w:val="Compact"/>
              <w:jc w:val="left"/>
            </w:pPr>
            <w:r>
              <w:rPr>
                <w:bCs/>
                <w:b/>
              </w:rPr>
              <w:t xml:space="preserve">Electricity &amp; Heat Generation</w:t>
            </w:r>
          </w:p>
        </w:tc>
        <w:tc>
          <w:tcPr/>
          <w:p>
            <w:pPr>
              <w:pStyle w:val="Compact"/>
              <w:jc w:val="left"/>
            </w:pPr>
            <w:r>
              <w:t xml:space="preserve">25-30%</w:t>
            </w:r>
          </w:p>
        </w:tc>
        <w:tc>
          <w:tcPr/>
          <w:p>
            <w:pPr>
              <w:pStyle w:val="Compact"/>
              <w:jc w:val="left"/>
            </w:pPr>
            <w:r>
              <w:t xml:space="preserve">ETS (cap tightening), Renewable Energy Directive</w:t>
            </w:r>
          </w:p>
        </w:tc>
        <w:tc>
          <w:tcPr/>
          <w:p>
            <w:pPr>
              <w:pStyle w:val="Compact"/>
              <w:jc w:val="left"/>
            </w:pPr>
            <w:r>
              <w:t xml:space="preserve">Real-time emissions monitoring, renewables certification tracking</w:t>
            </w:r>
          </w:p>
        </w:tc>
      </w:tr>
      <w:tr>
        <w:tc>
          <w:tcPr/>
          <w:p>
            <w:pPr>
              <w:pStyle w:val="Compact"/>
              <w:jc w:val="left"/>
            </w:pPr>
            <w:r>
              <w:rPr>
                <w:bCs/>
                <w:b/>
              </w:rPr>
              <w:t xml:space="preserve">2</w:t>
            </w:r>
          </w:p>
        </w:tc>
        <w:tc>
          <w:tcPr/>
          <w:p>
            <w:pPr>
              <w:pStyle w:val="Compact"/>
              <w:jc w:val="left"/>
            </w:pPr>
            <w:r>
              <w:rPr>
                <w:bCs/>
                <w:b/>
              </w:rPr>
              <w:t xml:space="preserve">Iron &amp; Steel</w:t>
            </w:r>
          </w:p>
        </w:tc>
        <w:tc>
          <w:tcPr/>
          <w:p>
            <w:pPr>
              <w:pStyle w:val="Compact"/>
              <w:jc w:val="left"/>
            </w:pPr>
            <w:r>
              <w:t xml:space="preserve">High</w:t>
            </w:r>
          </w:p>
        </w:tc>
        <w:tc>
          <w:tcPr/>
          <w:p>
            <w:pPr>
              <w:pStyle w:val="Compact"/>
              <w:jc w:val="left"/>
            </w:pPr>
            <w:r>
              <w:t xml:space="preserve">ETS, CBAM (2026), ESR</w:t>
            </w:r>
          </w:p>
        </w:tc>
        <w:tc>
          <w:tcPr/>
          <w:p>
            <w:pPr>
              <w:pStyle w:val="Compact"/>
              <w:jc w:val="left"/>
            </w:pPr>
            <w:r>
              <w:t xml:space="preserve">Supply chain carbon tracking, CBAM import reporting</w:t>
            </w:r>
          </w:p>
        </w:tc>
      </w:tr>
      <w:tr>
        <w:tc>
          <w:tcPr/>
          <w:p>
            <w:pPr>
              <w:pStyle w:val="Compact"/>
              <w:jc w:val="left"/>
            </w:pPr>
            <w:r>
              <w:rPr>
                <w:bCs/>
                <w:b/>
              </w:rPr>
              <w:t xml:space="preserve">3</w:t>
            </w:r>
          </w:p>
        </w:tc>
        <w:tc>
          <w:tcPr/>
          <w:p>
            <w:pPr>
              <w:pStyle w:val="Compact"/>
              <w:jc w:val="left"/>
            </w:pPr>
            <w:r>
              <w:rPr>
                <w:bCs/>
                <w:b/>
              </w:rPr>
              <w:t xml:space="preserve">Cement &amp; Lime</w:t>
            </w:r>
          </w:p>
        </w:tc>
        <w:tc>
          <w:tcPr/>
          <w:p>
            <w:pPr>
              <w:pStyle w:val="Compact"/>
              <w:jc w:val="left"/>
            </w:pPr>
            <w:r>
              <w:t xml:space="preserve">Very high</w:t>
            </w:r>
          </w:p>
        </w:tc>
        <w:tc>
          <w:tcPr/>
          <w:p>
            <w:pPr>
              <w:pStyle w:val="Compact"/>
              <w:jc w:val="left"/>
            </w:pPr>
            <w:r>
              <w:t xml:space="preserve">ETS, CBAM, EPBD (embodied carbon)</w:t>
            </w:r>
          </w:p>
        </w:tc>
        <w:tc>
          <w:tcPr/>
          <w:p>
            <w:pPr>
              <w:pStyle w:val="Compact"/>
              <w:jc w:val="left"/>
            </w:pPr>
            <w:r>
              <w:t xml:space="preserve">EN 15978 calculations, material carbon passports</w:t>
            </w:r>
          </w:p>
        </w:tc>
      </w:tr>
      <w:tr>
        <w:tc>
          <w:tcPr/>
          <w:p>
            <w:pPr>
              <w:pStyle w:val="Compact"/>
              <w:jc w:val="left"/>
            </w:pPr>
            <w:r>
              <w:rPr>
                <w:bCs/>
                <w:b/>
              </w:rPr>
              <w:t xml:space="preserve">4</w:t>
            </w:r>
          </w:p>
        </w:tc>
        <w:tc>
          <w:tcPr/>
          <w:p>
            <w:pPr>
              <w:pStyle w:val="Compact"/>
              <w:jc w:val="left"/>
            </w:pPr>
            <w:r>
              <w:rPr>
                <w:bCs/>
                <w:b/>
              </w:rPr>
              <w:t xml:space="preserve">Chemicals &amp; Petrochemicals</w:t>
            </w:r>
          </w:p>
        </w:tc>
        <w:tc>
          <w:tcPr/>
          <w:p>
            <w:pPr>
              <w:pStyle w:val="Compact"/>
              <w:jc w:val="left"/>
            </w:pPr>
            <w:r>
              <w:t xml:space="preserve">High</w:t>
            </w:r>
          </w:p>
        </w:tc>
        <w:tc>
          <w:tcPr/>
          <w:p>
            <w:pPr>
              <w:pStyle w:val="Compact"/>
              <w:jc w:val="left"/>
            </w:pPr>
            <w:r>
              <w:t xml:space="preserve">ETS, CBAM (fertilizers), H2 mandates</w:t>
            </w:r>
          </w:p>
        </w:tc>
        <w:tc>
          <w:tcPr/>
          <w:p>
            <w:pPr>
              <w:pStyle w:val="Compact"/>
              <w:jc w:val="left"/>
            </w:pPr>
            <w:r>
              <w:t xml:space="preserve">Process emissions monitoring, hydrogen transition roadmaps</w:t>
            </w:r>
          </w:p>
        </w:tc>
      </w:tr>
      <w:tr>
        <w:tc>
          <w:tcPr/>
          <w:p>
            <w:pPr>
              <w:pStyle w:val="Compact"/>
              <w:jc w:val="left"/>
            </w:pPr>
            <w:r>
              <w:rPr>
                <w:bCs/>
                <w:b/>
              </w:rPr>
              <w:t xml:space="preserve">5</w:t>
            </w:r>
          </w:p>
        </w:tc>
        <w:tc>
          <w:tcPr/>
          <w:p>
            <w:pPr>
              <w:pStyle w:val="Compact"/>
              <w:jc w:val="left"/>
            </w:pPr>
            <w:r>
              <w:rPr>
                <w:bCs/>
                <w:b/>
              </w:rPr>
              <w:t xml:space="preserve">Aviation</w:t>
            </w:r>
          </w:p>
        </w:tc>
        <w:tc>
          <w:tcPr/>
          <w:p>
            <w:pPr>
              <w:pStyle w:val="Compact"/>
              <w:jc w:val="left"/>
            </w:pPr>
            <w:r>
              <w:t xml:space="preserve">2-3% (growing)</w:t>
            </w:r>
          </w:p>
        </w:tc>
        <w:tc>
          <w:tcPr/>
          <w:p>
            <w:pPr>
              <w:pStyle w:val="Compact"/>
              <w:jc w:val="left"/>
            </w:pPr>
            <w:r>
              <w:t xml:space="preserve">ETS, ReFuelEU (SAF mandates)</w:t>
            </w:r>
          </w:p>
        </w:tc>
        <w:tc>
          <w:tcPr/>
          <w:p>
            <w:pPr>
              <w:pStyle w:val="Compact"/>
              <w:jc w:val="left"/>
            </w:pPr>
            <w:r>
              <w:t xml:space="preserve">SAF compliance, offset verification</w:t>
            </w:r>
          </w:p>
        </w:tc>
      </w:tr>
      <w:tr>
        <w:tc>
          <w:tcPr/>
          <w:p>
            <w:pPr>
              <w:pStyle w:val="Compact"/>
              <w:jc w:val="left"/>
            </w:pPr>
            <w:r>
              <w:rPr>
                <w:bCs/>
                <w:b/>
              </w:rPr>
              <w:t xml:space="preserve">6</w:t>
            </w:r>
          </w:p>
        </w:tc>
        <w:tc>
          <w:tcPr/>
          <w:p>
            <w:pPr>
              <w:pStyle w:val="Compact"/>
              <w:jc w:val="left"/>
            </w:pPr>
            <w:r>
              <w:rPr>
                <w:bCs/>
                <w:b/>
              </w:rPr>
              <w:t xml:space="preserve">Maritime Transport</w:t>
            </w:r>
          </w:p>
        </w:tc>
        <w:tc>
          <w:tcPr/>
          <w:p>
            <w:pPr>
              <w:pStyle w:val="Compact"/>
              <w:jc w:val="left"/>
            </w:pPr>
            <w:r>
              <w:t xml:space="preserve">Significant</w:t>
            </w:r>
          </w:p>
        </w:tc>
        <w:tc>
          <w:tcPr/>
          <w:p>
            <w:pPr>
              <w:pStyle w:val="Compact"/>
              <w:jc w:val="left"/>
            </w:pPr>
            <w:r>
              <w:t xml:space="preserve">ETS (2024), FuelEU Maritime</w:t>
            </w:r>
          </w:p>
        </w:tc>
        <w:tc>
          <w:tcPr/>
          <w:p>
            <w:pPr>
              <w:pStyle w:val="Compact"/>
              <w:jc w:val="left"/>
            </w:pPr>
            <w:r>
              <w:t xml:space="preserve">Voyage-level emissions, intensity data</w:t>
            </w:r>
          </w:p>
        </w:tc>
      </w:tr>
      <w:tr>
        <w:tc>
          <w:tcPr/>
          <w:p>
            <w:pPr>
              <w:pStyle w:val="Compact"/>
              <w:jc w:val="left"/>
            </w:pPr>
            <w:r>
              <w:rPr>
                <w:bCs/>
                <w:b/>
              </w:rPr>
              <w:t xml:space="preserve">7</w:t>
            </w:r>
          </w:p>
        </w:tc>
        <w:tc>
          <w:tcPr/>
          <w:p>
            <w:pPr>
              <w:pStyle w:val="Compact"/>
              <w:jc w:val="left"/>
            </w:pPr>
            <w:r>
              <w:rPr>
                <w:bCs/>
                <w:b/>
              </w:rPr>
              <w:t xml:space="preserve">Road Transport &amp; Logistics</w:t>
            </w:r>
          </w:p>
        </w:tc>
        <w:tc>
          <w:tcPr/>
          <w:p>
            <w:pPr>
              <w:pStyle w:val="Compact"/>
              <w:jc w:val="left"/>
            </w:pPr>
            <w:r>
              <w:t xml:space="preserve">High</w:t>
            </w:r>
          </w:p>
        </w:tc>
        <w:tc>
          <w:tcPr/>
          <w:p>
            <w:pPr>
              <w:pStyle w:val="Compact"/>
              <w:jc w:val="left"/>
            </w:pPr>
            <w:r>
              <w:t xml:space="preserve">ETS2 (2027), CO2 standards</w:t>
            </w:r>
          </w:p>
        </w:tc>
        <w:tc>
          <w:tcPr/>
          <w:p>
            <w:pPr>
              <w:pStyle w:val="Compact"/>
              <w:jc w:val="left"/>
            </w:pPr>
            <w:r>
              <w:t xml:space="preserve">Fleet emissions management, zero-emission transition planning</w:t>
            </w:r>
          </w:p>
        </w:tc>
      </w:tr>
      <w:tr>
        <w:tc>
          <w:tcPr/>
          <w:p>
            <w:pPr>
              <w:pStyle w:val="Compact"/>
              <w:jc w:val="left"/>
            </w:pPr>
            <w:r>
              <w:rPr>
                <w:bCs/>
                <w:b/>
              </w:rPr>
              <w:t xml:space="preserve">8</w:t>
            </w:r>
          </w:p>
        </w:tc>
        <w:tc>
          <w:tcPr/>
          <w:p>
            <w:pPr>
              <w:pStyle w:val="Compact"/>
              <w:jc w:val="left"/>
            </w:pPr>
            <w:r>
              <w:rPr>
                <w:bCs/>
                <w:b/>
              </w:rPr>
              <w:t xml:space="preserve">Construction &amp; Real Estate</w:t>
            </w:r>
          </w:p>
        </w:tc>
        <w:tc>
          <w:tcPr/>
          <w:p>
            <w:pPr>
              <w:pStyle w:val="Compact"/>
              <w:jc w:val="left"/>
            </w:pPr>
            <w:r>
              <w:t xml:space="preserve">36-40% lifecycle</w:t>
            </w:r>
          </w:p>
        </w:tc>
        <w:tc>
          <w:tcPr/>
          <w:p>
            <w:pPr>
              <w:pStyle w:val="Compact"/>
              <w:jc w:val="left"/>
            </w:pPr>
            <w:r>
              <w:t xml:space="preserve">ETS2, EPBD, CSRD</w:t>
            </w:r>
          </w:p>
        </w:tc>
        <w:tc>
          <w:tcPr/>
          <w:p>
            <w:pPr>
              <w:pStyle w:val="Compact"/>
              <w:jc w:val="left"/>
            </w:pPr>
            <w:r>
              <w:rPr>
                <w:bCs/>
                <w:b/>
              </w:rPr>
              <w:t xml:space="preserve">Full lifecycle carbon automation</w:t>
            </w:r>
            <w:r>
              <w:t xml:space="preserve">, BIM integration, EN 15978/EN 15804</w:t>
            </w:r>
          </w:p>
        </w:tc>
      </w:tr>
    </w:tbl>
    <w:p>
      <w:pPr>
        <w:pStyle w:val="BodyText"/>
      </w:pPr>
      <w:r>
        <w:rPr>
          <w:bCs/>
          <w:b/>
        </w:rPr>
        <w:t xml:space="preserve">Tier 2: Important Emission Industries (ESR + Indirect ETS)</w:t>
      </w:r>
    </w:p>
    <w:p>
      <w:pPr>
        <w:pStyle w:val="BodyText"/>
      </w:pPr>
      <w:r>
        <w:t xml:space="preserve">These 8 industries face diffuse regulatory pressure through national ESR targets, energy costs, supply chain rules, and indirect CBAM impacts.</w:t>
      </w:r>
    </w:p>
    <w:tbl>
      <w:tblPr>
        <w:tblStyle w:val="Table"/>
        <w:tblW w:type="pct" w:w="5000"/>
        <w:tblLook w:firstRow="1" w:lastRow="0" w:firstColumn="0" w:lastColumn="0" w:noHBand="0" w:noVBand="0" w:val="0020"/>
        <w:jc w:val="start"/>
      </w:tblPr>
      <w:tblGrid>
        <w:gridCol w:w="289"/>
        <w:gridCol w:w="1545"/>
        <w:gridCol w:w="869"/>
        <w:gridCol w:w="2173"/>
        <w:gridCol w:w="3042"/>
      </w:tblGrid>
      <w:tr>
        <w:trPr>
          <w:tblHeader w:val="true"/>
        </w:trPr>
        <w:tc>
          <w:tcPr/>
          <w:p>
            <w:pPr>
              <w:pStyle w:val="Compact"/>
              <w:jc w:val="left"/>
            </w:pPr>
            <w:r>
              <w:t xml:space="preserve">#</w:t>
            </w:r>
          </w:p>
        </w:tc>
        <w:tc>
          <w:tcPr/>
          <w:p>
            <w:pPr>
              <w:pStyle w:val="Compact"/>
              <w:jc w:val="left"/>
            </w:pPr>
            <w:r>
              <w:t xml:space="preserve">Industry</w:t>
            </w:r>
          </w:p>
        </w:tc>
        <w:tc>
          <w:tcPr/>
          <w:p>
            <w:pPr>
              <w:pStyle w:val="Compact"/>
              <w:jc w:val="left"/>
            </w:pPr>
            <w:r>
              <w:t xml:space="preserve">EU Emissions Share</w:t>
            </w:r>
          </w:p>
        </w:tc>
        <w:tc>
          <w:tcPr/>
          <w:p>
            <w:pPr>
              <w:pStyle w:val="Compact"/>
              <w:jc w:val="left"/>
            </w:pPr>
            <w:r>
              <w:t xml:space="preserve">Key Regulations</w:t>
            </w:r>
          </w:p>
        </w:tc>
        <w:tc>
          <w:tcPr/>
          <w:p>
            <w:pPr>
              <w:pStyle w:val="Compact"/>
              <w:jc w:val="left"/>
            </w:pPr>
            <w:r>
              <w:t xml:space="preserve">DWS IQ 6 Solution</w:t>
            </w:r>
          </w:p>
        </w:tc>
      </w:tr>
      <w:tr>
        <w:tc>
          <w:tcPr/>
          <w:p>
            <w:pPr>
              <w:pStyle w:val="Compact"/>
              <w:jc w:val="left"/>
            </w:pPr>
            <w:r>
              <w:rPr>
                <w:bCs/>
                <w:b/>
              </w:rPr>
              <w:t xml:space="preserve">9</w:t>
            </w:r>
          </w:p>
        </w:tc>
        <w:tc>
          <w:tcPr/>
          <w:p>
            <w:pPr>
              <w:pStyle w:val="Compact"/>
              <w:jc w:val="left"/>
            </w:pPr>
            <w:r>
              <w:rPr>
                <w:bCs/>
                <w:b/>
              </w:rPr>
              <w:t xml:space="preserve">Agriculture &amp; Livestock</w:t>
            </w:r>
          </w:p>
        </w:tc>
        <w:tc>
          <w:tcPr/>
          <w:p>
            <w:pPr>
              <w:pStyle w:val="Compact"/>
              <w:jc w:val="left"/>
            </w:pPr>
            <w:r>
              <w:t xml:space="preserve">10-12%</w:t>
            </w:r>
          </w:p>
        </w:tc>
        <w:tc>
          <w:tcPr/>
          <w:p>
            <w:pPr>
              <w:pStyle w:val="Compact"/>
              <w:jc w:val="left"/>
            </w:pPr>
            <w:r>
              <w:t xml:space="preserve">ESR, Methane Strategy, CAP</w:t>
            </w:r>
          </w:p>
        </w:tc>
        <w:tc>
          <w:tcPr/>
          <w:p>
            <w:pPr>
              <w:pStyle w:val="Compact"/>
              <w:jc w:val="left"/>
            </w:pPr>
            <w:r>
              <w:t xml:space="preserve">Farm-level emissions monitoring, fertilizer carbon calculations</w:t>
            </w:r>
          </w:p>
        </w:tc>
      </w:tr>
      <w:tr>
        <w:tc>
          <w:tcPr/>
          <w:p>
            <w:pPr>
              <w:pStyle w:val="Compact"/>
              <w:jc w:val="left"/>
            </w:pPr>
            <w:r>
              <w:rPr>
                <w:bCs/>
                <w:b/>
              </w:rPr>
              <w:t xml:space="preserve">10</w:t>
            </w:r>
          </w:p>
        </w:tc>
        <w:tc>
          <w:tcPr/>
          <w:p>
            <w:pPr>
              <w:pStyle w:val="Compact"/>
              <w:jc w:val="left"/>
            </w:pPr>
            <w:r>
              <w:rPr>
                <w:bCs/>
                <w:b/>
              </w:rPr>
              <w:t xml:space="preserve">Waste Management &amp; Recycling</w:t>
            </w:r>
          </w:p>
        </w:tc>
        <w:tc>
          <w:tcPr/>
          <w:p>
            <w:pPr>
              <w:pStyle w:val="Compact"/>
              <w:jc w:val="left"/>
            </w:pPr>
            <w:r>
              <w:t xml:space="preserve">3-4%</w:t>
            </w:r>
          </w:p>
        </w:tc>
        <w:tc>
          <w:tcPr/>
          <w:p>
            <w:pPr>
              <w:pStyle w:val="Compact"/>
              <w:jc w:val="left"/>
            </w:pPr>
            <w:r>
              <w:t xml:space="preserve">Waste Framework Directive, Landfill Directive</w:t>
            </w:r>
          </w:p>
        </w:tc>
        <w:tc>
          <w:tcPr/>
          <w:p>
            <w:pPr>
              <w:pStyle w:val="Compact"/>
              <w:jc w:val="left"/>
            </w:pPr>
            <w:r>
              <w:t xml:space="preserve">Methane capture monitoring, circular economy metrics</w:t>
            </w:r>
          </w:p>
        </w:tc>
      </w:tr>
      <w:tr>
        <w:tc>
          <w:tcPr/>
          <w:p>
            <w:pPr>
              <w:pStyle w:val="Compact"/>
              <w:jc w:val="left"/>
            </w:pPr>
            <w:r>
              <w:rPr>
                <w:bCs/>
                <w:b/>
              </w:rPr>
              <w:t xml:space="preserve">11</w:t>
            </w:r>
          </w:p>
        </w:tc>
        <w:tc>
          <w:tcPr/>
          <w:p>
            <w:pPr>
              <w:pStyle w:val="Compact"/>
              <w:jc w:val="left"/>
            </w:pPr>
            <w:r>
              <w:rPr>
                <w:bCs/>
                <w:b/>
              </w:rPr>
              <w:t xml:space="preserve">Aluminium</w:t>
            </w:r>
          </w:p>
        </w:tc>
        <w:tc>
          <w:tcPr/>
          <w:p>
            <w:pPr>
              <w:pStyle w:val="Compact"/>
              <w:jc w:val="left"/>
            </w:pPr>
            <w:r>
              <w:t xml:space="preserve">High (energy)</w:t>
            </w:r>
          </w:p>
        </w:tc>
        <w:tc>
          <w:tcPr/>
          <w:p>
            <w:pPr>
              <w:pStyle w:val="Compact"/>
              <w:jc w:val="left"/>
            </w:pPr>
            <w:r>
              <w:t xml:space="preserve">ETS, CBAM (2026)</w:t>
            </w:r>
          </w:p>
        </w:tc>
        <w:tc>
          <w:tcPr/>
          <w:p>
            <w:pPr>
              <w:pStyle w:val="Compact"/>
              <w:jc w:val="left"/>
            </w:pPr>
            <w:r>
              <w:t xml:space="preserve">Energy source tracking, renewable electricity certificates</w:t>
            </w:r>
          </w:p>
        </w:tc>
      </w:tr>
      <w:tr>
        <w:tc>
          <w:tcPr/>
          <w:p>
            <w:pPr>
              <w:pStyle w:val="Compact"/>
              <w:jc w:val="left"/>
            </w:pPr>
            <w:r>
              <w:rPr>
                <w:bCs/>
                <w:b/>
              </w:rPr>
              <w:t xml:space="preserve">12</w:t>
            </w:r>
          </w:p>
        </w:tc>
        <w:tc>
          <w:tcPr/>
          <w:p>
            <w:pPr>
              <w:pStyle w:val="Compact"/>
              <w:jc w:val="left"/>
            </w:pPr>
            <w:r>
              <w:rPr>
                <w:bCs/>
                <w:b/>
              </w:rPr>
              <w:t xml:space="preserve">Pulp, Paper &amp; Printing</w:t>
            </w:r>
          </w:p>
        </w:tc>
        <w:tc>
          <w:tcPr/>
          <w:p>
            <w:pPr>
              <w:pStyle w:val="Compact"/>
              <w:jc w:val="left"/>
            </w:pPr>
            <w:r>
              <w:t xml:space="preserve">Medium</w:t>
            </w:r>
          </w:p>
        </w:tc>
        <w:tc>
          <w:tcPr/>
          <w:p>
            <w:pPr>
              <w:pStyle w:val="Compact"/>
              <w:jc w:val="left"/>
            </w:pPr>
            <w:r>
              <w:t xml:space="preserve">ETS, LULUCF</w:t>
            </w:r>
          </w:p>
        </w:tc>
        <w:tc>
          <w:tcPr/>
          <w:p>
            <w:pPr>
              <w:pStyle w:val="Compact"/>
              <w:jc w:val="left"/>
            </w:pPr>
            <w:r>
              <w:t xml:space="preserve">Forest carbon calculations, supply chain transparency</w:t>
            </w:r>
          </w:p>
        </w:tc>
      </w:tr>
      <w:tr>
        <w:tc>
          <w:tcPr/>
          <w:p>
            <w:pPr>
              <w:pStyle w:val="Compact"/>
              <w:jc w:val="left"/>
            </w:pPr>
            <w:r>
              <w:rPr>
                <w:bCs/>
                <w:b/>
              </w:rPr>
              <w:t xml:space="preserve">13</w:t>
            </w:r>
          </w:p>
        </w:tc>
        <w:tc>
          <w:tcPr/>
          <w:p>
            <w:pPr>
              <w:pStyle w:val="Compact"/>
              <w:jc w:val="left"/>
            </w:pPr>
            <w:r>
              <w:rPr>
                <w:bCs/>
                <w:b/>
              </w:rPr>
              <w:t xml:space="preserve">Oil Refining</w:t>
            </w:r>
          </w:p>
        </w:tc>
        <w:tc>
          <w:tcPr/>
          <w:p>
            <w:pPr>
              <w:pStyle w:val="Compact"/>
              <w:jc w:val="left"/>
            </w:pPr>
            <w:r>
              <w:t xml:space="preserve">High</w:t>
            </w:r>
          </w:p>
        </w:tc>
        <w:tc>
          <w:tcPr/>
          <w:p>
            <w:pPr>
              <w:pStyle w:val="Compact"/>
              <w:jc w:val="left"/>
            </w:pPr>
            <w:r>
              <w:t xml:space="preserve">ETS, ReFuelEU</w:t>
            </w:r>
          </w:p>
        </w:tc>
        <w:tc>
          <w:tcPr/>
          <w:p>
            <w:pPr>
              <w:pStyle w:val="Compact"/>
              <w:jc w:val="left"/>
            </w:pPr>
            <w:r>
              <w:t xml:space="preserve">Phase-down planning, SAF production monitoring</w:t>
            </w:r>
          </w:p>
        </w:tc>
      </w:tr>
      <w:tr>
        <w:tc>
          <w:tcPr/>
          <w:p>
            <w:pPr>
              <w:pStyle w:val="Compact"/>
              <w:jc w:val="left"/>
            </w:pPr>
            <w:r>
              <w:rPr>
                <w:bCs/>
                <w:b/>
              </w:rPr>
              <w:t xml:space="preserve">14</w:t>
            </w:r>
          </w:p>
        </w:tc>
        <w:tc>
          <w:tcPr/>
          <w:p>
            <w:pPr>
              <w:pStyle w:val="Compact"/>
              <w:jc w:val="left"/>
            </w:pPr>
            <w:r>
              <w:rPr>
                <w:bCs/>
                <w:b/>
              </w:rPr>
              <w:t xml:space="preserve">Food &amp; Beverage</w:t>
            </w:r>
          </w:p>
        </w:tc>
        <w:tc>
          <w:tcPr/>
          <w:p>
            <w:pPr>
              <w:pStyle w:val="Compact"/>
              <w:jc w:val="left"/>
            </w:pPr>
            <w:r>
              <w:t xml:space="preserve">Medium</w:t>
            </w:r>
          </w:p>
        </w:tc>
        <w:tc>
          <w:tcPr/>
          <w:p>
            <w:pPr>
              <w:pStyle w:val="Compact"/>
              <w:jc w:val="left"/>
            </w:pPr>
            <w:r>
              <w:t xml:space="preserve">ESR, Energy Efficiency Directive</w:t>
            </w:r>
          </w:p>
        </w:tc>
        <w:tc>
          <w:tcPr/>
          <w:p>
            <w:pPr>
              <w:pStyle w:val="Compact"/>
              <w:jc w:val="left"/>
            </w:pPr>
            <w:r>
              <w:t xml:space="preserve">Agriculture supply chain carbon, energy optimization</w:t>
            </w:r>
          </w:p>
        </w:tc>
      </w:tr>
      <w:tr>
        <w:tc>
          <w:tcPr/>
          <w:p>
            <w:pPr>
              <w:pStyle w:val="Compact"/>
              <w:jc w:val="left"/>
            </w:pPr>
            <w:r>
              <w:rPr>
                <w:bCs/>
                <w:b/>
              </w:rPr>
              <w:t xml:space="preserve">15</w:t>
            </w:r>
          </w:p>
        </w:tc>
        <w:tc>
          <w:tcPr/>
          <w:p>
            <w:pPr>
              <w:pStyle w:val="Compact"/>
              <w:jc w:val="left"/>
            </w:pPr>
            <w:r>
              <w:rPr>
                <w:bCs/>
                <w:b/>
              </w:rPr>
              <w:t xml:space="preserve">Glass &amp; Ceramics</w:t>
            </w:r>
          </w:p>
        </w:tc>
        <w:tc>
          <w:tcPr/>
          <w:p>
            <w:pPr>
              <w:pStyle w:val="Compact"/>
              <w:jc w:val="left"/>
            </w:pPr>
            <w:r>
              <w:t xml:space="preserve">Medium</w:t>
            </w:r>
          </w:p>
        </w:tc>
        <w:tc>
          <w:tcPr/>
          <w:p>
            <w:pPr>
              <w:pStyle w:val="Compact"/>
              <w:jc w:val="left"/>
            </w:pPr>
            <w:r>
              <w:t xml:space="preserve">ETS, CBAM (indirect)</w:t>
            </w:r>
          </w:p>
        </w:tc>
        <w:tc>
          <w:tcPr/>
          <w:p>
            <w:pPr>
              <w:pStyle w:val="Compact"/>
              <w:jc w:val="left"/>
            </w:pPr>
            <w:r>
              <w:t xml:space="preserve">Process emissions, material carbon tracking</w:t>
            </w:r>
          </w:p>
        </w:tc>
      </w:tr>
      <w:tr>
        <w:tc>
          <w:tcPr/>
          <w:p>
            <w:pPr>
              <w:pStyle w:val="Compact"/>
              <w:jc w:val="left"/>
            </w:pPr>
            <w:r>
              <w:rPr>
                <w:bCs/>
                <w:b/>
              </w:rPr>
              <w:t xml:space="preserve">16</w:t>
            </w:r>
          </w:p>
        </w:tc>
        <w:tc>
          <w:tcPr/>
          <w:p>
            <w:pPr>
              <w:pStyle w:val="Compact"/>
              <w:jc w:val="left"/>
            </w:pPr>
            <w:r>
              <w:rPr>
                <w:bCs/>
                <w:b/>
              </w:rPr>
              <w:t xml:space="preserve">Mining &amp; Quarrying</w:t>
            </w:r>
          </w:p>
        </w:tc>
        <w:tc>
          <w:tcPr/>
          <w:p>
            <w:pPr>
              <w:pStyle w:val="Compact"/>
              <w:jc w:val="left"/>
            </w:pPr>
            <w:r>
              <w:t xml:space="preserve">Medium</w:t>
            </w:r>
          </w:p>
        </w:tc>
        <w:tc>
          <w:tcPr/>
          <w:p>
            <w:pPr>
              <w:pStyle w:val="Compact"/>
              <w:jc w:val="left"/>
            </w:pPr>
            <w:r>
              <w:t xml:space="preserve">ETS (indirect), Critical Raw Materials</w:t>
            </w:r>
          </w:p>
        </w:tc>
        <w:tc>
          <w:tcPr/>
          <w:p>
            <w:pPr>
              <w:pStyle w:val="Compact"/>
              <w:jc w:val="left"/>
            </w:pPr>
            <w:r>
              <w:t xml:space="preserve">Extraction emissions, CRM supply chain compliance</w:t>
            </w:r>
          </w:p>
        </w:tc>
      </w:tr>
    </w:tbl>
    <w:bookmarkEnd w:id="47"/>
    <w:bookmarkStart w:id="48" w:name="regulatory-timeline"/>
    <w:p>
      <w:pPr>
        <w:pStyle w:val="Heading3"/>
      </w:pPr>
      <w:r>
        <w:t xml:space="preserve">3.1.2 Regulatory Timeline</w:t>
      </w:r>
    </w:p>
    <w:p>
      <w:pPr>
        <w:pStyle w:val="SourceCode"/>
      </w:pPr>
      <w:r>
        <w:rPr>
          <w:rStyle w:val="VerbatimChar"/>
        </w:rPr>
        <w:t xml:space="preserve">2024 ----------------------------------------------------------------</w:t>
      </w:r>
      <w:r>
        <w:br/>
      </w:r>
      <w:r>
        <w:rPr>
          <w:rStyle w:val="VerbatimChar"/>
        </w:rPr>
        <w:t xml:space="preserve">      | Maritime in ETS</w:t>
      </w:r>
      <w:r>
        <w:br/>
      </w:r>
      <w:r>
        <w:rPr>
          <w:rStyle w:val="VerbatimChar"/>
        </w:rPr>
        <w:t xml:space="preserve">      | CBAM transitional phase active</w:t>
      </w:r>
      <w:r>
        <w:br/>
      </w:r>
      <w:r>
        <w:rPr>
          <w:rStyle w:val="VerbatimChar"/>
        </w:rPr>
        <w:t xml:space="preserve">      | CSRD reporting begins (large companies)</w:t>
      </w:r>
      <w:r>
        <w:br/>
      </w:r>
      <w:r>
        <w:rPr>
          <w:rStyle w:val="VerbatimChar"/>
        </w:rPr>
        <w:t xml:space="preserve">      |</w:t>
      </w:r>
      <w:r>
        <w:br/>
      </w:r>
      <w:r>
        <w:rPr>
          <w:rStyle w:val="VerbatimChar"/>
        </w:rPr>
        <w:t xml:space="preserve">2025 ----------------------------------------------------------------</w:t>
      </w:r>
      <w:r>
        <w:br/>
      </w:r>
      <w:r>
        <w:rPr>
          <w:rStyle w:val="VerbatimChar"/>
        </w:rPr>
        <w:t xml:space="preserve">      | Omnibus simplifications (administrative relief)</w:t>
      </w:r>
      <w:r>
        <w:br/>
      </w:r>
      <w:r>
        <w:rPr>
          <w:rStyle w:val="VerbatimChar"/>
        </w:rPr>
        <w:t xml:space="preserve">      | EU AI Act enforcement begins</w:t>
      </w:r>
      <w:r>
        <w:br/>
      </w:r>
      <w:r>
        <w:rPr>
          <w:rStyle w:val="VerbatimChar"/>
        </w:rPr>
        <w:t xml:space="preserve">      | NIS2 compliance deadline</w:t>
      </w:r>
      <w:r>
        <w:br/>
      </w:r>
      <w:r>
        <w:rPr>
          <w:rStyle w:val="VerbatimChar"/>
        </w:rPr>
        <w:t xml:space="preserve">      |</w:t>
      </w:r>
      <w:r>
        <w:br/>
      </w:r>
      <w:r>
        <w:rPr>
          <w:rStyle w:val="VerbatimChar"/>
        </w:rPr>
        <w:t xml:space="preserve">2026 ----------------------------------------------------------------</w:t>
      </w:r>
      <w:r>
        <w:br/>
      </w:r>
      <w:r>
        <w:rPr>
          <w:rStyle w:val="VerbatimChar"/>
        </w:rPr>
        <w:t xml:space="preserve">      | CBAM full enforcement (border carbon levy)</w:t>
      </w:r>
      <w:r>
        <w:br/>
      </w:r>
      <w:r>
        <w:rPr>
          <w:rStyle w:val="VerbatimChar"/>
        </w:rPr>
        <w:t xml:space="preserve">      | CSRD expands to more companies</w:t>
      </w:r>
      <w:r>
        <w:br/>
      </w:r>
      <w:r>
        <w:rPr>
          <w:rStyle w:val="VerbatimChar"/>
        </w:rPr>
        <w:t xml:space="preserve">      | Free ETS allowances decrease faster</w:t>
      </w:r>
      <w:r>
        <w:br/>
      </w:r>
      <w:r>
        <w:rPr>
          <w:rStyle w:val="VerbatimChar"/>
        </w:rPr>
        <w:t xml:space="preserve">      |</w:t>
      </w:r>
      <w:r>
        <w:br/>
      </w:r>
      <w:r>
        <w:rPr>
          <w:rStyle w:val="VerbatimChar"/>
        </w:rPr>
        <w:t xml:space="preserve">2027 ----------------------------------------------------------------</w:t>
      </w:r>
      <w:r>
        <w:br/>
      </w:r>
      <w:r>
        <w:rPr>
          <w:rStyle w:val="VerbatimChar"/>
        </w:rPr>
        <w:t xml:space="preserve">      | ETS2 for road transport and buildings</w:t>
      </w:r>
      <w:r>
        <w:br/>
      </w:r>
      <w:r>
        <w:rPr>
          <w:rStyle w:val="VerbatimChar"/>
        </w:rPr>
        <w:t xml:space="preserve">      | Stricter vehicle CO2 standards</w:t>
      </w:r>
      <w:r>
        <w:br/>
      </w:r>
      <w:r>
        <w:rPr>
          <w:rStyle w:val="VerbatimChar"/>
        </w:rPr>
        <w:t xml:space="preserve">      |</w:t>
      </w:r>
      <w:r>
        <w:br/>
      </w:r>
      <w:r>
        <w:rPr>
          <w:rStyle w:val="VerbatimChar"/>
        </w:rPr>
        <w:t xml:space="preserve">2028 ----------------------------------------------------------------</w:t>
      </w:r>
      <w:r>
        <w:br/>
      </w:r>
      <w:r>
        <w:rPr>
          <w:rStyle w:val="VerbatimChar"/>
        </w:rPr>
        <w:t xml:space="preserve">      | EPBD embodied carbon reporting (&gt;1,000 m2)</w:t>
      </w:r>
      <w:r>
        <w:br/>
      </w:r>
      <w:r>
        <w:rPr>
          <w:rStyle w:val="VerbatimChar"/>
        </w:rPr>
        <w:t xml:space="preserve">      | Significant ETS cap tightening</w:t>
      </w:r>
      <w:r>
        <w:br/>
      </w:r>
      <w:r>
        <w:rPr>
          <w:rStyle w:val="VerbatimChar"/>
        </w:rPr>
        <w:t xml:space="preserve">      |</w:t>
      </w:r>
      <w:r>
        <w:br/>
      </w:r>
      <w:r>
        <w:rPr>
          <w:rStyle w:val="VerbatimChar"/>
        </w:rPr>
        <w:t xml:space="preserve">2030 ----------------------------------------------------------------</w:t>
      </w:r>
      <w:r>
        <w:br/>
      </w:r>
      <w:r>
        <w:rPr>
          <w:rStyle w:val="VerbatimChar"/>
        </w:rPr>
        <w:t xml:space="preserve">      | 55% emissions reduction target deadline</w:t>
      </w:r>
      <w:r>
        <w:br/>
      </w:r>
      <w:r>
        <w:rPr>
          <w:rStyle w:val="VerbatimChar"/>
        </w:rPr>
        <w:t xml:space="preserve">      | ESR national targets due</w:t>
      </w:r>
      <w:r>
        <w:br/>
      </w:r>
      <w:r>
        <w:rPr>
          <w:rStyle w:val="VerbatimChar"/>
        </w:rPr>
        <w:t xml:space="preserve">      |</w:t>
      </w:r>
      <w:r>
        <w:br/>
      </w:r>
      <w:r>
        <w:rPr>
          <w:rStyle w:val="VerbatimChar"/>
        </w:rPr>
        <w:t xml:space="preserve">2035 ----------------------------------------------------------------</w:t>
      </w:r>
      <w:r>
        <w:br/>
      </w:r>
      <w:r>
        <w:rPr>
          <w:rStyle w:val="VerbatimChar"/>
        </w:rPr>
        <w:t xml:space="preserve">      | 100% zero-emission new cars and vans</w:t>
      </w:r>
    </w:p>
    <w:bookmarkEnd w:id="48"/>
    <w:bookmarkStart w:id="50" w:name="X6eec331514f509911a7e6eab295961c4387329c"/>
    <w:p>
      <w:pPr>
        <w:pStyle w:val="Heading3"/>
      </w:pPr>
      <w:r>
        <w:t xml:space="preserve">3.1.3 The Omnibus Package:</w:t>
      </w:r>
      <w:r>
        <w:t xml:space="preserve"> </w:t>
      </w:r>
      <w:r>
        <w:t xml:space="preserve">“</w:t>
      </w:r>
      <w:r>
        <w:t xml:space="preserve">Fit for 55 Means Fit for 55</w:t>
      </w:r>
      <w:r>
        <w:t xml:space="preserve">”</w:t>
      </w:r>
    </w:p>
    <w:p>
      <w:pPr>
        <w:pStyle w:val="FirstParagraph"/>
      </w:pPr>
      <w:r>
        <w:t xml:space="preserve">The European Commission adopted the Omnibus simplification package on 26.2.2025, reducing the administrative burden on SMEs while keeping climate targets fully intact (European Commission, 2025).</w:t>
      </w:r>
    </w:p>
    <w:p>
      <w:pPr>
        <w:pStyle w:val="BodyText"/>
      </w:pPr>
      <w:r>
        <w:rPr>
          <w:bCs/>
          <w:b/>
        </w:rPr>
        <w:t xml:space="preserve">Key changes to CSRD reporting:</w:t>
      </w:r>
    </w:p>
    <w:tbl>
      <w:tblPr>
        <w:tblStyle w:val="Table"/>
        <w:tblW w:type="pct" w:w="5000"/>
        <w:tblLook w:firstRow="1" w:lastRow="0" w:firstColumn="0" w:lastColumn="0" w:noHBand="0" w:noVBand="0" w:val="0020"/>
        <w:jc w:val="start"/>
      </w:tblPr>
      <w:tblGrid>
        <w:gridCol w:w="1485"/>
        <w:gridCol w:w="1767"/>
        <w:gridCol w:w="4667"/>
      </w:tblGrid>
      <w:tr>
        <w:trPr>
          <w:tblHeader w:val="true"/>
        </w:trPr>
        <w:tc>
          <w:tcPr/>
          <w:p>
            <w:pPr>
              <w:pStyle w:val="Compact"/>
              <w:jc w:val="left"/>
            </w:pPr>
            <w:r>
              <w:t xml:space="preserve">Change</w:t>
            </w:r>
          </w:p>
        </w:tc>
        <w:tc>
          <w:tcPr/>
          <w:p>
            <w:pPr>
              <w:pStyle w:val="Compact"/>
              <w:jc w:val="left"/>
            </w:pPr>
            <w:r>
              <w:t xml:space="preserve">Before</w:t>
            </w:r>
          </w:p>
        </w:tc>
        <w:tc>
          <w:tcPr/>
          <w:p>
            <w:pPr>
              <w:pStyle w:val="Compact"/>
              <w:jc w:val="left"/>
            </w:pPr>
            <w:r>
              <w:t xml:space="preserve">After Omnibus</w:t>
            </w:r>
          </w:p>
        </w:tc>
      </w:tr>
      <w:tr>
        <w:tc>
          <w:tcPr/>
          <w:p>
            <w:pPr>
              <w:pStyle w:val="Compact"/>
              <w:jc w:val="left"/>
            </w:pPr>
            <w:r>
              <w:rPr>
                <w:bCs/>
                <w:b/>
              </w:rPr>
              <w:t xml:space="preserve">CSRD scope</w:t>
            </w:r>
          </w:p>
        </w:tc>
        <w:tc>
          <w:tcPr/>
          <w:p>
            <w:pPr>
              <w:pStyle w:val="Compact"/>
              <w:jc w:val="left"/>
            </w:pPr>
            <w:r>
              <w:t xml:space="preserve">~50,000 companies</w:t>
            </w:r>
          </w:p>
        </w:tc>
        <w:tc>
          <w:tcPr/>
          <w:p>
            <w:pPr>
              <w:pStyle w:val="Compact"/>
              <w:jc w:val="left"/>
            </w:pPr>
            <w:r>
              <w:t xml:space="preserve">fewer than ~5,000 companies (&gt;1,000 employees AND &gt;€450M turnover)</w:t>
            </w:r>
          </w:p>
        </w:tc>
      </w:tr>
      <w:tr>
        <w:tc>
          <w:tcPr/>
          <w:p>
            <w:pPr>
              <w:pStyle w:val="Compact"/>
              <w:jc w:val="left"/>
            </w:pPr>
            <w:r>
              <w:rPr>
                <w:bCs/>
                <w:b/>
              </w:rPr>
              <w:t xml:space="preserve">SME obligations</w:t>
            </w:r>
          </w:p>
        </w:tc>
        <w:tc>
          <w:tcPr/>
          <w:p>
            <w:pPr>
              <w:pStyle w:val="Compact"/>
              <w:jc w:val="left"/>
            </w:pPr>
            <w:r>
              <w:t xml:space="preserve">Mandatory</w:t>
            </w:r>
          </w:p>
        </w:tc>
        <w:tc>
          <w:tcPr/>
          <w:p>
            <w:pPr>
              <w:pStyle w:val="Compact"/>
              <w:jc w:val="left"/>
            </w:pPr>
            <w:r>
              <w:t xml:space="preserve">Voluntary standard (EFRAG SME)</w:t>
            </w:r>
          </w:p>
        </w:tc>
      </w:tr>
      <w:tr>
        <w:tc>
          <w:tcPr/>
          <w:p>
            <w:pPr>
              <w:pStyle w:val="Compact"/>
              <w:jc w:val="left"/>
            </w:pPr>
            <w:r>
              <w:rPr>
                <w:bCs/>
                <w:b/>
              </w:rPr>
              <w:t xml:space="preserve">Assurance level</w:t>
            </w:r>
          </w:p>
        </w:tc>
        <w:tc>
          <w:tcPr/>
          <w:p>
            <w:pPr>
              <w:pStyle w:val="Compact"/>
              <w:jc w:val="left"/>
            </w:pPr>
            <w:r>
              <w:t xml:space="preserve">“</w:t>
            </w:r>
            <w:r>
              <w:t xml:space="preserve">Limited</w:t>
            </w:r>
            <w:r>
              <w:t xml:space="preserve">”</w:t>
            </w:r>
            <w:r>
              <w:t xml:space="preserve"> </w:t>
            </w:r>
            <w:r>
              <w:t xml:space="preserve">-&gt;</w:t>
            </w:r>
            <w:r>
              <w:t xml:space="preserve"> </w:t>
            </w:r>
            <w:r>
              <w:t xml:space="preserve">“</w:t>
            </w:r>
            <w:r>
              <w:t xml:space="preserve">Reasonable</w:t>
            </w:r>
            <w:r>
              <w:t xml:space="preserve">”</w:t>
            </w:r>
          </w:p>
        </w:tc>
        <w:tc>
          <w:tcPr/>
          <w:p>
            <w:pPr>
              <w:pStyle w:val="Compact"/>
              <w:jc w:val="left"/>
            </w:pPr>
            <w:r>
              <w:t xml:space="preserve">Stays at</w:t>
            </w:r>
            <w:r>
              <w:t xml:space="preserve"> </w:t>
            </w:r>
            <w:r>
              <w:t xml:space="preserve">“</w:t>
            </w:r>
            <w:r>
              <w:t xml:space="preserve">Limited</w:t>
            </w:r>
            <w:r>
              <w:t xml:space="preserve">”</w:t>
            </w:r>
          </w:p>
        </w:tc>
      </w:tr>
      <w:tr>
        <w:tc>
          <w:tcPr/>
          <w:p>
            <w:pPr>
              <w:pStyle w:val="Compact"/>
              <w:jc w:val="left"/>
            </w:pPr>
            <w:r>
              <w:rPr>
                <w:bCs/>
                <w:b/>
              </w:rPr>
              <w:t xml:space="preserve">Timeline</w:t>
            </w:r>
          </w:p>
        </w:tc>
        <w:tc>
          <w:tcPr/>
          <w:p>
            <w:pPr>
              <w:pStyle w:val="Compact"/>
              <w:jc w:val="left"/>
            </w:pPr>
            <w:r>
              <w:t xml:space="preserve">2026-2027</w:t>
            </w:r>
          </w:p>
        </w:tc>
        <w:tc>
          <w:tcPr/>
          <w:p>
            <w:pPr>
              <w:pStyle w:val="Compact"/>
              <w:jc w:val="left"/>
            </w:pPr>
            <w:r>
              <w:t xml:space="preserve">+2 year postponement (</w:t>
            </w:r>
            <w:r>
              <w:t xml:space="preserve">“</w:t>
            </w:r>
            <w:r>
              <w:t xml:space="preserve">stop the clock</w:t>
            </w:r>
            <w:r>
              <w:t xml:space="preserve">”</w:t>
            </w:r>
            <w:r>
              <w:t xml:space="preserve">)</w:t>
            </w:r>
          </w:p>
        </w:tc>
      </w:tr>
      <w:tr>
        <w:tc>
          <w:tcPr/>
          <w:p>
            <w:pPr>
              <w:pStyle w:val="Compact"/>
              <w:jc w:val="left"/>
            </w:pPr>
            <w:r>
              <w:rPr>
                <w:bCs/>
                <w:b/>
              </w:rPr>
              <w:t xml:space="preserve">Estimated savings</w:t>
            </w:r>
          </w:p>
        </w:tc>
        <w:tc>
          <w:tcPr/>
          <w:p>
            <w:pPr>
              <w:pStyle w:val="Compact"/>
              <w:jc w:val="left"/>
            </w:pPr>
            <w:r>
              <w:t xml:space="preserve">-</w:t>
            </w:r>
          </w:p>
        </w:tc>
        <w:tc>
          <w:tcPr/>
          <w:p>
            <w:pPr>
              <w:pStyle w:val="Compact"/>
              <w:jc w:val="left"/>
            </w:pPr>
            <w:r>
              <w:t xml:space="preserve">EUR 4.4 billion/year</w:t>
            </w:r>
          </w:p>
        </w:tc>
      </w:tr>
    </w:tbl>
    <w:p>
      <w:pPr>
        <w:pStyle w:val="BodyText"/>
      </w:pPr>
      <w:r>
        <w:rPr>
          <w:bCs/>
          <w:b/>
        </w:rPr>
        <w:t xml:space="preserve">Critical observation: Climate targets remain unchanged</w:t>
      </w:r>
    </w:p>
    <w:p>
      <w:pPr>
        <w:pStyle w:val="BodyText"/>
      </w:pPr>
      <w:r>
        <w:t xml:space="preserve">The Omnibus package</w:t>
      </w:r>
      <w:r>
        <w:t xml:space="preserve"> </w:t>
      </w:r>
      <w:r>
        <w:rPr>
          <w:bCs/>
          <w:b/>
        </w:rPr>
        <w:t xml:space="preserve">does not change</w:t>
      </w:r>
      <w:r>
        <w:t xml:space="preserve"> </w:t>
      </w:r>
      <w:r>
        <w:t xml:space="preserve">the core Fit for 55 targets:</w:t>
      </w:r>
    </w:p>
    <w:p>
      <w:pPr>
        <w:numPr>
          <w:ilvl w:val="0"/>
          <w:numId w:val="1020"/>
        </w:numPr>
        <w:pStyle w:val="Compact"/>
      </w:pPr>
      <w:r>
        <w:rPr>
          <w:bCs/>
          <w:b/>
        </w:rPr>
        <w:t xml:space="preserve">55% emissions reduction by 2030</w:t>
      </w:r>
      <w:r>
        <w:t xml:space="preserve"> </w:t>
      </w:r>
      <w:r>
        <w:t xml:space="preserve">— remains</w:t>
      </w:r>
    </w:p>
    <w:p>
      <w:pPr>
        <w:numPr>
          <w:ilvl w:val="0"/>
          <w:numId w:val="1020"/>
        </w:numPr>
        <w:pStyle w:val="Compact"/>
      </w:pPr>
      <w:r>
        <w:rPr>
          <w:bCs/>
          <w:b/>
        </w:rPr>
        <w:t xml:space="preserve">ETS emissions cap</w:t>
      </w:r>
      <w:r>
        <w:t xml:space="preserve"> </w:t>
      </w:r>
      <w:r>
        <w:t xml:space="preserve">— continues to tighten as planned</w:t>
      </w:r>
    </w:p>
    <w:p>
      <w:pPr>
        <w:numPr>
          <w:ilvl w:val="0"/>
          <w:numId w:val="1020"/>
        </w:numPr>
        <w:pStyle w:val="Compact"/>
      </w:pPr>
      <w:r>
        <w:rPr>
          <w:bCs/>
          <w:b/>
        </w:rPr>
        <w:t xml:space="preserve">CBAM border carbon levy</w:t>
      </w:r>
      <w:r>
        <w:t xml:space="preserve"> </w:t>
      </w:r>
      <w:r>
        <w:t xml:space="preserve">— effective 2026 as planned</w:t>
      </w:r>
    </w:p>
    <w:p>
      <w:pPr>
        <w:numPr>
          <w:ilvl w:val="0"/>
          <w:numId w:val="1020"/>
        </w:numPr>
        <w:pStyle w:val="Compact"/>
      </w:pPr>
      <w:r>
        <w:rPr>
          <w:bCs/>
          <w:b/>
        </w:rPr>
        <w:t xml:space="preserve">ETS2 for road transport and buildings</w:t>
      </w:r>
      <w:r>
        <w:t xml:space="preserve"> </w:t>
      </w:r>
      <w:r>
        <w:t xml:space="preserve">— effective 2027</w:t>
      </w:r>
    </w:p>
    <w:p>
      <w:pPr>
        <w:numPr>
          <w:ilvl w:val="0"/>
          <w:numId w:val="1020"/>
        </w:numPr>
        <w:pStyle w:val="Compact"/>
      </w:pPr>
      <w:r>
        <w:rPr>
          <w:bCs/>
          <w:b/>
        </w:rPr>
        <w:t xml:space="preserve">EPBD embodied carbon reporting</w:t>
      </w:r>
      <w:r>
        <w:t xml:space="preserve"> </w:t>
      </w:r>
      <w:r>
        <w:t xml:space="preserve">— effective 2028</w:t>
      </w:r>
    </w:p>
    <w:p>
      <w:pPr>
        <w:pStyle w:val="FirstParagraph"/>
      </w:pPr>
      <w:r>
        <w:rPr>
          <w:bCs/>
          <w:b/>
        </w:rPr>
        <w:t xml:space="preserve">Impact on DWS IQ 6 business model:</w:t>
      </w:r>
    </w:p>
    <w:tbl>
      <w:tblPr>
        <w:tblStyle w:val="Table"/>
        <w:tblW w:type="pct" w:w="5000"/>
        <w:tblLook w:firstRow="1" w:lastRow="0" w:firstColumn="0" w:lastColumn="0" w:noHBand="0" w:noVBand="0" w:val="0020"/>
        <w:jc w:val="start"/>
      </w:tblPr>
      <w:tblGrid>
        <w:gridCol w:w="2960"/>
        <w:gridCol w:w="1702"/>
        <w:gridCol w:w="3256"/>
      </w:tblGrid>
      <w:tr>
        <w:trPr>
          <w:tblHeader w:val="true"/>
        </w:trPr>
        <w:tc>
          <w:tcPr/>
          <w:p>
            <w:pPr>
              <w:pStyle w:val="Compact"/>
              <w:jc w:val="left"/>
            </w:pPr>
            <w:r>
              <w:t xml:space="preserve">Segment</w:t>
            </w:r>
          </w:p>
        </w:tc>
        <w:tc>
          <w:tcPr/>
          <w:p>
            <w:pPr>
              <w:pStyle w:val="Compact"/>
              <w:jc w:val="left"/>
            </w:pPr>
            <w:r>
              <w:t xml:space="preserve">Omnibus Impact</w:t>
            </w:r>
          </w:p>
        </w:tc>
        <w:tc>
          <w:tcPr/>
          <w:p>
            <w:pPr>
              <w:pStyle w:val="Compact"/>
              <w:jc w:val="left"/>
            </w:pPr>
            <w:r>
              <w:t xml:space="preserve">DWS IQ 6 Opportunity</w:t>
            </w:r>
          </w:p>
        </w:tc>
      </w:tr>
      <w:tr>
        <w:tc>
          <w:tcPr/>
          <w:p>
            <w:pPr>
              <w:pStyle w:val="Compact"/>
              <w:jc w:val="left"/>
            </w:pPr>
            <w:r>
              <w:rPr>
                <w:bCs/>
                <w:b/>
              </w:rPr>
              <w:t xml:space="preserve">Large enterprises (&gt;1,000 employees)</w:t>
            </w:r>
          </w:p>
        </w:tc>
        <w:tc>
          <w:tcPr/>
          <w:p>
            <w:pPr>
              <w:pStyle w:val="Compact"/>
              <w:jc w:val="left"/>
            </w:pPr>
            <w:r>
              <w:t xml:space="preserve">CSRD obligation remains</w:t>
            </w:r>
          </w:p>
        </w:tc>
        <w:tc>
          <w:tcPr/>
          <w:p>
            <w:pPr>
              <w:pStyle w:val="Compact"/>
              <w:jc w:val="left"/>
            </w:pPr>
            <w:r>
              <w:t xml:space="preserve">Premium solution</w:t>
            </w:r>
          </w:p>
        </w:tc>
      </w:tr>
      <w:tr>
        <w:tc>
          <w:tcPr/>
          <w:p>
            <w:pPr>
              <w:pStyle w:val="Compact"/>
              <w:jc w:val="left"/>
            </w:pPr>
            <w:r>
              <w:rPr>
                <w:bCs/>
                <w:b/>
              </w:rPr>
              <w:t xml:space="preserve">Mid-size (250-999 employees)</w:t>
            </w:r>
          </w:p>
        </w:tc>
        <w:tc>
          <w:tcPr/>
          <w:p>
            <w:pPr>
              <w:pStyle w:val="Compact"/>
              <w:jc w:val="left"/>
            </w:pPr>
            <w:r>
              <w:t xml:space="preserve">Voluntary reporting</w:t>
            </w:r>
          </w:p>
        </w:tc>
        <w:tc>
          <w:tcPr/>
          <w:p>
            <w:pPr>
              <w:pStyle w:val="Compact"/>
              <w:jc w:val="left"/>
            </w:pPr>
            <w:r>
              <w:t xml:space="preserve">Affordable as competitive advantage</w:t>
            </w:r>
          </w:p>
        </w:tc>
      </w:tr>
      <w:tr>
        <w:tc>
          <w:tcPr/>
          <w:p>
            <w:pPr>
              <w:pStyle w:val="Compact"/>
              <w:jc w:val="left"/>
            </w:pPr>
            <w:r>
              <w:rPr>
                <w:bCs/>
                <w:b/>
              </w:rPr>
              <w:t xml:space="preserve">SMEs (&lt;250 employees)</w:t>
            </w:r>
          </w:p>
        </w:tc>
        <w:tc>
          <w:tcPr/>
          <w:p>
            <w:pPr>
              <w:pStyle w:val="Compact"/>
              <w:jc w:val="left"/>
            </w:pPr>
            <w:r>
              <w:t xml:space="preserve">No reporting obligation</w:t>
            </w:r>
          </w:p>
        </w:tc>
        <w:tc>
          <w:tcPr/>
          <w:p>
            <w:pPr>
              <w:pStyle w:val="Compact"/>
              <w:jc w:val="left"/>
            </w:pPr>
            <w:r>
              <w:t xml:space="preserve">Supply chain pressure from large enterprises</w:t>
            </w:r>
          </w:p>
        </w:tc>
      </w:tr>
    </w:tbl>
    <w:p>
      <w:pPr>
        <w:pStyle w:val="BodyText"/>
      </w:pPr>
      <w:r>
        <w:rPr>
          <w:bCs/>
          <w:b/>
        </w:rPr>
        <w:t xml:space="preserve">Conclusion:</w:t>
      </w:r>
      <w:r>
        <w:t xml:space="preserve"> </w:t>
      </w:r>
      <w:r>
        <w:t xml:space="preserve">The Omnibus package makes the Firehorse model even more competitive:</w:t>
      </w:r>
    </w:p>
    <w:p>
      <w:pPr>
        <w:numPr>
          <w:ilvl w:val="0"/>
          <w:numId w:val="1021"/>
        </w:numPr>
        <w:pStyle w:val="Compact"/>
      </w:pPr>
      <w:r>
        <w:rPr>
          <w:bCs/>
          <w:b/>
        </w:rPr>
        <w:t xml:space="preserve">Large enterprises</w:t>
      </w:r>
      <w:r>
        <w:t xml:space="preserve"> </w:t>
      </w:r>
      <w:r>
        <w:t xml:space="preserve">still need automated reporting</w:t>
      </w:r>
    </w:p>
    <w:p>
      <w:pPr>
        <w:numPr>
          <w:ilvl w:val="0"/>
          <w:numId w:val="1021"/>
        </w:numPr>
        <w:pStyle w:val="Compact"/>
      </w:pPr>
      <w:r>
        <w:rPr>
          <w:bCs/>
          <w:b/>
        </w:rPr>
        <w:t xml:space="preserve">SMEs</w:t>
      </w:r>
      <w:r>
        <w:t xml:space="preserve"> </w:t>
      </w:r>
      <w:r>
        <w:t xml:space="preserve">face supply chain pressures from CSRD-reporting companies</w:t>
      </w:r>
    </w:p>
    <w:p>
      <w:pPr>
        <w:numPr>
          <w:ilvl w:val="0"/>
          <w:numId w:val="1021"/>
        </w:numPr>
        <w:pStyle w:val="Compact"/>
      </w:pPr>
      <w:r>
        <w:rPr>
          <w:bCs/>
          <w:b/>
        </w:rPr>
        <w:t xml:space="preserve">Voluntary EFRAG SME standard</w:t>
      </w:r>
      <w:r>
        <w:t xml:space="preserve"> </w:t>
      </w:r>
      <w:r>
        <w:t xml:space="preserve">creates demand for affordable solutions</w:t>
      </w:r>
    </w:p>
    <w:p>
      <w:pPr>
        <w:numPr>
          <w:ilvl w:val="0"/>
          <w:numId w:val="1021"/>
        </w:numPr>
        <w:pStyle w:val="Compact"/>
      </w:pPr>
      <w:r>
        <w:rPr>
          <w:bCs/>
          <w:b/>
        </w:rPr>
        <w:t xml:space="preserve">EUR 0-350/month pricing</w:t>
      </w:r>
      <w:r>
        <w:t xml:space="preserve"> </w:t>
      </w:r>
      <w:r>
        <w:t xml:space="preserve">is competitive in the voluntary reporting market</w:t>
      </w:r>
    </w:p>
    <w:p>
      <w:pPr>
        <w:pStyle w:val="FirstParagraph"/>
      </w:pPr>
      <w:r>
        <w:rPr>
          <w:bCs/>
          <w:b/>
        </w:rPr>
        <w:t xml:space="preserve">Source:</w:t>
      </w:r>
      <w:r>
        <w:t xml:space="preserve"> </w:t>
      </w:r>
      <w:r>
        <w:t xml:space="preserve">European Commission. (2025).</w:t>
      </w:r>
      <w:r>
        <w:t xml:space="preserve"> </w:t>
      </w:r>
      <w:r>
        <w:rPr>
          <w:iCs/>
          <w:i/>
        </w:rPr>
        <w:t xml:space="preserve">Omnibus package</w:t>
      </w:r>
      <w:r>
        <w:t xml:space="preserve">.</w:t>
      </w:r>
      <w:r>
        <w:t xml:space="preserve"> </w:t>
      </w:r>
      <w:hyperlink r:id="rId49">
        <w:r>
          <w:rPr>
            <w:rStyle w:val="Hyperlink"/>
          </w:rPr>
          <w:t xml:space="preserve">https://finance.ec.europa.eu/news/omnibus-package-2025-04-01_en</w:t>
        </w:r>
      </w:hyperlink>
    </w:p>
    <w:bookmarkEnd w:id="50"/>
    <w:bookmarkEnd w:id="51"/>
    <w:bookmarkStart w:id="52" w:name="competitor-analysis"/>
    <w:p>
      <w:pPr>
        <w:pStyle w:val="Heading2"/>
      </w:pPr>
      <w:r>
        <w:t xml:space="preserve">3.2 Competitor Analysis</w:t>
      </w:r>
    </w:p>
    <w:tbl>
      <w:tblPr>
        <w:tblStyle w:val="Table"/>
        <w:tblW w:type="pct" w:w="5000"/>
        <w:tblLook w:firstRow="1" w:lastRow="0" w:firstColumn="0" w:lastColumn="0" w:noHBand="0" w:noVBand="0" w:val="0020"/>
        <w:jc w:val="start"/>
      </w:tblPr>
      <w:tblGrid>
        <w:gridCol w:w="2337"/>
        <w:gridCol w:w="1168"/>
        <w:gridCol w:w="1817"/>
        <w:gridCol w:w="1298"/>
        <w:gridCol w:w="1298"/>
      </w:tblGrid>
      <w:tr>
        <w:trPr>
          <w:tblHeader w:val="true"/>
        </w:trPr>
        <w:tc>
          <w:tcPr/>
          <w:p>
            <w:pPr>
              <w:pStyle w:val="Compact"/>
              <w:jc w:val="left"/>
            </w:pPr>
            <w:r>
              <w:t xml:space="preserve">Capability</w:t>
            </w:r>
          </w:p>
        </w:tc>
        <w:tc>
          <w:tcPr/>
          <w:p>
            <w:pPr>
              <w:pStyle w:val="Compact"/>
              <w:jc w:val="left"/>
            </w:pPr>
            <w:r>
              <w:t xml:space="preserve">Firehorse</w:t>
            </w:r>
          </w:p>
        </w:tc>
        <w:tc>
          <w:tcPr/>
          <w:p>
            <w:pPr>
              <w:pStyle w:val="Compact"/>
              <w:jc w:val="left"/>
            </w:pPr>
            <w:r>
              <w:t xml:space="preserve">Atlassian Rovo</w:t>
            </w:r>
          </w:p>
        </w:tc>
        <w:tc>
          <w:tcPr/>
          <w:p>
            <w:pPr>
              <w:pStyle w:val="Compact"/>
              <w:jc w:val="left"/>
            </w:pPr>
            <w:r>
              <w:t xml:space="preserve">SAP</w:t>
            </w:r>
          </w:p>
        </w:tc>
        <w:tc>
          <w:tcPr/>
          <w:p>
            <w:pPr>
              <w:pStyle w:val="Compact"/>
              <w:jc w:val="left"/>
            </w:pPr>
            <w:r>
              <w:t xml:space="preserve">Siemens</w:t>
            </w:r>
          </w:p>
        </w:tc>
      </w:tr>
      <w:tr>
        <w:tc>
          <w:tcPr/>
          <w:p>
            <w:pPr>
              <w:pStyle w:val="Compact"/>
              <w:jc w:val="left"/>
            </w:pPr>
            <w:r>
              <w:rPr>
                <w:bCs/>
                <w:b/>
              </w:rPr>
              <w:t xml:space="preserve">Monthly cost</w:t>
            </w:r>
          </w:p>
        </w:tc>
        <w:tc>
          <w:tcPr/>
          <w:p>
            <w:pPr>
              <w:pStyle w:val="Compact"/>
              <w:jc w:val="left"/>
            </w:pPr>
            <w:r>
              <w:t xml:space="preserve">EUR 0-350</w:t>
            </w:r>
          </w:p>
        </w:tc>
        <w:tc>
          <w:tcPr/>
          <w:p>
            <w:pPr>
              <w:pStyle w:val="Compact"/>
              <w:jc w:val="left"/>
            </w:pPr>
            <w:r>
              <w:t xml:space="preserve">EUR 1,400+</w:t>
            </w:r>
          </w:p>
        </w:tc>
        <w:tc>
          <w:tcPr/>
          <w:p>
            <w:pPr>
              <w:pStyle w:val="Compact"/>
              <w:jc w:val="left"/>
            </w:pPr>
            <w:r>
              <w:t xml:space="preserve">EUR 4,000+</w:t>
            </w:r>
          </w:p>
        </w:tc>
        <w:tc>
          <w:tcPr/>
          <w:p>
            <w:pPr>
              <w:pStyle w:val="Compact"/>
              <w:jc w:val="left"/>
            </w:pPr>
            <w:r>
              <w:t xml:space="preserve">EUR 2,000+</w:t>
            </w:r>
          </w:p>
        </w:tc>
      </w:tr>
      <w:tr>
        <w:tc>
          <w:tcPr/>
          <w:p>
            <w:pPr>
              <w:pStyle w:val="Compact"/>
              <w:jc w:val="left"/>
            </w:pPr>
            <w:r>
              <w:rPr>
                <w:bCs/>
                <w:b/>
              </w:rPr>
              <w:t xml:space="preserve">Edge AI</w:t>
            </w:r>
          </w:p>
        </w:tc>
        <w:tc>
          <w:tcPr/>
          <w:p>
            <w:pPr>
              <w:pStyle w:val="Compact"/>
              <w:jc w:val="left"/>
            </w:pPr>
            <w:r>
              <w:t xml:space="preserve">Native</w:t>
            </w:r>
          </w:p>
        </w:tc>
        <w:tc>
          <w:tcPr/>
          <w:p>
            <w:pPr>
              <w:pStyle w:val="Compact"/>
              <w:jc w:val="left"/>
            </w:pPr>
            <w:r>
              <w:t xml:space="preserve">No</w:t>
            </w:r>
          </w:p>
        </w:tc>
        <w:tc>
          <w:tcPr/>
          <w:p>
            <w:pPr>
              <w:pStyle w:val="Compact"/>
              <w:jc w:val="left"/>
            </w:pPr>
            <w:r>
              <w:t xml:space="preserve">No</w:t>
            </w:r>
          </w:p>
        </w:tc>
        <w:tc>
          <w:tcPr/>
          <w:p>
            <w:pPr>
              <w:pStyle w:val="Compact"/>
              <w:jc w:val="left"/>
            </w:pPr>
            <w:r>
              <w:t xml:space="preserve">Limited</w:t>
            </w:r>
          </w:p>
        </w:tc>
      </w:tr>
      <w:tr>
        <w:tc>
          <w:tcPr/>
          <w:p>
            <w:pPr>
              <w:pStyle w:val="Compact"/>
              <w:jc w:val="left"/>
            </w:pPr>
            <w:r>
              <w:rPr>
                <w:bCs/>
                <w:b/>
              </w:rPr>
              <w:t xml:space="preserve">25+ verticals</w:t>
            </w:r>
          </w:p>
        </w:tc>
        <w:tc>
          <w:tcPr/>
          <w:p>
            <w:pPr>
              <w:pStyle w:val="Compact"/>
              <w:jc w:val="left"/>
            </w:pPr>
            <w:r>
              <w:t xml:space="preserve">Planned</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EU compliant</w:t>
            </w:r>
          </w:p>
        </w:tc>
        <w:tc>
          <w:tcPr/>
          <w:p>
            <w:pPr>
              <w:pStyle w:val="Compact"/>
              <w:jc w:val="left"/>
            </w:pPr>
            <w:r>
              <w:t xml:space="preserve">Native</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Yes</w:t>
            </w:r>
          </w:p>
        </w:tc>
      </w:tr>
      <w:tr>
        <w:tc>
          <w:tcPr/>
          <w:p>
            <w:pPr>
              <w:pStyle w:val="Compact"/>
              <w:jc w:val="left"/>
            </w:pPr>
            <w:r>
              <w:rPr>
                <w:bCs/>
                <w:b/>
              </w:rPr>
              <w:t xml:space="preserve">&lt;100ms latency</w:t>
            </w:r>
          </w:p>
        </w:tc>
        <w:tc>
          <w:tcPr/>
          <w:p>
            <w:pPr>
              <w:pStyle w:val="Compact"/>
              <w:jc w:val="left"/>
            </w:pPr>
            <w:r>
              <w:t xml:space="preserve">Edge</w:t>
            </w:r>
          </w:p>
        </w:tc>
        <w:tc>
          <w:tcPr/>
          <w:p>
            <w:pPr>
              <w:pStyle w:val="Compact"/>
              <w:jc w:val="left"/>
            </w:pPr>
            <w:r>
              <w:t xml:space="preserve">No</w:t>
            </w:r>
          </w:p>
        </w:tc>
        <w:tc>
          <w:tcPr/>
          <w:p>
            <w:pPr>
              <w:pStyle w:val="Compact"/>
              <w:jc w:val="left"/>
            </w:pPr>
            <w:r>
              <w:t xml:space="preserve">No</w:t>
            </w:r>
          </w:p>
        </w:tc>
        <w:tc>
          <w:tcPr/>
          <w:p>
            <w:pPr>
              <w:pStyle w:val="Compact"/>
              <w:jc w:val="left"/>
            </w:pPr>
            <w:r>
              <w:t xml:space="preserve">Partial</w:t>
            </w:r>
          </w:p>
        </w:tc>
      </w:tr>
      <w:tr>
        <w:tc>
          <w:tcPr/>
          <w:p>
            <w:pPr>
              <w:pStyle w:val="Compact"/>
              <w:jc w:val="left"/>
            </w:pPr>
            <w:r>
              <w:rPr>
                <w:bCs/>
                <w:b/>
              </w:rPr>
              <w:t xml:space="preserve">SME accessible</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bl>
    <w:bookmarkEnd w:id="52"/>
    <w:bookmarkStart w:id="53" w:name="customer-segments"/>
    <w:p>
      <w:pPr>
        <w:pStyle w:val="Heading2"/>
      </w:pPr>
      <w:r>
        <w:t xml:space="preserve">3.3 Customer Segments</w:t>
      </w:r>
    </w:p>
    <w:p>
      <w:pPr>
        <w:pStyle w:val="FirstParagraph"/>
      </w:pPr>
      <w:r>
        <w:rPr>
          <w:bCs/>
          <w:b/>
        </w:rPr>
        <w:t xml:space="preserve">DWS10.com (Firehorse platform) target customers across 20 industries:</w:t>
      </w:r>
    </w:p>
    <w:p>
      <w:pPr>
        <w:pStyle w:val="BodyText"/>
      </w:pPr>
      <w:r>
        <w:rPr>
          <w:bCs/>
          <w:b/>
        </w:rPr>
        <w:t xml:space="preserve">Tier 1 - Critical Industries (Immediate sales focus):</w:t>
      </w:r>
    </w:p>
    <w:p>
      <w:pPr>
        <w:numPr>
          <w:ilvl w:val="0"/>
          <w:numId w:val="1022"/>
        </w:numPr>
        <w:pStyle w:val="Compact"/>
      </w:pPr>
      <w:r>
        <w:rPr>
          <w:bCs/>
          <w:b/>
        </w:rPr>
        <w:t xml:space="preserve">Construction:</w:t>
      </w:r>
      <w:r>
        <w:t xml:space="preserve"> </w:t>
      </w:r>
      <w:r>
        <w:t xml:space="preserve">NCC, Skanska, T2H, Vinci, Strabag (36-40% of EU emissions)</w:t>
      </w:r>
    </w:p>
    <w:p>
      <w:pPr>
        <w:numPr>
          <w:ilvl w:val="0"/>
          <w:numId w:val="1022"/>
        </w:numPr>
        <w:pStyle w:val="Compact"/>
      </w:pPr>
      <w:r>
        <w:rPr>
          <w:bCs/>
          <w:b/>
        </w:rPr>
        <w:t xml:space="preserve">Logistics:</w:t>
      </w:r>
      <w:r>
        <w:t xml:space="preserve"> </w:t>
      </w:r>
      <w:r>
        <w:t xml:space="preserve">Uber, Bolt, Kela, DB Schenker, DHL (EUR 7k MRR live)</w:t>
      </w:r>
    </w:p>
    <w:p>
      <w:pPr>
        <w:numPr>
          <w:ilvl w:val="0"/>
          <w:numId w:val="1022"/>
        </w:numPr>
        <w:pStyle w:val="Compact"/>
      </w:pPr>
      <w:r>
        <w:rPr>
          <w:bCs/>
          <w:b/>
        </w:rPr>
        <w:t xml:space="preserve">Manufacturing:</w:t>
      </w:r>
      <w:r>
        <w:t xml:space="preserve"> </w:t>
      </w:r>
      <w:r>
        <w:t xml:space="preserve">Kone, Wartsila, ABB, Valmet (ETS + CBAM)</w:t>
      </w:r>
    </w:p>
    <w:p>
      <w:pPr>
        <w:numPr>
          <w:ilvl w:val="0"/>
          <w:numId w:val="1022"/>
        </w:numPr>
        <w:pStyle w:val="Compact"/>
      </w:pPr>
      <w:r>
        <w:rPr>
          <w:bCs/>
          <w:b/>
        </w:rPr>
        <w:t xml:space="preserve">Energy:</w:t>
      </w:r>
      <w:r>
        <w:t xml:space="preserve"> </w:t>
      </w:r>
      <w:r>
        <w:t xml:space="preserve">Fortum, Helen, Vattenfall (25-30% of emissions)</w:t>
      </w:r>
    </w:p>
    <w:p>
      <w:pPr>
        <w:pStyle w:val="FirstParagraph"/>
      </w:pPr>
      <w:r>
        <w:rPr>
          <w:bCs/>
          <w:b/>
        </w:rPr>
        <w:t xml:space="preserve">Tier 2 - Important Industries (V1.1+ expansions):</w:t>
      </w:r>
    </w:p>
    <w:p>
      <w:pPr>
        <w:numPr>
          <w:ilvl w:val="0"/>
          <w:numId w:val="1023"/>
        </w:numPr>
        <w:pStyle w:val="Compact"/>
      </w:pPr>
      <w:r>
        <w:rPr>
          <w:bCs/>
          <w:b/>
        </w:rPr>
        <w:t xml:space="preserve">Agriculture:</w:t>
      </w:r>
      <w:r>
        <w:t xml:space="preserve"> </w:t>
      </w:r>
      <w:r>
        <w:t xml:space="preserve">Valio, Arla, agricultural cooperatives</w:t>
      </w:r>
    </w:p>
    <w:p>
      <w:pPr>
        <w:numPr>
          <w:ilvl w:val="0"/>
          <w:numId w:val="1023"/>
        </w:numPr>
        <w:pStyle w:val="Compact"/>
      </w:pPr>
      <w:r>
        <w:rPr>
          <w:bCs/>
          <w:b/>
        </w:rPr>
        <w:t xml:space="preserve">Healthcare:</w:t>
      </w:r>
      <w:r>
        <w:t xml:space="preserve"> </w:t>
      </w:r>
      <w:r>
        <w:t xml:space="preserve">Kela (live), HUS, private hospital chains</w:t>
      </w:r>
    </w:p>
    <w:p>
      <w:pPr>
        <w:numPr>
          <w:ilvl w:val="0"/>
          <w:numId w:val="1023"/>
        </w:numPr>
        <w:pStyle w:val="Compact"/>
      </w:pPr>
      <w:r>
        <w:rPr>
          <w:bCs/>
          <w:b/>
        </w:rPr>
        <w:t xml:space="preserve">Real Estate:</w:t>
      </w:r>
      <w:r>
        <w:t xml:space="preserve"> </w:t>
      </w:r>
      <w:r>
        <w:t xml:space="preserve">Kojamo, Sato, real estate investors</w:t>
      </w:r>
    </w:p>
    <w:p>
      <w:pPr>
        <w:numPr>
          <w:ilvl w:val="0"/>
          <w:numId w:val="1023"/>
        </w:numPr>
        <w:pStyle w:val="Compact"/>
      </w:pPr>
      <w:r>
        <w:rPr>
          <w:bCs/>
          <w:b/>
        </w:rPr>
        <w:t xml:space="preserve">Public Sector:</w:t>
      </w:r>
      <w:r>
        <w:t xml:space="preserve"> </w:t>
      </w:r>
      <w:r>
        <w:t xml:space="preserve">Municipalities, central government, defense</w:t>
      </w:r>
    </w:p>
    <w:bookmarkEnd w:id="53"/>
    <w:bookmarkStart w:id="54" w:name="regulatory-drivers"/>
    <w:p>
      <w:pPr>
        <w:pStyle w:val="Heading2"/>
      </w:pPr>
      <w:r>
        <w:t xml:space="preserve">3.4 Regulatory Drivers</w:t>
      </w:r>
    </w:p>
    <w:tbl>
      <w:tblPr>
        <w:tblStyle w:val="Table"/>
        <w:tblW w:type="pct" w:w="5000"/>
        <w:tblLook w:firstRow="1" w:lastRow="0" w:firstColumn="0" w:lastColumn="0" w:noHBand="0" w:noVBand="0" w:val="0020"/>
        <w:jc w:val="start"/>
      </w:tblPr>
      <w:tblGrid>
        <w:gridCol w:w="913"/>
        <w:gridCol w:w="1726"/>
        <w:gridCol w:w="3858"/>
        <w:gridCol w:w="1421"/>
      </w:tblGrid>
      <w:tr>
        <w:trPr>
          <w:tblHeader w:val="true"/>
        </w:trPr>
        <w:tc>
          <w:tcPr/>
          <w:p>
            <w:pPr>
              <w:pStyle w:val="Compact"/>
              <w:jc w:val="left"/>
            </w:pPr>
            <w:r>
              <w:t xml:space="preserve">Year</w:t>
            </w:r>
          </w:p>
        </w:tc>
        <w:tc>
          <w:tcPr/>
          <w:p>
            <w:pPr>
              <w:pStyle w:val="Compact"/>
              <w:jc w:val="left"/>
            </w:pPr>
            <w:r>
              <w:t xml:space="preserve">Driver</w:t>
            </w:r>
          </w:p>
        </w:tc>
        <w:tc>
          <w:tcPr/>
          <w:p>
            <w:pPr>
              <w:pStyle w:val="Compact"/>
              <w:jc w:val="left"/>
            </w:pPr>
            <w:r>
              <w:t xml:space="preserve">Affected Verticals</w:t>
            </w:r>
          </w:p>
        </w:tc>
        <w:tc>
          <w:tcPr/>
          <w:p>
            <w:pPr>
              <w:pStyle w:val="Compact"/>
              <w:jc w:val="left"/>
            </w:pPr>
            <w:r>
              <w:t xml:space="preserve">Market Size</w:t>
            </w:r>
          </w:p>
        </w:tc>
      </w:tr>
      <w:tr>
        <w:tc>
          <w:tcPr/>
          <w:p>
            <w:pPr>
              <w:pStyle w:val="Compact"/>
              <w:jc w:val="left"/>
            </w:pPr>
            <w:r>
              <w:t xml:space="preserve">2025-2026</w:t>
            </w:r>
          </w:p>
        </w:tc>
        <w:tc>
          <w:tcPr/>
          <w:p>
            <w:pPr>
              <w:pStyle w:val="Compact"/>
              <w:jc w:val="left"/>
            </w:pPr>
            <w:r>
              <w:rPr>
                <w:bCs/>
                <w:b/>
              </w:rPr>
              <w:t xml:space="preserve">CSRD</w:t>
            </w:r>
          </w:p>
        </w:tc>
        <w:tc>
          <w:tcPr/>
          <w:p>
            <w:pPr>
              <w:pStyle w:val="Compact"/>
              <w:jc w:val="left"/>
            </w:pPr>
            <w:r>
              <w:t xml:space="preserve">All large companies</w:t>
            </w:r>
          </w:p>
        </w:tc>
        <w:tc>
          <w:tcPr/>
          <w:p>
            <w:pPr>
              <w:pStyle w:val="Compact"/>
              <w:jc w:val="left"/>
            </w:pPr>
            <w:r>
              <w:t xml:space="preserve">EUR 2 billion</w:t>
            </w:r>
          </w:p>
        </w:tc>
      </w:tr>
      <w:tr>
        <w:tc>
          <w:tcPr/>
          <w:p>
            <w:pPr>
              <w:pStyle w:val="Compact"/>
              <w:jc w:val="left"/>
            </w:pPr>
            <w:r>
              <w:t xml:space="preserve">2026-2028</w:t>
            </w:r>
          </w:p>
        </w:tc>
        <w:tc>
          <w:tcPr/>
          <w:p>
            <w:pPr>
              <w:pStyle w:val="Compact"/>
              <w:jc w:val="left"/>
            </w:pPr>
            <w:r>
              <w:rPr>
                <w:bCs/>
                <w:b/>
              </w:rPr>
              <w:t xml:space="preserve">Fit for 55</w:t>
            </w:r>
          </w:p>
        </w:tc>
        <w:tc>
          <w:tcPr/>
          <w:p>
            <w:pPr>
              <w:pStyle w:val="Compact"/>
              <w:jc w:val="left"/>
            </w:pPr>
            <w:r>
              <w:t xml:space="preserve">Logistics, Construction</w:t>
            </w:r>
          </w:p>
        </w:tc>
        <w:tc>
          <w:tcPr/>
          <w:p>
            <w:pPr>
              <w:pStyle w:val="Compact"/>
              <w:jc w:val="left"/>
            </w:pPr>
            <w:r>
              <w:t xml:space="preserve">EUR 5 billion</w:t>
            </w:r>
          </w:p>
        </w:tc>
      </w:tr>
      <w:tr>
        <w:tc>
          <w:tcPr/>
          <w:p>
            <w:pPr>
              <w:pStyle w:val="Compact"/>
              <w:jc w:val="left"/>
            </w:pPr>
            <w:r>
              <w:t xml:space="preserve">2027-2030</w:t>
            </w:r>
          </w:p>
        </w:tc>
        <w:tc>
          <w:tcPr/>
          <w:p>
            <w:pPr>
              <w:pStyle w:val="Compact"/>
              <w:jc w:val="left"/>
            </w:pPr>
            <w:r>
              <w:rPr>
                <w:bCs/>
                <w:b/>
              </w:rPr>
              <w:t xml:space="preserve">EPBD</w:t>
            </w:r>
          </w:p>
        </w:tc>
        <w:tc>
          <w:tcPr/>
          <w:p>
            <w:pPr>
              <w:pStyle w:val="Compact"/>
              <w:jc w:val="left"/>
            </w:pPr>
            <w:r>
              <w:t xml:space="preserve">Real Estate, Construction</w:t>
            </w:r>
          </w:p>
        </w:tc>
        <w:tc>
          <w:tcPr/>
          <w:p>
            <w:pPr>
              <w:pStyle w:val="Compact"/>
              <w:jc w:val="left"/>
            </w:pPr>
            <w:r>
              <w:t xml:space="preserve">EUR 8 billion</w:t>
            </w:r>
          </w:p>
        </w:tc>
      </w:tr>
      <w:tr>
        <w:tc>
          <w:tcPr/>
          <w:p>
            <w:pPr>
              <w:pStyle w:val="Compact"/>
              <w:jc w:val="left"/>
            </w:pPr>
            <w:r>
              <w:t xml:space="preserve">2030-2035</w:t>
            </w:r>
          </w:p>
        </w:tc>
        <w:tc>
          <w:tcPr/>
          <w:p>
            <w:pPr>
              <w:pStyle w:val="Compact"/>
              <w:jc w:val="left"/>
            </w:pPr>
            <w:r>
              <w:rPr>
                <w:bCs/>
                <w:b/>
              </w:rPr>
              <w:t xml:space="preserve">ETS expansion</w:t>
            </w:r>
          </w:p>
        </w:tc>
        <w:tc>
          <w:tcPr/>
          <w:p>
            <w:pPr>
              <w:pStyle w:val="Compact"/>
              <w:jc w:val="left"/>
            </w:pPr>
            <w:r>
              <w:t xml:space="preserve">Healthcare, Manufacturing, Agriculture</w:t>
            </w:r>
          </w:p>
        </w:tc>
        <w:tc>
          <w:tcPr/>
          <w:p>
            <w:pPr>
              <w:pStyle w:val="Compact"/>
              <w:jc w:val="left"/>
            </w:pPr>
            <w:r>
              <w:t xml:space="preserve">EUR 10 billion</w:t>
            </w:r>
          </w:p>
        </w:tc>
      </w:tr>
    </w:tbl>
    <w:p>
      <w:pPr>
        <w:pStyle w:val="BodyText"/>
      </w:pPr>
      <w:r>
        <w:rPr>
          <w:bCs/>
          <w:b/>
        </w:rPr>
        <w:t xml:space="preserve">Total Addressable Market (TAM):</w:t>
      </w:r>
    </w:p>
    <w:p>
      <w:pPr>
        <w:numPr>
          <w:ilvl w:val="0"/>
          <w:numId w:val="1024"/>
        </w:numPr>
        <w:pStyle w:val="Compact"/>
      </w:pPr>
      <w:r>
        <w:t xml:space="preserve">Nordics: EUR 2.68 billion (10 years)</w:t>
      </w:r>
    </w:p>
    <w:p>
      <w:pPr>
        <w:numPr>
          <w:ilvl w:val="0"/>
          <w:numId w:val="1024"/>
        </w:numPr>
        <w:pStyle w:val="Compact"/>
      </w:pPr>
      <w:r>
        <w:t xml:space="preserve">EU: EUR 15-20 billion (10 years)</w:t>
      </w:r>
    </w:p>
    <w:p>
      <w:r>
        <w:pict>
          <v:rect style="width:0;height:1.5pt" o:hralign="center" o:hrstd="t" o:hr="t"/>
        </w:pict>
      </w:r>
    </w:p>
    <w:bookmarkEnd w:id="54"/>
    <w:bookmarkEnd w:id="55"/>
    <w:bookmarkStart w:id="79" w:name="dws6-operating-model-design"/>
    <w:p>
      <w:pPr>
        <w:pStyle w:val="Heading1"/>
      </w:pPr>
      <w:r>
        <w:t xml:space="preserve">4. DWS6 Operating Model Design</w:t>
      </w:r>
    </w:p>
    <w:p>
      <w:pPr>
        <w:pStyle w:val="FirstParagraph"/>
      </w:pPr>
      <w:r>
        <w:t xml:space="preserve">The DWS6 operating model is built on three distinct layers: Strategic, Operational, and Execution. This chapter documents each layer with evidence from live implementation.</w:t>
      </w:r>
    </w:p>
    <w:bookmarkStart w:id="59" w:name="strategic-layer-solution-factory-model"/>
    <w:p>
      <w:pPr>
        <w:pStyle w:val="Heading2"/>
      </w:pPr>
      <w:r>
        <w:t xml:space="preserve">4.1 Strategic Layer: Solution Factory Model</w:t>
      </w:r>
    </w:p>
    <w:p>
      <w:pPr>
        <w:pStyle w:val="FirstParagraph"/>
      </w:pPr>
      <w:r>
        <w:t xml:space="preserve">The Solution Factory model transforms DWS6 from a single product into a replicable platform for producing climate-intelligent industrial applications across multiple verticals.</w:t>
      </w:r>
    </w:p>
    <w:bookmarkStart w:id="56" w:name="solution-factory-architecture"/>
    <w:p>
      <w:pPr>
        <w:pStyle w:val="Heading3"/>
      </w:pPr>
      <w:r>
        <w:t xml:space="preserve">4.1.1 Solution Factory Architecture</w:t>
      </w:r>
    </w:p>
    <w:p>
      <w:pPr>
        <w:pStyle w:val="SourceCode"/>
      </w:pPr>
      <w:r>
        <w:rPr>
          <w:rStyle w:val="VerbatimChar"/>
        </w:rPr>
        <w:t xml:space="preserve">+-------------------------------------------------------------------+</w:t>
      </w:r>
      <w:r>
        <w:br/>
      </w:r>
      <w:r>
        <w:rPr>
          <w:rStyle w:val="VerbatimChar"/>
        </w:rPr>
        <w:t xml:space="preserve">|                    SOLUTION FACTORY ARCHITECTURE                    |</w:t>
      </w:r>
      <w:r>
        <w:br/>
      </w:r>
      <w:r>
        <w:rPr>
          <w:rStyle w:val="VerbatimChar"/>
        </w:rPr>
        <w:t xml:space="preserve">+-------------------------------------------------------------------+</w:t>
      </w:r>
      <w:r>
        <w:br/>
      </w:r>
      <w:r>
        <w:rPr>
          <w:rStyle w:val="VerbatimChar"/>
        </w:rPr>
        <w:t xml:space="preserve">|                                                                     |</w:t>
      </w:r>
      <w:r>
        <w:br/>
      </w:r>
      <w:r>
        <w:rPr>
          <w:rStyle w:val="VerbatimChar"/>
        </w:rPr>
        <w:t xml:space="preserve">|  INPUT: Customer problem + Industry vertical                        |</w:t>
      </w:r>
      <w:r>
        <w:br/>
      </w:r>
      <w:r>
        <w:rPr>
          <w:rStyle w:val="VerbatimChar"/>
        </w:rPr>
        <w:t xml:space="preserve">|         |                                                           |</w:t>
      </w:r>
      <w:r>
        <w:br/>
      </w:r>
      <w:r>
        <w:rPr>
          <w:rStyle w:val="VerbatimChar"/>
        </w:rPr>
        <w:t xml:space="preserve">|  PROCESS: AgentFoundry configuration + Signal coordination          |</w:t>
      </w:r>
      <w:r>
        <w:br/>
      </w:r>
      <w:r>
        <w:rPr>
          <w:rStyle w:val="VerbatimChar"/>
        </w:rPr>
        <w:t xml:space="preserve">|         |                                                           |</w:t>
      </w:r>
      <w:r>
        <w:br/>
      </w:r>
      <w:r>
        <w:rPr>
          <w:rStyle w:val="VerbatimChar"/>
        </w:rPr>
        <w:t xml:space="preserve">|  OUTPUT: Climate-intelligent industrial platform                    |</w:t>
      </w:r>
      <w:r>
        <w:br/>
      </w:r>
      <w:r>
        <w:rPr>
          <w:rStyle w:val="VerbatimChar"/>
        </w:rPr>
        <w:t xml:space="preserve">|                                                                     |</w:t>
      </w:r>
      <w:r>
        <w:br/>
      </w:r>
      <w:r>
        <w:rPr>
          <w:rStyle w:val="VerbatimChar"/>
        </w:rPr>
        <w:t xml:space="preserve">|  +-----------------+  +-----------------+  +-----------------+      |</w:t>
      </w:r>
      <w:r>
        <w:br/>
      </w:r>
      <w:r>
        <w:rPr>
          <w:rStyle w:val="VerbatimChar"/>
        </w:rPr>
        <w:t xml:space="preserve">|  |   VERTICAL 1    |  |   VERTICAL 2    |  |   VERTICAL N    |      |</w:t>
      </w:r>
      <w:r>
        <w:br/>
      </w:r>
      <w:r>
        <w:rPr>
          <w:rStyle w:val="VerbatimChar"/>
        </w:rPr>
        <w:t xml:space="preserve">|  |   Construction  |  |   Logistics     |  |   [Template]    |      |</w:t>
      </w:r>
      <w:r>
        <w:br/>
      </w:r>
      <w:r>
        <w:rPr>
          <w:rStyle w:val="VerbatimChar"/>
        </w:rPr>
        <w:t xml:space="preserve">|  +-----------------+  +-----------------+  +-----------------+      |</w:t>
      </w:r>
      <w:r>
        <w:br/>
      </w:r>
      <w:r>
        <w:rPr>
          <w:rStyle w:val="VerbatimChar"/>
        </w:rPr>
        <w:t xml:space="preserve">|  | * SiteSense     |  | * FleetOptimize |  | * Agent A       |      |</w:t>
      </w:r>
      <w:r>
        <w:br/>
      </w:r>
      <w:r>
        <w:rPr>
          <w:rStyle w:val="VerbatimChar"/>
        </w:rPr>
        <w:t xml:space="preserve">|  | * MaterialOracle|  | * RouteGenius   |  | * Agent B       |      |</w:t>
      </w:r>
      <w:r>
        <w:br/>
      </w:r>
      <w:r>
        <w:rPr>
          <w:rStyle w:val="VerbatimChar"/>
        </w:rPr>
        <w:t xml:space="preserve">|  | * ScheduleGenius|  | * CarbonTracker |  | * Agent C       |      |</w:t>
      </w:r>
      <w:r>
        <w:br/>
      </w:r>
      <w:r>
        <w:rPr>
          <w:rStyle w:val="VerbatimChar"/>
        </w:rPr>
        <w:t xml:space="preserve">|  | * CustomerSat   |  | * CustomerSat   |  | * CustomerSat   |      |</w:t>
      </w:r>
      <w:r>
        <w:br/>
      </w:r>
      <w:r>
        <w:rPr>
          <w:rStyle w:val="VerbatimChar"/>
        </w:rPr>
        <w:t xml:space="preserve">|  | * Viability     |  | * Viability     |  | * Viability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SHARED COMPONENTS:                                |</w:t>
      </w:r>
      <w:r>
        <w:br/>
      </w:r>
      <w:r>
        <w:rPr>
          <w:rStyle w:val="VerbatimChar"/>
        </w:rPr>
        <w:t xml:space="preserve">|           * Lifetime World Model (55B parameters)                   |</w:t>
      </w:r>
      <w:r>
        <w:br/>
      </w:r>
      <w:r>
        <w:rPr>
          <w:rStyle w:val="VerbatimChar"/>
        </w:rPr>
        <w:t xml:space="preserve">|           * MCP Hub orchestration                                   |</w:t>
      </w:r>
      <w:r>
        <w:br/>
      </w:r>
      <w:r>
        <w:rPr>
          <w:rStyle w:val="VerbatimChar"/>
        </w:rPr>
        <w:t xml:space="preserve">|           * Supabase + pgvector (data layer)                        |</w:t>
      </w:r>
      <w:r>
        <w:br/>
      </w:r>
      <w:r>
        <w:rPr>
          <w:rStyle w:val="VerbatimChar"/>
        </w:rPr>
        <w:t xml:space="preserve">|           * EU compliance engine                                    |</w:t>
      </w:r>
      <w:r>
        <w:br/>
      </w:r>
      <w:r>
        <w:rPr>
          <w:rStyle w:val="VerbatimChar"/>
        </w:rPr>
        <w:t xml:space="preserve">|                                                                     |</w:t>
      </w:r>
      <w:r>
        <w:br/>
      </w:r>
      <w:r>
        <w:rPr>
          <w:rStyle w:val="VerbatimChar"/>
        </w:rPr>
        <w:t xml:space="preserve">+-------------------------------------------------------------------+</w:t>
      </w:r>
    </w:p>
    <w:bookmarkEnd w:id="56"/>
    <w:bookmarkStart w:id="57" w:name="strategic-innovations"/>
    <w:p>
      <w:pPr>
        <w:pStyle w:val="Heading3"/>
      </w:pPr>
      <w:r>
        <w:t xml:space="preserve">4.1.2 Strategic Innovations</w:t>
      </w:r>
    </w:p>
    <w:p>
      <w:pPr>
        <w:pStyle w:val="FirstParagraph"/>
      </w:pPr>
      <w:r>
        <w:rPr>
          <w:bCs/>
          <w:b/>
        </w:rPr>
        <w:t xml:space="preserve">1. EU Compliance as Competitive Advantage</w:t>
      </w:r>
    </w:p>
    <w:p>
      <w:pPr>
        <w:numPr>
          <w:ilvl w:val="0"/>
          <w:numId w:val="1025"/>
        </w:numPr>
        <w:pStyle w:val="Compact"/>
      </w:pPr>
      <w:r>
        <w:t xml:space="preserve">Data residency: europe-north1 (Finland/Sweden)</w:t>
      </w:r>
    </w:p>
    <w:p>
      <w:pPr>
        <w:numPr>
          <w:ilvl w:val="0"/>
          <w:numId w:val="1025"/>
        </w:numPr>
        <w:pStyle w:val="Compact"/>
      </w:pPr>
      <w:r>
        <w:t xml:space="preserve">EU AI Act: Low-risk classification with human oversight</w:t>
      </w:r>
    </w:p>
    <w:p>
      <w:pPr>
        <w:numPr>
          <w:ilvl w:val="0"/>
          <w:numId w:val="1025"/>
        </w:numPr>
        <w:pStyle w:val="Compact"/>
      </w:pPr>
      <w:r>
        <w:t xml:space="preserve">NIS2: Security by design for critical infrastructure customers</w:t>
      </w:r>
    </w:p>
    <w:p>
      <w:pPr>
        <w:numPr>
          <w:ilvl w:val="0"/>
          <w:numId w:val="1025"/>
        </w:numPr>
        <w:pStyle w:val="Compact"/>
      </w:pPr>
      <w:r>
        <w:t xml:space="preserve">Fit for 55: Native carbon tracking for 2028 deadline</w:t>
      </w:r>
    </w:p>
    <w:p>
      <w:pPr>
        <w:pStyle w:val="FirstParagraph"/>
      </w:pPr>
      <w:r>
        <w:rPr>
          <w:bCs/>
          <w:b/>
        </w:rPr>
        <w:t xml:space="preserve">2. Network Effects Across Verticals</w:t>
      </w:r>
    </w:p>
    <w:p>
      <w:pPr>
        <w:numPr>
          <w:ilvl w:val="0"/>
          <w:numId w:val="1026"/>
        </w:numPr>
        <w:pStyle w:val="Compact"/>
      </w:pPr>
      <w:r>
        <w:t xml:space="preserve">Logistics route optimization data -&gt; Construction delivery scheduling</w:t>
      </w:r>
    </w:p>
    <w:p>
      <w:pPr>
        <w:numPr>
          <w:ilvl w:val="0"/>
          <w:numId w:val="1026"/>
        </w:numPr>
        <w:pStyle w:val="Compact"/>
      </w:pPr>
      <w:r>
        <w:t xml:space="preserve">Manufacturing quality data -&gt; Real estate maintenance prediction</w:t>
      </w:r>
    </w:p>
    <w:p>
      <w:pPr>
        <w:numPr>
          <w:ilvl w:val="0"/>
          <w:numId w:val="1026"/>
        </w:numPr>
        <w:pStyle w:val="Compact"/>
      </w:pPr>
      <w:r>
        <w:t xml:space="preserve">Energy consumption patterns -&gt; All verticals benefit</w:t>
      </w:r>
    </w:p>
    <w:bookmarkEnd w:id="57"/>
    <w:bookmarkStart w:id="58" w:name="customer-promise"/>
    <w:p>
      <w:pPr>
        <w:pStyle w:val="Heading3"/>
      </w:pPr>
      <w:r>
        <w:t xml:space="preserve">4.1.3 Customer Promise</w:t>
      </w:r>
    </w:p>
    <w:p>
      <w:pPr>
        <w:pStyle w:val="FirstParagraph"/>
      </w:pPr>
      <w:r>
        <w:rPr>
          <w:bCs/>
          <w:b/>
        </w:rPr>
        <w:t xml:space="preserve">Promise:</w:t>
      </w:r>
      <w:r>
        <w:t xml:space="preserve"> </w:t>
      </w:r>
      <w:r>
        <w:t xml:space="preserve">2-month payback period or money back</w:t>
      </w:r>
    </w:p>
    <w:p>
      <w:pPr>
        <w:pStyle w:val="BodyText"/>
      </w:pPr>
      <w:r>
        <w:rPr>
          <w:bCs/>
          <w:b/>
        </w:rPr>
        <w:t xml:space="preserve">Value proposition:</w:t>
      </w:r>
    </w:p>
    <w:p>
      <w:pPr>
        <w:numPr>
          <w:ilvl w:val="0"/>
          <w:numId w:val="1027"/>
        </w:numPr>
        <w:pStyle w:val="Compact"/>
      </w:pPr>
      <w:r>
        <w:t xml:space="preserve">Real-time emissions tracking (EU mandate 2028)</w:t>
      </w:r>
    </w:p>
    <w:p>
      <w:pPr>
        <w:numPr>
          <w:ilvl w:val="0"/>
          <w:numId w:val="1027"/>
        </w:numPr>
        <w:pStyle w:val="Compact"/>
      </w:pPr>
      <w:r>
        <w:t xml:space="preserve">Viability analysis (project profitability)</w:t>
      </w:r>
    </w:p>
    <w:p>
      <w:pPr>
        <w:numPr>
          <w:ilvl w:val="0"/>
          <w:numId w:val="1027"/>
        </w:numPr>
        <w:pStyle w:val="Compact"/>
      </w:pPr>
      <w:r>
        <w:t xml:space="preserve">Automated reports (saves 10h/week)</w:t>
      </w:r>
    </w:p>
    <w:p>
      <w:pPr>
        <w:pStyle w:val="FirstParagraph"/>
      </w:pPr>
      <w:r>
        <w:rPr>
          <w:bCs/>
          <w:b/>
        </w:rPr>
        <w:t xml:space="preserve">Validation:</w:t>
      </w:r>
      <w:r>
        <w:t xml:space="preserve"> </w:t>
      </w:r>
      <w:r>
        <w:t xml:space="preserve">EUR 10k MRR from Uber, Bolt, and Kela during pilot proves customer willingness to pay.</w:t>
      </w:r>
    </w:p>
    <w:bookmarkEnd w:id="58"/>
    <w:bookmarkEnd w:id="59"/>
    <w:bookmarkStart w:id="63" w:name="Xeae5d3dd19793e8e6f3ba2bed4eba21b9d1ea74"/>
    <w:p>
      <w:pPr>
        <w:pStyle w:val="Heading2"/>
      </w:pPr>
      <w:r>
        <w:t xml:space="preserve">4.2 Operational Layer: AgentFoundry and Lifetime Scope Signals</w:t>
      </w:r>
    </w:p>
    <w:p>
      <w:pPr>
        <w:pStyle w:val="FirstParagraph"/>
      </w:pPr>
      <w:r>
        <w:t xml:space="preserve">The operational layer documents the actual implementation mechanisms that enable the Solution Factory to function.</w:t>
      </w:r>
    </w:p>
    <w:bookmarkStart w:id="60" w:name="agentfoundry-architecture"/>
    <w:p>
      <w:pPr>
        <w:pStyle w:val="Heading3"/>
      </w:pPr>
      <w:r>
        <w:t xml:space="preserve">4.2.1 AgentFoundry Architecture</w:t>
      </w:r>
    </w:p>
    <w:p>
      <w:pPr>
        <w:pStyle w:val="FirstParagraph"/>
      </w:pPr>
      <w:r>
        <w:t xml:space="preserve">AgentFoundry is a multi-model, multi-tenant framework for deploying AI agents across industrial verticals.</w:t>
      </w:r>
    </w:p>
    <w:bookmarkEnd w:id="60"/>
    <w:bookmarkStart w:id="61" w:name="lifetime-scope-signals-protocol-1"/>
    <w:p>
      <w:pPr>
        <w:pStyle w:val="Heading3"/>
      </w:pPr>
      <w:r>
        <w:t xml:space="preserve">4.2.2 Lifetime Scope Signals Protocol</w:t>
      </w:r>
    </w:p>
    <w:p>
      <w:pPr>
        <w:pStyle w:val="FirstParagraph"/>
      </w:pPr>
      <w:r>
        <w:rPr>
          <w:bCs/>
          <w:b/>
        </w:rPr>
        <w:t xml:space="preserve">V1.0 Agent Fleet (10 agents):</w:t>
      </w:r>
    </w:p>
    <w:tbl>
      <w:tblPr>
        <w:tblStyle w:val="Table"/>
        <w:tblW w:type="pct" w:w="5000"/>
        <w:tblLook w:firstRow="1" w:lastRow="0" w:firstColumn="0" w:lastColumn="0" w:noHBand="0" w:noVBand="0" w:val="0020"/>
        <w:jc w:val="start"/>
      </w:tblPr>
      <w:tblGrid>
        <w:gridCol w:w="974"/>
        <w:gridCol w:w="2193"/>
        <w:gridCol w:w="609"/>
        <w:gridCol w:w="974"/>
        <w:gridCol w:w="3168"/>
      </w:tblGrid>
      <w:tr>
        <w:trPr>
          <w:tblHeader w:val="true"/>
        </w:trPr>
        <w:tc>
          <w:tcPr/>
          <w:p>
            <w:pPr>
              <w:pStyle w:val="Compact"/>
              <w:jc w:val="left"/>
            </w:pPr>
            <w:r>
              <w:t xml:space="preserve">ID</w:t>
            </w:r>
          </w:p>
        </w:tc>
        <w:tc>
          <w:tcPr/>
          <w:p>
            <w:pPr>
              <w:pStyle w:val="Compact"/>
              <w:jc w:val="left"/>
            </w:pPr>
            <w:r>
              <w:t xml:space="preserve">Name</w:t>
            </w:r>
          </w:p>
        </w:tc>
        <w:tc>
          <w:tcPr/>
          <w:p>
            <w:pPr>
              <w:pStyle w:val="Compact"/>
              <w:jc w:val="left"/>
            </w:pPr>
            <w:r>
              <w:t xml:space="preserve">Phase</w:t>
            </w:r>
          </w:p>
        </w:tc>
        <w:tc>
          <w:tcPr/>
          <w:p>
            <w:pPr>
              <w:pStyle w:val="Compact"/>
              <w:jc w:val="left"/>
            </w:pPr>
            <w:r>
              <w:t xml:space="preserve">Priority</w:t>
            </w:r>
          </w:p>
        </w:tc>
        <w:tc>
          <w:tcPr/>
          <w:p>
            <w:pPr>
              <w:pStyle w:val="Compact"/>
              <w:jc w:val="left"/>
            </w:pPr>
            <w:r>
              <w:t xml:space="preserve">Signals</w:t>
            </w:r>
          </w:p>
        </w:tc>
      </w:tr>
      <w:tr>
        <w:tc>
          <w:tcPr/>
          <w:p>
            <w:pPr>
              <w:pStyle w:val="Compact"/>
              <w:jc w:val="left"/>
            </w:pPr>
            <w:r>
              <w:t xml:space="preserve">Agent-01</w:t>
            </w:r>
          </w:p>
        </w:tc>
        <w:tc>
          <w:tcPr/>
          <w:p>
            <w:pPr>
              <w:pStyle w:val="Compact"/>
              <w:jc w:val="left"/>
            </w:pPr>
            <w:r>
              <w:t xml:space="preserve">DWS IQ Login</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jwt-service, supabase-auth</w:t>
            </w:r>
          </w:p>
        </w:tc>
      </w:tr>
      <w:tr>
        <w:tc>
          <w:tcPr/>
          <w:p>
            <w:pPr>
              <w:pStyle w:val="Compact"/>
              <w:jc w:val="left"/>
            </w:pPr>
            <w:r>
              <w:t xml:space="preserve">Agent-02</w:t>
            </w:r>
          </w:p>
        </w:tc>
        <w:tc>
          <w:tcPr/>
          <w:p>
            <w:pPr>
              <w:pStyle w:val="Compact"/>
              <w:jc w:val="left"/>
            </w:pPr>
            <w:r>
              <w:t xml:space="preserve">Firehorse Apps</w:t>
            </w:r>
          </w:p>
        </w:tc>
        <w:tc>
          <w:tcPr/>
          <w:p>
            <w:pPr>
              <w:pStyle w:val="Compact"/>
              <w:jc w:val="left"/>
            </w:pPr>
            <w:r>
              <w:t xml:space="preserve">2</w:t>
            </w:r>
          </w:p>
        </w:tc>
        <w:tc>
          <w:tcPr/>
          <w:p>
            <w:pPr>
              <w:pStyle w:val="Compact"/>
              <w:jc w:val="left"/>
            </w:pPr>
            <w:r>
              <w:t xml:space="preserve">Critical</w:t>
            </w:r>
          </w:p>
        </w:tc>
        <w:tc>
          <w:tcPr/>
          <w:p>
            <w:pPr>
              <w:pStyle w:val="Compact"/>
              <w:jc w:val="left"/>
            </w:pPr>
            <w:r>
              <w:t xml:space="preserve">report-api, automation-api</w:t>
            </w:r>
          </w:p>
        </w:tc>
      </w:tr>
      <w:tr>
        <w:tc>
          <w:tcPr/>
          <w:p>
            <w:pPr>
              <w:pStyle w:val="Compact"/>
              <w:jc w:val="left"/>
            </w:pPr>
            <w:r>
              <w:t xml:space="preserve">Agent-03</w:t>
            </w:r>
          </w:p>
        </w:tc>
        <w:tc>
          <w:tcPr/>
          <w:p>
            <w:pPr>
              <w:pStyle w:val="Compact"/>
              <w:jc w:val="left"/>
            </w:pPr>
            <w:r>
              <w:t xml:space="preserve">Customer Dashboard</w:t>
            </w:r>
          </w:p>
        </w:tc>
        <w:tc>
          <w:tcPr/>
          <w:p>
            <w:pPr>
              <w:pStyle w:val="Compact"/>
              <w:jc w:val="left"/>
            </w:pPr>
            <w:r>
              <w:t xml:space="preserve">3</w:t>
            </w:r>
          </w:p>
        </w:tc>
        <w:tc>
          <w:tcPr/>
          <w:p>
            <w:pPr>
              <w:pStyle w:val="Compact"/>
              <w:jc w:val="left"/>
            </w:pPr>
            <w:r>
              <w:t xml:space="preserve">Critical</w:t>
            </w:r>
          </w:p>
        </w:tc>
        <w:tc>
          <w:tcPr/>
          <w:p>
            <w:pPr>
              <w:pStyle w:val="Compact"/>
              <w:jc w:val="left"/>
            </w:pPr>
            <w:r>
              <w:t xml:space="preserve">dashboard-layout</w:t>
            </w:r>
          </w:p>
        </w:tc>
      </w:tr>
      <w:tr>
        <w:tc>
          <w:tcPr/>
          <w:p>
            <w:pPr>
              <w:pStyle w:val="Compact"/>
              <w:jc w:val="left"/>
            </w:pPr>
            <w:r>
              <w:t xml:space="preserve">Agent-04</w:t>
            </w:r>
          </w:p>
        </w:tc>
        <w:tc>
          <w:tcPr/>
          <w:p>
            <w:pPr>
              <w:pStyle w:val="Compact"/>
              <w:jc w:val="left"/>
            </w:pPr>
            <w:r>
              <w:t xml:space="preserve">AI Agents</w:t>
            </w:r>
          </w:p>
        </w:tc>
        <w:tc>
          <w:tcPr/>
          <w:p>
            <w:pPr>
              <w:pStyle w:val="Compact"/>
              <w:jc w:val="left"/>
            </w:pPr>
            <w:r>
              <w:t xml:space="preserve">2</w:t>
            </w:r>
          </w:p>
        </w:tc>
        <w:tc>
          <w:tcPr/>
          <w:p>
            <w:pPr>
              <w:pStyle w:val="Compact"/>
              <w:jc w:val="left"/>
            </w:pPr>
            <w:r>
              <w:t xml:space="preserve">Critical</w:t>
            </w:r>
          </w:p>
        </w:tc>
        <w:tc>
          <w:tcPr/>
          <w:p>
            <w:pPr>
              <w:pStyle w:val="Compact"/>
              <w:jc w:val="left"/>
            </w:pPr>
            <w:r>
              <w:t xml:space="preserve">mcp-hub, sitesense</w:t>
            </w:r>
          </w:p>
        </w:tc>
      </w:tr>
      <w:tr>
        <w:tc>
          <w:tcPr/>
          <w:p>
            <w:pPr>
              <w:pStyle w:val="Compact"/>
              <w:jc w:val="left"/>
            </w:pPr>
            <w:r>
              <w:t xml:space="preserve">Agent-05</w:t>
            </w:r>
          </w:p>
        </w:tc>
        <w:tc>
          <w:tcPr/>
          <w:p>
            <w:pPr>
              <w:pStyle w:val="Compact"/>
              <w:jc w:val="left"/>
            </w:pPr>
            <w:r>
              <w:t xml:space="preserve">Mobile Dashboard</w:t>
            </w:r>
          </w:p>
        </w:tc>
        <w:tc>
          <w:tcPr/>
          <w:p>
            <w:pPr>
              <w:pStyle w:val="Compact"/>
              <w:jc w:val="left"/>
            </w:pPr>
            <w:r>
              <w:t xml:space="preserve">3</w:t>
            </w:r>
          </w:p>
        </w:tc>
        <w:tc>
          <w:tcPr/>
          <w:p>
            <w:pPr>
              <w:pStyle w:val="Compact"/>
              <w:jc w:val="left"/>
            </w:pPr>
            <w:r>
              <w:t xml:space="preserve">High</w:t>
            </w:r>
          </w:p>
        </w:tc>
        <w:tc>
          <w:tcPr/>
          <w:p>
            <w:pPr>
              <w:pStyle w:val="Compact"/>
              <w:jc w:val="left"/>
            </w:pPr>
            <w:r>
              <w:t xml:space="preserve">offline-sync</w:t>
            </w:r>
          </w:p>
        </w:tc>
      </w:tr>
      <w:tr>
        <w:tc>
          <w:tcPr/>
          <w:p>
            <w:pPr>
              <w:pStyle w:val="Compact"/>
              <w:jc w:val="left"/>
            </w:pPr>
            <w:r>
              <w:t xml:space="preserve">Agent-06</w:t>
            </w:r>
          </w:p>
        </w:tc>
        <w:tc>
          <w:tcPr/>
          <w:p>
            <w:pPr>
              <w:pStyle w:val="Compact"/>
              <w:jc w:val="left"/>
            </w:pPr>
            <w:r>
              <w:t xml:space="preserve">Enterprise</w:t>
            </w:r>
          </w:p>
        </w:tc>
        <w:tc>
          <w:tcPr/>
          <w:p>
            <w:pPr>
              <w:pStyle w:val="Compact"/>
              <w:jc w:val="left"/>
            </w:pPr>
            <w:r>
              <w:t xml:space="preserve">V1.1</w:t>
            </w:r>
          </w:p>
        </w:tc>
        <w:tc>
          <w:tcPr/>
          <w:p>
            <w:pPr>
              <w:pStyle w:val="Compact"/>
              <w:jc w:val="left"/>
            </w:pPr>
            <w:r>
              <w:t xml:space="preserve">Low</w:t>
            </w:r>
          </w:p>
        </w:tc>
        <w:tc>
          <w:tcPr/>
          <w:p>
            <w:pPr>
              <w:pStyle w:val="Compact"/>
              <w:jc w:val="left"/>
            </w:pPr>
            <w:r>
              <w:t xml:space="preserve">(Deferred)</w:t>
            </w:r>
          </w:p>
        </w:tc>
      </w:tr>
      <w:tr>
        <w:tc>
          <w:tcPr/>
          <w:p>
            <w:pPr>
              <w:pStyle w:val="Compact"/>
              <w:jc w:val="left"/>
            </w:pPr>
            <w:r>
              <w:t xml:space="preserve">Agent-07</w:t>
            </w:r>
          </w:p>
        </w:tc>
        <w:tc>
          <w:tcPr/>
          <w:p>
            <w:pPr>
              <w:pStyle w:val="Compact"/>
              <w:jc w:val="left"/>
            </w:pPr>
            <w:r>
              <w:t xml:space="preserve">Supabase Database</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schema-users, rls-policies</w:t>
            </w:r>
          </w:p>
        </w:tc>
      </w:tr>
      <w:tr>
        <w:tc>
          <w:tcPr/>
          <w:p>
            <w:pPr>
              <w:pStyle w:val="Compact"/>
              <w:jc w:val="left"/>
            </w:pPr>
            <w:r>
              <w:t xml:space="preserve">Agent-08</w:t>
            </w:r>
          </w:p>
        </w:tc>
        <w:tc>
          <w:tcPr/>
          <w:p>
            <w:pPr>
              <w:pStyle w:val="Compact"/>
              <w:jc w:val="left"/>
            </w:pPr>
            <w:r>
              <w:t xml:space="preserve">Payments</w:t>
            </w:r>
          </w:p>
        </w:tc>
        <w:tc>
          <w:tcPr/>
          <w:p>
            <w:pPr>
              <w:pStyle w:val="Compact"/>
              <w:jc w:val="left"/>
            </w:pPr>
            <w:r>
              <w:t xml:space="preserve">4</w:t>
            </w:r>
          </w:p>
        </w:tc>
        <w:tc>
          <w:tcPr/>
          <w:p>
            <w:pPr>
              <w:pStyle w:val="Compact"/>
              <w:jc w:val="left"/>
            </w:pPr>
            <w:r>
              <w:t xml:space="preserve">Medium</w:t>
            </w:r>
          </w:p>
        </w:tc>
        <w:tc>
          <w:tcPr/>
          <w:p>
            <w:pPr>
              <w:pStyle w:val="Compact"/>
              <w:jc w:val="left"/>
            </w:pPr>
            <w:r>
              <w:t xml:space="preserve">stripe-setup</w:t>
            </w:r>
          </w:p>
        </w:tc>
      </w:tr>
      <w:tr>
        <w:tc>
          <w:tcPr/>
          <w:p>
            <w:pPr>
              <w:pStyle w:val="Compact"/>
              <w:jc w:val="left"/>
            </w:pPr>
            <w:r>
              <w:t xml:space="preserve">Agent-09</w:t>
            </w:r>
          </w:p>
        </w:tc>
        <w:tc>
          <w:tcPr/>
          <w:p>
            <w:pPr>
              <w:pStyle w:val="Compact"/>
              <w:jc w:val="left"/>
            </w:pPr>
            <w:r>
              <w:t xml:space="preserve">Email System</w:t>
            </w:r>
          </w:p>
        </w:tc>
        <w:tc>
          <w:tcPr/>
          <w:p>
            <w:pPr>
              <w:pStyle w:val="Compact"/>
              <w:jc w:val="left"/>
            </w:pPr>
            <w:r>
              <w:t xml:space="preserve">2</w:t>
            </w:r>
          </w:p>
        </w:tc>
        <w:tc>
          <w:tcPr/>
          <w:p>
            <w:pPr>
              <w:pStyle w:val="Compact"/>
              <w:jc w:val="left"/>
            </w:pPr>
            <w:r>
              <w:t xml:space="preserve">High</w:t>
            </w:r>
          </w:p>
        </w:tc>
        <w:tc>
          <w:tcPr/>
          <w:p>
            <w:pPr>
              <w:pStyle w:val="Compact"/>
              <w:jc w:val="left"/>
            </w:pPr>
            <w:r>
              <w:t xml:space="preserve">transactional</w:t>
            </w:r>
          </w:p>
        </w:tc>
      </w:tr>
      <w:tr>
        <w:tc>
          <w:tcPr/>
          <w:p>
            <w:pPr>
              <w:pStyle w:val="Compact"/>
              <w:jc w:val="left"/>
            </w:pPr>
            <w:r>
              <w:t xml:space="preserve">Agent-10</w:t>
            </w:r>
          </w:p>
        </w:tc>
        <w:tc>
          <w:tcPr/>
          <w:p>
            <w:pPr>
              <w:pStyle w:val="Compact"/>
              <w:jc w:val="left"/>
            </w:pPr>
            <w:r>
              <w:t xml:space="preserve">Documentation</w:t>
            </w:r>
          </w:p>
        </w:tc>
        <w:tc>
          <w:tcPr/>
          <w:p>
            <w:pPr>
              <w:pStyle w:val="Compact"/>
              <w:jc w:val="left"/>
            </w:pPr>
            <w:r>
              <w:t xml:space="preserve">1</w:t>
            </w:r>
          </w:p>
        </w:tc>
        <w:tc>
          <w:tcPr/>
          <w:p>
            <w:pPr>
              <w:pStyle w:val="Compact"/>
              <w:jc w:val="left"/>
            </w:pPr>
            <w:r>
              <w:t xml:space="preserve">Low</w:t>
            </w:r>
          </w:p>
        </w:tc>
        <w:tc>
          <w:tcPr/>
          <w:p>
            <w:pPr>
              <w:pStyle w:val="Compact"/>
              <w:jc w:val="left"/>
            </w:pPr>
            <w:r>
              <w:t xml:space="preserve">api-docs</w:t>
            </w:r>
          </w:p>
        </w:tc>
      </w:tr>
    </w:tbl>
    <w:bookmarkEnd w:id="61"/>
    <w:bookmarkStart w:id="62" w:name="three-phase-deployment-model"/>
    <w:p>
      <w:pPr>
        <w:pStyle w:val="Heading3"/>
      </w:pPr>
      <w:r>
        <w:t xml:space="preserve">4.2.3 Three-Phase Deployment Model</w:t>
      </w:r>
    </w:p>
    <w:p>
      <w:pPr>
        <w:pStyle w:val="FirstParagraph"/>
      </w:pPr>
      <w:r>
        <w:rPr>
          <w:bCs/>
          <w:b/>
        </w:rPr>
        <w:t xml:space="preserve">Phase 1: Silent Pilot (30 days)</w:t>
      </w:r>
    </w:p>
    <w:p>
      <w:pPr>
        <w:numPr>
          <w:ilvl w:val="0"/>
          <w:numId w:val="1028"/>
        </w:numPr>
        <w:pStyle w:val="Compact"/>
      </w:pPr>
      <w:r>
        <w:t xml:space="preserve">Agent observes and records all operations</w:t>
      </w:r>
    </w:p>
    <w:p>
      <w:pPr>
        <w:numPr>
          <w:ilvl w:val="0"/>
          <w:numId w:val="1028"/>
        </w:numPr>
        <w:pStyle w:val="Compact"/>
      </w:pPr>
      <w:r>
        <w:t xml:space="preserve">No actions on customer systems</w:t>
      </w:r>
    </w:p>
    <w:p>
      <w:pPr>
        <w:numPr>
          <w:ilvl w:val="0"/>
          <w:numId w:val="1028"/>
        </w:numPr>
        <w:pStyle w:val="Compact"/>
      </w:pPr>
      <w:r>
        <w:t xml:space="preserve">Builds baseline understanding of operations</w:t>
      </w:r>
    </w:p>
    <w:p>
      <w:pPr>
        <w:pStyle w:val="FirstParagraph"/>
      </w:pPr>
      <w:r>
        <w:rPr>
          <w:bCs/>
          <w:b/>
        </w:rPr>
        <w:t xml:space="preserve">Phase 2: Advisor (60 days)</w:t>
      </w:r>
    </w:p>
    <w:p>
      <w:pPr>
        <w:numPr>
          <w:ilvl w:val="0"/>
          <w:numId w:val="1029"/>
        </w:numPr>
        <w:pStyle w:val="Compact"/>
      </w:pPr>
      <w:r>
        <w:t xml:space="preserve">Agent recommends actions</w:t>
      </w:r>
    </w:p>
    <w:p>
      <w:pPr>
        <w:numPr>
          <w:ilvl w:val="0"/>
          <w:numId w:val="1029"/>
        </w:numPr>
        <w:pStyle w:val="Compact"/>
      </w:pPr>
      <w:r>
        <w:t xml:space="preserve">All recommendations require human approval</w:t>
      </w:r>
    </w:p>
    <w:p>
      <w:pPr>
        <w:numPr>
          <w:ilvl w:val="0"/>
          <w:numId w:val="1029"/>
        </w:numPr>
        <w:pStyle w:val="Compact"/>
      </w:pPr>
      <w:r>
        <w:t xml:space="preserve">Builds trust through accurate predictions</w:t>
      </w:r>
    </w:p>
    <w:p>
      <w:pPr>
        <w:pStyle w:val="FirstParagraph"/>
      </w:pPr>
      <w:r>
        <w:rPr>
          <w:bCs/>
          <w:b/>
        </w:rPr>
        <w:t xml:space="preserve">Phase 3: Autonomous</w:t>
      </w:r>
    </w:p>
    <w:p>
      <w:pPr>
        <w:numPr>
          <w:ilvl w:val="0"/>
          <w:numId w:val="1030"/>
        </w:numPr>
        <w:pStyle w:val="Compact"/>
      </w:pPr>
      <w:r>
        <w:t xml:space="preserve">Agent executes within defined guardrails</w:t>
      </w:r>
    </w:p>
    <w:p>
      <w:pPr>
        <w:numPr>
          <w:ilvl w:val="0"/>
          <w:numId w:val="1030"/>
        </w:numPr>
        <w:pStyle w:val="Compact"/>
      </w:pPr>
      <w:r>
        <w:t xml:space="preserve">Human oversight for exceptions</w:t>
      </w:r>
    </w:p>
    <w:p>
      <w:pPr>
        <w:numPr>
          <w:ilvl w:val="0"/>
          <w:numId w:val="1030"/>
        </w:numPr>
        <w:pStyle w:val="Compact"/>
      </w:pPr>
      <w:r>
        <w:t xml:space="preserve">Continuous monitoring and adjustment</w:t>
      </w:r>
    </w:p>
    <w:bookmarkEnd w:id="62"/>
    <w:bookmarkEnd w:id="63"/>
    <w:bookmarkStart w:id="66" w:name="X5b48c8bce01f9a2094484e395de2044fba3db76"/>
    <w:p>
      <w:pPr>
        <w:pStyle w:val="Heading2"/>
      </w:pPr>
      <w:r>
        <w:t xml:space="preserve">4.3 Execution Layer: Brain-Memory-Body-Hands Architecture</w:t>
      </w:r>
    </w:p>
    <w:bookmarkStart w:id="64" w:name="hybrid-cloud-edge-architecture"/>
    <w:p>
      <w:pPr>
        <w:pStyle w:val="Heading3"/>
      </w:pPr>
      <w:r>
        <w:t xml:space="preserve">4.3.1 Hybrid Cloud-Edge Architecture</w:t>
      </w:r>
    </w:p>
    <w:p>
      <w:pPr>
        <w:pStyle w:val="SourceCode"/>
      </w:pPr>
      <w:r>
        <w:rPr>
          <w:rStyle w:val="VerbatimChar"/>
        </w:rPr>
        <w:t xml:space="preserve">+-------------------------------------------------+</w:t>
      </w:r>
      <w:r>
        <w:br/>
      </w:r>
      <w:r>
        <w:rPr>
          <w:rStyle w:val="VerbatimChar"/>
        </w:rPr>
        <w:t xml:space="preserve">|  DWS6 HYBRID ARCHITECTURE                        |</w:t>
      </w:r>
      <w:r>
        <w:br/>
      </w:r>
      <w:r>
        <w:rPr>
          <w:rStyle w:val="VerbatimChar"/>
        </w:rPr>
        <w:t xml:space="preserve">+-------------------------------------------------+</w:t>
      </w:r>
      <w:r>
        <w:br/>
      </w:r>
      <w:r>
        <w:rPr>
          <w:rStyle w:val="VerbatimChar"/>
        </w:rPr>
        <w:t xml:space="preserve">|                                                   |</w:t>
      </w:r>
      <w:r>
        <w:br/>
      </w:r>
      <w:r>
        <w:rPr>
          <w:rStyle w:val="VerbatimChar"/>
        </w:rPr>
        <w:t xml:space="preserve">|  CLOUD LAYER (Google Cloud Run)                   |</w:t>
      </w:r>
      <w:r>
        <w:br/>
      </w:r>
      <w:r>
        <w:rPr>
          <w:rStyle w:val="VerbatimChar"/>
        </w:rPr>
        <w:t xml:space="preserve">|  +- Groq API Router (FastAPI)                     |</w:t>
      </w:r>
      <w:r>
        <w:br/>
      </w:r>
      <w:r>
        <w:rPr>
          <w:rStyle w:val="VerbatimChar"/>
        </w:rPr>
        <w:t xml:space="preserve">|  +- Supabase (PostgreSQL)                         |</w:t>
      </w:r>
      <w:r>
        <w:br/>
      </w:r>
      <w:r>
        <w:rPr>
          <w:rStyle w:val="VerbatimChar"/>
        </w:rPr>
        <w:t xml:space="preserve">|  +- Agent orchestration (LlamaStack)              |</w:t>
      </w:r>
      <w:r>
        <w:br/>
      </w:r>
      <w:r>
        <w:rPr>
          <w:rStyle w:val="VerbatimChar"/>
        </w:rPr>
        <w:t xml:space="preserve">|                                                   |</w:t>
      </w:r>
      <w:r>
        <w:br/>
      </w:r>
      <w:r>
        <w:rPr>
          <w:rStyle w:val="VerbatimChar"/>
        </w:rPr>
        <w:t xml:space="preserve">|  EDGE LAYER (NVIDIA Jetson Orin Nano)             |</w:t>
      </w:r>
      <w:r>
        <w:br/>
      </w:r>
      <w:r>
        <w:rPr>
          <w:rStyle w:val="VerbatimChar"/>
        </w:rPr>
        <w:t xml:space="preserve">|  +- SiteSense agent (construction site monitoring)|</w:t>
      </w:r>
      <w:r>
        <w:br/>
      </w:r>
      <w:r>
        <w:rPr>
          <w:rStyle w:val="VerbatimChar"/>
        </w:rPr>
        <w:t xml:space="preserve">|  +- Offline operation (no network required)       |</w:t>
      </w:r>
      <w:r>
        <w:br/>
      </w:r>
      <w:r>
        <w:rPr>
          <w:rStyle w:val="VerbatimChar"/>
        </w:rPr>
        <w:t xml:space="preserve">|  +- &lt;100ms latency (25x faster than cloud)        |</w:t>
      </w:r>
      <w:r>
        <w:br/>
      </w:r>
      <w:r>
        <w:rPr>
          <w:rStyle w:val="VerbatimChar"/>
        </w:rPr>
        <w:t xml:space="preserve">|                                                   |</w:t>
      </w:r>
      <w:r>
        <w:br/>
      </w:r>
      <w:r>
        <w:rPr>
          <w:rStyle w:val="VerbatimChar"/>
        </w:rPr>
        <w:t xml:space="preserve">|  CLIENT LAYER (Chromebook PWA)                    |</w:t>
      </w:r>
      <w:r>
        <w:br/>
      </w:r>
      <w:r>
        <w:rPr>
          <w:rStyle w:val="VerbatimChar"/>
        </w:rPr>
        <w:t xml:space="preserve">|  +- Progressive Web App                           |</w:t>
      </w:r>
      <w:r>
        <w:br/>
      </w:r>
      <w:r>
        <w:rPr>
          <w:rStyle w:val="VerbatimChar"/>
        </w:rPr>
        <w:t xml:space="preserve">|  +- Offline-first design                          |</w:t>
      </w:r>
      <w:r>
        <w:br/>
      </w:r>
      <w:r>
        <w:rPr>
          <w:rStyle w:val="VerbatimChar"/>
        </w:rPr>
        <w:t xml:space="preserve">|  +- EU data residency (GDPR-compliant)            |</w:t>
      </w:r>
      <w:r>
        <w:br/>
      </w:r>
      <w:r>
        <w:rPr>
          <w:rStyle w:val="VerbatimChar"/>
        </w:rPr>
        <w:t xml:space="preserve">|                                                   |</w:t>
      </w:r>
      <w:r>
        <w:br/>
      </w:r>
      <w:r>
        <w:rPr>
          <w:rStyle w:val="VerbatimChar"/>
        </w:rPr>
        <w:t xml:space="preserve">+-------------------------------------------------+</w:t>
      </w:r>
    </w:p>
    <w:bookmarkEnd w:id="64"/>
    <w:bookmarkStart w:id="65" w:name="X4823c57ba6ead05995c82df037de3b31ce45912"/>
    <w:p>
      <w:pPr>
        <w:pStyle w:val="Heading3"/>
      </w:pPr>
      <w:r>
        <w:t xml:space="preserve">4.3.2 MCP Hub Multi-Agent Orchestration Platform</w:t>
      </w:r>
    </w:p>
    <w:p>
      <w:pPr>
        <w:pStyle w:val="FirstParagraph"/>
      </w:pPr>
      <w:r>
        <w:rPr>
          <w:bCs/>
          <w:b/>
        </w:rPr>
        <w:t xml:space="preserve">Vision:</w:t>
      </w:r>
      <w:r>
        <w:t xml:space="preserve"> </w:t>
      </w:r>
      <w:r>
        <w:t xml:space="preserve">Control plane that coordinates Cursor, Claude, Gemini, and DWS IQ agents with construction planning tools and Lifetime Firehorse products.</w:t>
      </w:r>
    </w:p>
    <w:p>
      <w:pPr>
        <w:pStyle w:val="BodyText"/>
      </w:pPr>
      <w:r>
        <w:rPr>
          <w:bCs/>
          <w:b/>
        </w:rPr>
        <w:t xml:space="preserve">Business impact:</w:t>
      </w:r>
    </w:p>
    <w:p>
      <w:pPr>
        <w:numPr>
          <w:ilvl w:val="0"/>
          <w:numId w:val="1031"/>
        </w:numPr>
        <w:pStyle w:val="Compact"/>
      </w:pPr>
      <w:r>
        <w:t xml:space="preserve">+62% development velocity</w:t>
      </w:r>
    </w:p>
    <w:p>
      <w:pPr>
        <w:numPr>
          <w:ilvl w:val="0"/>
          <w:numId w:val="1031"/>
        </w:numPr>
        <w:pStyle w:val="Compact"/>
      </w:pPr>
      <w:r>
        <w:t xml:space="preserve">-73% bug reduction</w:t>
      </w:r>
    </w:p>
    <w:p>
      <w:pPr>
        <w:numPr>
          <w:ilvl w:val="0"/>
          <w:numId w:val="1031"/>
        </w:numPr>
        <w:pStyle w:val="Compact"/>
      </w:pPr>
      <w:r>
        <w:t xml:space="preserve">EUR 23,640/year savings</w:t>
      </w:r>
    </w:p>
    <w:p>
      <w:pPr>
        <w:numPr>
          <w:ilvl w:val="0"/>
          <w:numId w:val="1031"/>
        </w:numPr>
        <w:pStyle w:val="Compact"/>
      </w:pPr>
      <w:r>
        <w:t xml:space="preserve">17.2 months runway on EUR 150K SAFE (vs 6.7 months without MCP)</w:t>
      </w:r>
    </w:p>
    <w:bookmarkEnd w:id="65"/>
    <w:bookmarkEnd w:id="66"/>
    <w:bookmarkStart w:id="67" w:name="cost-model"/>
    <w:p>
      <w:pPr>
        <w:pStyle w:val="Heading2"/>
      </w:pPr>
      <w:r>
        <w:t xml:space="preserve">4.4 Cost Model</w:t>
      </w:r>
    </w:p>
    <w:tbl>
      <w:tblPr>
        <w:tblStyle w:val="Table"/>
        <w:tblW w:type="pct" w:w="5000"/>
        <w:tblLook w:firstRow="1" w:lastRow="0" w:firstColumn="0" w:lastColumn="0" w:noHBand="0" w:noVBand="0" w:val="0020"/>
        <w:jc w:val="start"/>
      </w:tblPr>
      <w:tblGrid>
        <w:gridCol w:w="950"/>
        <w:gridCol w:w="1689"/>
        <w:gridCol w:w="5280"/>
      </w:tblGrid>
      <w:tr>
        <w:trPr>
          <w:tblHeader w:val="true"/>
        </w:trPr>
        <w:tc>
          <w:tcPr/>
          <w:p>
            <w:pPr>
              <w:pStyle w:val="Compact"/>
              <w:jc w:val="left"/>
            </w:pPr>
            <w:r>
              <w:t xml:space="preserve">Phase</w:t>
            </w:r>
          </w:p>
        </w:tc>
        <w:tc>
          <w:tcPr/>
          <w:p>
            <w:pPr>
              <w:pStyle w:val="Compact"/>
              <w:jc w:val="left"/>
            </w:pPr>
            <w:r>
              <w:t xml:space="preserve">Cost</w:t>
            </w:r>
          </w:p>
        </w:tc>
        <w:tc>
          <w:tcPr/>
          <w:p>
            <w:pPr>
              <w:pStyle w:val="Compact"/>
              <w:jc w:val="left"/>
            </w:pPr>
            <w:r>
              <w:t xml:space="preserve">Technology</w:t>
            </w:r>
          </w:p>
        </w:tc>
      </w:tr>
      <w:tr>
        <w:tc>
          <w:tcPr/>
          <w:p>
            <w:pPr>
              <w:pStyle w:val="Compact"/>
              <w:jc w:val="left"/>
            </w:pPr>
            <w:r>
              <w:rPr>
                <w:bCs/>
                <w:b/>
              </w:rPr>
              <w:t xml:space="preserve">MVP</w:t>
            </w:r>
          </w:p>
        </w:tc>
        <w:tc>
          <w:tcPr/>
          <w:p>
            <w:pPr>
              <w:pStyle w:val="Compact"/>
              <w:jc w:val="left"/>
            </w:pPr>
            <w:r>
              <w:t xml:space="preserve">EUR 0/month</w:t>
            </w:r>
          </w:p>
        </w:tc>
        <w:tc>
          <w:tcPr/>
          <w:p>
            <w:pPr>
              <w:pStyle w:val="Compact"/>
              <w:jc w:val="left"/>
            </w:pPr>
            <w:r>
              <w:t xml:space="preserve">Cloud Run free tier + Cursor Pro + Claude Code Max</w:t>
            </w:r>
          </w:p>
        </w:tc>
      </w:tr>
      <w:tr>
        <w:tc>
          <w:tcPr/>
          <w:p>
            <w:pPr>
              <w:pStyle w:val="Compact"/>
              <w:jc w:val="left"/>
            </w:pPr>
            <w:r>
              <w:rPr>
                <w:bCs/>
                <w:b/>
              </w:rPr>
              <w:t xml:space="preserve">Alpha</w:t>
            </w:r>
          </w:p>
        </w:tc>
        <w:tc>
          <w:tcPr/>
          <w:p>
            <w:pPr>
              <w:pStyle w:val="Compact"/>
              <w:jc w:val="left"/>
            </w:pPr>
            <w:r>
              <w:t xml:space="preserve">EUR 50-150/month</w:t>
            </w:r>
          </w:p>
        </w:tc>
        <w:tc>
          <w:tcPr/>
          <w:p>
            <w:pPr>
              <w:pStyle w:val="Compact"/>
              <w:jc w:val="left"/>
            </w:pPr>
            <w:r>
              <w:t xml:space="preserve">Groq + Supabase Pro</w:t>
            </w:r>
          </w:p>
        </w:tc>
      </w:tr>
      <w:tr>
        <w:tc>
          <w:tcPr/>
          <w:p>
            <w:pPr>
              <w:pStyle w:val="Compact"/>
              <w:jc w:val="left"/>
            </w:pPr>
            <w:r>
              <w:rPr>
                <w:bCs/>
                <w:b/>
              </w:rPr>
              <w:t xml:space="preserve">V1</w:t>
            </w:r>
          </w:p>
        </w:tc>
        <w:tc>
          <w:tcPr/>
          <w:p>
            <w:pPr>
              <w:pStyle w:val="Compact"/>
              <w:jc w:val="left"/>
            </w:pPr>
            <w:r>
              <w:t xml:space="preserve">EUR 350/month</w:t>
            </w:r>
          </w:p>
        </w:tc>
        <w:tc>
          <w:tcPr/>
          <w:p>
            <w:pPr>
              <w:pStyle w:val="Compact"/>
              <w:jc w:val="left"/>
            </w:pPr>
            <w:r>
              <w:t xml:space="preserve">Groq + Supabase + Monitoring</w:t>
            </w:r>
          </w:p>
        </w:tc>
      </w:tr>
    </w:tbl>
    <w:bookmarkEnd w:id="67"/>
    <w:bookmarkStart w:id="68" w:name="go-to-market-strategy"/>
    <w:p>
      <w:pPr>
        <w:pStyle w:val="Heading2"/>
      </w:pPr>
      <w:r>
        <w:t xml:space="preserve">4.5 Go-to-Market Strategy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Customers</w:t>
            </w:r>
          </w:p>
        </w:tc>
        <w:tc>
          <w:tcPr/>
          <w:p>
            <w:pPr>
              <w:pStyle w:val="Compact"/>
              <w:jc w:val="left"/>
            </w:pPr>
            <w:r>
              <w:t xml:space="preserve">Agents</w:t>
            </w:r>
          </w:p>
        </w:tc>
      </w:tr>
      <w:tr>
        <w:tc>
          <w:tcPr/>
          <w:p>
            <w:pPr>
              <w:pStyle w:val="Compact"/>
              <w:jc w:val="left"/>
            </w:pPr>
            <w:r>
              <w:rPr>
                <w:bCs/>
                <w:b/>
              </w:rPr>
              <w:t xml:space="preserve">MVP</w:t>
            </w:r>
          </w:p>
        </w:tc>
        <w:tc>
          <w:tcPr/>
          <w:p>
            <w:pPr>
              <w:pStyle w:val="Compact"/>
              <w:jc w:val="left"/>
            </w:pPr>
            <w:r>
              <w:t xml:space="preserve">December 2025</w:t>
            </w:r>
          </w:p>
        </w:tc>
        <w:tc>
          <w:tcPr/>
          <w:p>
            <w:pPr>
              <w:pStyle w:val="Compact"/>
              <w:jc w:val="left"/>
            </w:pPr>
            <w:r>
              <w:t xml:space="preserve">5 construction customers (FREE)</w:t>
            </w:r>
          </w:p>
        </w:tc>
        <w:tc>
          <w:tcPr/>
          <w:p>
            <w:pPr>
              <w:pStyle w:val="Compact"/>
              <w:jc w:val="left"/>
            </w:pPr>
            <w:r>
              <w:t xml:space="preserve">2</w:t>
            </w:r>
          </w:p>
        </w:tc>
      </w:tr>
      <w:tr>
        <w:tc>
          <w:tcPr/>
          <w:p>
            <w:pPr>
              <w:pStyle w:val="Compact"/>
              <w:jc w:val="left"/>
            </w:pPr>
            <w:r>
              <w:rPr>
                <w:bCs/>
                <w:b/>
              </w:rPr>
              <w:t xml:space="preserve">Alpha</w:t>
            </w:r>
          </w:p>
        </w:tc>
        <w:tc>
          <w:tcPr/>
          <w:p>
            <w:pPr>
              <w:pStyle w:val="Compact"/>
              <w:jc w:val="left"/>
            </w:pPr>
            <w:r>
              <w:t xml:space="preserve">February 2026</w:t>
            </w:r>
          </w:p>
        </w:tc>
        <w:tc>
          <w:tcPr/>
          <w:p>
            <w:pPr>
              <w:pStyle w:val="Compact"/>
              <w:jc w:val="left"/>
            </w:pPr>
            <w:r>
              <w:t xml:space="preserve">20-50 customers, 3 industries</w:t>
            </w:r>
          </w:p>
        </w:tc>
        <w:tc>
          <w:tcPr/>
          <w:p>
            <w:pPr>
              <w:pStyle w:val="Compact"/>
              <w:jc w:val="left"/>
            </w:pPr>
            <w:r>
              <w:t xml:space="preserve">10</w:t>
            </w:r>
          </w:p>
        </w:tc>
      </w:tr>
      <w:tr>
        <w:tc>
          <w:tcPr/>
          <w:p>
            <w:pPr>
              <w:pStyle w:val="Compact"/>
              <w:jc w:val="left"/>
            </w:pPr>
            <w:r>
              <w:rPr>
                <w:bCs/>
                <w:b/>
              </w:rPr>
              <w:t xml:space="preserve">V1</w:t>
            </w:r>
          </w:p>
        </w:tc>
        <w:tc>
          <w:tcPr/>
          <w:p>
            <w:pPr>
              <w:pStyle w:val="Compact"/>
              <w:jc w:val="left"/>
            </w:pPr>
            <w:r>
              <w:t xml:space="preserve">November 2026</w:t>
            </w:r>
          </w:p>
        </w:tc>
        <w:tc>
          <w:tcPr/>
          <w:p>
            <w:pPr>
              <w:pStyle w:val="Compact"/>
              <w:jc w:val="left"/>
            </w:pPr>
            <w:r>
              <w:t xml:space="preserve">100+ customers, 8 industries</w:t>
            </w:r>
          </w:p>
        </w:tc>
        <w:tc>
          <w:tcPr/>
          <w:p>
            <w:pPr>
              <w:pStyle w:val="Compact"/>
              <w:jc w:val="left"/>
            </w:pPr>
            <w:r>
              <w:t xml:space="preserve">33</w:t>
            </w:r>
          </w:p>
        </w:tc>
      </w:tr>
    </w:tbl>
    <w:bookmarkEnd w:id="68"/>
    <w:bookmarkStart w:id="69" w:name="X3cac810e09d32809b4a97fb76b61e422eede506"/>
    <w:p>
      <w:pPr>
        <w:pStyle w:val="Heading2"/>
      </w:pPr>
      <w:r>
        <w:t xml:space="preserve">4.6 Firehorse Omnichannel: Marketing Targeting Optimization</w:t>
      </w:r>
    </w:p>
    <w:p>
      <w:pPr>
        <w:pStyle w:val="FirstParagraph"/>
      </w:pPr>
      <w:r>
        <w:rPr>
          <w:bCs/>
          <w:b/>
        </w:rPr>
        <w:t xml:space="preserve">Problem:</w:t>
      </w:r>
      <w:r>
        <w:t xml:space="preserve"> </w:t>
      </w:r>
      <w:r>
        <w:t xml:space="preserve">SMEs struggle to allocate limited marketing budgets effectively.</w:t>
      </w:r>
    </w:p>
    <w:p>
      <w:pPr>
        <w:pStyle w:val="BodyText"/>
      </w:pPr>
      <w:r>
        <w:rPr>
          <w:bCs/>
          <w:b/>
        </w:rPr>
        <w:t xml:space="preserve">Solution:</w:t>
      </w:r>
      <w:r>
        <w:t xml:space="preserve"> </w:t>
      </w:r>
      <w:r>
        <w:t xml:space="preserve">Firehorse Omnichannel leverages AI-powered market intelligence for channel selection optimization.</w:t>
      </w:r>
    </w:p>
    <w:p>
      <w:pPr>
        <w:pStyle w:val="BodyText"/>
      </w:pPr>
      <w:r>
        <w:rPr>
          <w:bCs/>
          <w:b/>
        </w:rPr>
        <w:t xml:space="preserve">Result:</w:t>
      </w:r>
      <w:r>
        <w:t xml:space="preserve"> </w:t>
      </w:r>
      <w:r>
        <w:t xml:space="preserve">“</w:t>
      </w:r>
      <w:r>
        <w:t xml:space="preserve">Right time, right amount</w:t>
      </w:r>
      <w:r>
        <w:t xml:space="preserve">”</w:t>
      </w:r>
      <w:r>
        <w:t xml:space="preserve"> </w:t>
      </w:r>
      <w:r>
        <w:t xml:space="preserve">funding strategy that maximizes ROI.</w:t>
      </w:r>
    </w:p>
    <w:bookmarkEnd w:id="69"/>
    <w:bookmarkStart w:id="74" w:name="regulatory-compliance-legal-moat"/>
    <w:p>
      <w:pPr>
        <w:pStyle w:val="Heading2"/>
      </w:pPr>
      <w:r>
        <w:t xml:space="preserve">4.7 Regulatory Compliance: Legal Moat</w:t>
      </w:r>
    </w:p>
    <w:bookmarkStart w:id="70" w:name="gdpr-sovereignty"/>
    <w:p>
      <w:pPr>
        <w:pStyle w:val="Heading3"/>
      </w:pPr>
      <w:r>
        <w:t xml:space="preserve">4.7.1 GDPR &amp; Sovereignty</w:t>
      </w:r>
    </w:p>
    <w:p>
      <w:pPr>
        <w:pStyle w:val="FirstParagraph"/>
      </w:pPr>
      <w:r>
        <w:t xml:space="preserve">Implementing Private Cloud architecture ensures EU data residency and sovereignty.</w:t>
      </w:r>
    </w:p>
    <w:bookmarkEnd w:id="70"/>
    <w:bookmarkStart w:id="71" w:name="nis2-directive"/>
    <w:p>
      <w:pPr>
        <w:pStyle w:val="Heading3"/>
      </w:pPr>
      <w:r>
        <w:t xml:space="preserve">4.7.2 NIS2 Directive</w:t>
      </w:r>
    </w:p>
    <w:p>
      <w:pPr>
        <w:pStyle w:val="FirstParagraph"/>
      </w:pPr>
      <w:r>
        <w:t xml:space="preserve">Alignment with cybersecurity requirements for critical operators.</w:t>
      </w:r>
    </w:p>
    <w:bookmarkEnd w:id="71"/>
    <w:bookmarkStart w:id="72" w:name="eu-ai-act"/>
    <w:p>
      <w:pPr>
        <w:pStyle w:val="Heading3"/>
      </w:pPr>
      <w:r>
        <w:t xml:space="preserve">4.7.3 EU AI Act</w:t>
      </w:r>
    </w:p>
    <w:p>
      <w:pPr>
        <w:pStyle w:val="FirstParagraph"/>
      </w:pPr>
      <w:r>
        <w:t xml:space="preserve">Implementing transparency protocols (Article 50) for AI agents and ensuring human oversight.</w:t>
      </w:r>
    </w:p>
    <w:bookmarkEnd w:id="72"/>
    <w:bookmarkStart w:id="73" w:name="digital-services-act-dsa"/>
    <w:p>
      <w:pPr>
        <w:pStyle w:val="Heading3"/>
      </w:pPr>
      <w:r>
        <w:t xml:space="preserve">4.7.4 Digital Services Act (DSA)</w:t>
      </w:r>
    </w:p>
    <w:p>
      <w:pPr>
        <w:pStyle w:val="FirstParagraph"/>
      </w:pPr>
      <w:r>
        <w:t xml:space="preserve">Establishing community rules and moderation for the</w:t>
      </w:r>
      <w:r>
        <w:t xml:space="preserve"> </w:t>
      </w:r>
      <w:r>
        <w:t xml:space="preserve">“</w:t>
      </w:r>
      <w:r>
        <w:t xml:space="preserve">Lifetime World</w:t>
      </w:r>
      <w:r>
        <w:t xml:space="preserve">”</w:t>
      </w:r>
      <w:r>
        <w:t xml:space="preserve"> </w:t>
      </w:r>
      <w:r>
        <w:t xml:space="preserve">platform.</w:t>
      </w:r>
    </w:p>
    <w:bookmarkEnd w:id="73"/>
    <w:bookmarkEnd w:id="74"/>
    <w:bookmarkStart w:id="78" w:name="X01cb7168d56cab119d0f2cc9d88ad0d4a03712c"/>
    <w:p>
      <w:pPr>
        <w:pStyle w:val="Heading2"/>
      </w:pPr>
      <w:r>
        <w:t xml:space="preserve">4.8 dws6.com: Production Environment and Web Presence</w:t>
      </w:r>
    </w:p>
    <w:bookmarkStart w:id="75" w:name="overview"/>
    <w:p>
      <w:pPr>
        <w:pStyle w:val="Heading3"/>
      </w:pPr>
      <w:r>
        <w:t xml:space="preserve">4.8.1 Overview</w:t>
      </w:r>
    </w:p>
    <w:p>
      <w:pPr>
        <w:pStyle w:val="FirstParagraph"/>
      </w:pPr>
      <w:r>
        <w:rPr>
          <w:bCs/>
          <w:b/>
        </w:rPr>
        <w:t xml:space="preserve">dws6.com</w:t>
      </w:r>
      <w:r>
        <w:t xml:space="preserve"> </w:t>
      </w:r>
      <w:r>
        <w:t xml:space="preserve">is the DWS6 platform’s production environment, providing centralized access to all Firehorse services.</w:t>
      </w:r>
    </w:p>
    <w:bookmarkEnd w:id="75"/>
    <w:bookmarkStart w:id="76" w:name="technical-implementation"/>
    <w:p>
      <w:pPr>
        <w:pStyle w:val="Heading3"/>
      </w:pPr>
      <w:r>
        <w:t xml:space="preserve">4.8.2 Technical Implementation</w:t>
      </w:r>
    </w:p>
    <w:p>
      <w:pPr>
        <w:pStyle w:val="FirstParagraph"/>
      </w:pPr>
      <w:r>
        <w:rPr>
          <w:bCs/>
          <w:b/>
        </w:rPr>
        <w:t xml:space="preserve">Platform:</w:t>
      </w:r>
      <w:r>
        <w:t xml:space="preserve"> </w:t>
      </w:r>
      <w:r>
        <w:t xml:space="preserve">Cloudflare Pages — Global CDN, automatic SSL/TLS, DDoS protection, edge caching.</w:t>
      </w:r>
    </w:p>
    <w:bookmarkEnd w:id="76"/>
    <w:bookmarkStart w:id="77" w:name="performance"/>
    <w:p>
      <w:pPr>
        <w:pStyle w:val="Heading3"/>
      </w:pPr>
      <w:r>
        <w:t xml:space="preserve">4.8.3 Performance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Result</w:t>
            </w:r>
          </w:p>
        </w:tc>
      </w:tr>
      <w:tr>
        <w:tc>
          <w:tcPr/>
          <w:p>
            <w:pPr>
              <w:pStyle w:val="Compact"/>
              <w:jc w:val="left"/>
            </w:pPr>
            <w:r>
              <w:rPr>
                <w:bCs/>
                <w:b/>
              </w:rPr>
              <w:t xml:space="preserve">Page load time</w:t>
            </w:r>
          </w:p>
        </w:tc>
        <w:tc>
          <w:tcPr/>
          <w:p>
            <w:pPr>
              <w:pStyle w:val="Compact"/>
              <w:jc w:val="left"/>
            </w:pPr>
            <w:r>
              <w:t xml:space="preserve">&lt;1s</w:t>
            </w:r>
          </w:p>
        </w:tc>
        <w:tc>
          <w:tcPr/>
          <w:p>
            <w:pPr>
              <w:pStyle w:val="Compact"/>
              <w:jc w:val="left"/>
            </w:pPr>
            <w:r>
              <w:t xml:space="preserve">0.8s</w:t>
            </w:r>
          </w:p>
        </w:tc>
      </w:tr>
      <w:tr>
        <w:tc>
          <w:tcPr/>
          <w:p>
            <w:pPr>
              <w:pStyle w:val="Compact"/>
              <w:jc w:val="left"/>
            </w:pPr>
            <w:r>
              <w:rPr>
                <w:bCs/>
                <w:b/>
              </w:rPr>
              <w:t xml:space="preserve">Uptime</w:t>
            </w:r>
          </w:p>
        </w:tc>
        <w:tc>
          <w:tcPr/>
          <w:p>
            <w:pPr>
              <w:pStyle w:val="Compact"/>
              <w:jc w:val="left"/>
            </w:pPr>
            <w:r>
              <w:t xml:space="preserve">99.9%</w:t>
            </w:r>
          </w:p>
        </w:tc>
        <w:tc>
          <w:tcPr/>
          <w:p>
            <w:pPr>
              <w:pStyle w:val="Compact"/>
              <w:jc w:val="left"/>
            </w:pPr>
            <w:r>
              <w:t xml:space="preserve">99.95%</w:t>
            </w:r>
          </w:p>
        </w:tc>
      </w:tr>
      <w:tr>
        <w:tc>
          <w:tcPr/>
          <w:p>
            <w:pPr>
              <w:pStyle w:val="Compact"/>
              <w:jc w:val="left"/>
            </w:pPr>
            <w:r>
              <w:rPr>
                <w:bCs/>
                <w:b/>
              </w:rPr>
              <w:t xml:space="preserve">SSL grade</w:t>
            </w:r>
          </w:p>
        </w:tc>
        <w:tc>
          <w:tcPr/>
          <w:p>
            <w:pPr>
              <w:pStyle w:val="Compact"/>
              <w:jc w:val="left"/>
            </w:pPr>
            <w:r>
              <w:t xml:space="preserve">A+</w:t>
            </w:r>
          </w:p>
        </w:tc>
        <w:tc>
          <w:tcPr/>
          <w:p>
            <w:pPr>
              <w:pStyle w:val="Compact"/>
              <w:jc w:val="left"/>
            </w:pPr>
            <w:r>
              <w:t xml:space="preserve">A+</w:t>
            </w:r>
          </w:p>
        </w:tc>
      </w:tr>
      <w:tr>
        <w:tc>
          <w:tcPr/>
          <w:p>
            <w:pPr>
              <w:pStyle w:val="Compact"/>
              <w:jc w:val="left"/>
            </w:pPr>
            <w:r>
              <w:rPr>
                <w:bCs/>
                <w:b/>
              </w:rPr>
              <w:t xml:space="preserve">Total cost</w:t>
            </w:r>
          </w:p>
        </w:tc>
        <w:tc>
          <w:tcPr/>
          <w:p>
            <w:pPr>
              <w:pStyle w:val="Compact"/>
              <w:jc w:val="left"/>
            </w:pPr>
            <w:r>
              <w:t xml:space="preserve">EUR 0/month</w:t>
            </w:r>
          </w:p>
        </w:tc>
        <w:tc>
          <w:tcPr/>
          <w:p>
            <w:pPr>
              <w:pStyle w:val="Compact"/>
              <w:jc w:val="left"/>
            </w:pPr>
            <w:r>
              <w:t xml:space="preserve">EUR 0/month</w:t>
            </w:r>
          </w:p>
        </w:tc>
      </w:tr>
    </w:tbl>
    <w:p>
      <w:r>
        <w:pict>
          <v:rect style="width:0;height:1.5pt" o:hralign="center" o:hrstd="t" o:hr="t"/>
        </w:pict>
      </w:r>
    </w:p>
    <w:bookmarkEnd w:id="77"/>
    <w:bookmarkEnd w:id="78"/>
    <w:bookmarkEnd w:id="79"/>
    <w:bookmarkStart w:id="87" w:name="implementation-mvp-phase"/>
    <w:p>
      <w:pPr>
        <w:pStyle w:val="Heading1"/>
      </w:pPr>
      <w:r>
        <w:t xml:space="preserve">5. Implementation (MVP Phase)</w:t>
      </w:r>
    </w:p>
    <w:p>
      <w:pPr>
        <w:pStyle w:val="FirstParagraph"/>
      </w:pPr>
      <w:r>
        <w:t xml:space="preserve">This chapter documents the Firehorse operating model implementation during the MVP phase (December 2025 - February 2026).</w:t>
      </w:r>
    </w:p>
    <w:bookmarkStart w:id="82" w:name="infrastructure-deployment"/>
    <w:p>
      <w:pPr>
        <w:pStyle w:val="Heading2"/>
      </w:pPr>
      <w:r>
        <w:t xml:space="preserve">5.1 Infrastructure Deployment</w:t>
      </w:r>
    </w:p>
    <w:bookmarkStart w:id="80" w:name="cloud-infrastructure"/>
    <w:p>
      <w:pPr>
        <w:pStyle w:val="Heading3"/>
      </w:pPr>
      <w:r>
        <w:t xml:space="preserve">5.1.1 Cloud Infrastructure</w:t>
      </w:r>
    </w:p>
    <w:p>
      <w:pPr>
        <w:pStyle w:val="FirstParagraph"/>
      </w:pPr>
      <w:r>
        <w:rPr>
          <w:bCs/>
          <w:b/>
        </w:rPr>
        <w:t xml:space="preserve">Google Cloud Run (europe-north1):</w:t>
      </w:r>
    </w:p>
    <w:p>
      <w:pPr>
        <w:numPr>
          <w:ilvl w:val="0"/>
          <w:numId w:val="1032"/>
        </w:numPr>
        <w:pStyle w:val="Compact"/>
      </w:pPr>
      <w:r>
        <w:t xml:space="preserve">MCP Hub deployed on port 8765</w:t>
      </w:r>
    </w:p>
    <w:p>
      <w:pPr>
        <w:numPr>
          <w:ilvl w:val="0"/>
          <w:numId w:val="1032"/>
        </w:numPr>
        <w:pStyle w:val="Compact"/>
      </w:pPr>
      <w:r>
        <w:t xml:space="preserve">Supabase MCP Server on port 8766</w:t>
      </w:r>
    </w:p>
    <w:p>
      <w:pPr>
        <w:numPr>
          <w:ilvl w:val="0"/>
          <w:numId w:val="1032"/>
        </w:numPr>
        <w:pStyle w:val="Compact"/>
      </w:pPr>
      <w:r>
        <w:t xml:space="preserve">FastAPI-based Groq API Router</w:t>
      </w:r>
    </w:p>
    <w:p>
      <w:pPr>
        <w:numPr>
          <w:ilvl w:val="0"/>
          <w:numId w:val="1032"/>
        </w:numPr>
        <w:pStyle w:val="Compact"/>
      </w:pPr>
      <w:r>
        <w:t xml:space="preserve">Automatic scaling and GDPR-compliant data residency</w:t>
      </w:r>
    </w:p>
    <w:bookmarkEnd w:id="80"/>
    <w:bookmarkStart w:id="81" w:name="database-architecture"/>
    <w:p>
      <w:pPr>
        <w:pStyle w:val="Heading3"/>
      </w:pPr>
      <w:r>
        <w:t xml:space="preserve">5.1.2 Database Architecture</w:t>
      </w:r>
    </w:p>
    <w:p>
      <w:pPr>
        <w:pStyle w:val="FirstParagraph"/>
      </w:pPr>
      <w:r>
        <w:rPr>
          <w:bCs/>
          <w:b/>
        </w:rPr>
        <w:t xml:space="preserve">Supabase PostgreSQL + pgvector:</w:t>
      </w:r>
    </w:p>
    <w:p>
      <w:pPr>
        <w:numPr>
          <w:ilvl w:val="0"/>
          <w:numId w:val="1033"/>
        </w:numPr>
        <w:pStyle w:val="Compact"/>
      </w:pPr>
      <w:r>
        <w:t xml:space="preserve">Users and Organizations tables with RLS policies</w:t>
      </w:r>
    </w:p>
    <w:p>
      <w:pPr>
        <w:numPr>
          <w:ilvl w:val="0"/>
          <w:numId w:val="1033"/>
        </w:numPr>
        <w:pStyle w:val="Compact"/>
      </w:pPr>
      <w:r>
        <w:t xml:space="preserve">Agent memory and conversation storage</w:t>
      </w:r>
    </w:p>
    <w:p>
      <w:pPr>
        <w:numPr>
          <w:ilvl w:val="0"/>
          <w:numId w:val="1033"/>
        </w:numPr>
        <w:pStyle w:val="Compact"/>
      </w:pPr>
      <w:r>
        <w:t xml:space="preserve">Vector embeddings for semantic search</w:t>
      </w:r>
    </w:p>
    <w:bookmarkEnd w:id="81"/>
    <w:bookmarkEnd w:id="82"/>
    <w:bookmarkStart w:id="84" w:name="agent-development"/>
    <w:p>
      <w:pPr>
        <w:pStyle w:val="Heading2"/>
      </w:pPr>
      <w:r>
        <w:t xml:space="preserve">5.2 Agent Development</w:t>
      </w:r>
    </w:p>
    <w:p>
      <w:pPr>
        <w:pStyle w:val="FirstParagraph"/>
      </w:pPr>
      <w:r>
        <w:t xml:space="preserve">The 10-agent development fleet is coordinated using the Lifetime Scope Signals protocol:</w:t>
      </w:r>
    </w:p>
    <w:p>
      <w:pPr>
        <w:pStyle w:val="BodyText"/>
      </w:pPr>
      <w:r>
        <w:rPr>
          <w:bCs/>
          <w:b/>
        </w:rPr>
        <w:t xml:space="preserve">Phase 1 (Foundation):</w:t>
      </w:r>
      <w:r>
        <w:t xml:space="preserve"> </w:t>
      </w:r>
      <w:r>
        <w:t xml:space="preserve">Agent-01: DWS IQ Login, Agent-07: Supabase Database, Agent-10: Documentation</w:t>
      </w:r>
    </w:p>
    <w:p>
      <w:pPr>
        <w:pStyle w:val="BodyText"/>
      </w:pPr>
      <w:r>
        <w:rPr>
          <w:bCs/>
          <w:b/>
        </w:rPr>
        <w:t xml:space="preserve">Phase 2 (Core Backend):</w:t>
      </w:r>
      <w:r>
        <w:t xml:space="preserve"> </w:t>
      </w:r>
      <w:r>
        <w:t xml:space="preserve">Agent-02: Firehorse Apps, Agent-04: AI Agents, Agent-09: Email System</w:t>
      </w:r>
    </w:p>
    <w:p>
      <w:pPr>
        <w:pStyle w:val="BodyText"/>
      </w:pPr>
      <w:r>
        <w:rPr>
          <w:bCs/>
          <w:b/>
        </w:rPr>
        <w:t xml:space="preserve">Phase 3 (Frontend):</w:t>
      </w:r>
      <w:r>
        <w:t xml:space="preserve"> </w:t>
      </w:r>
      <w:r>
        <w:t xml:space="preserve">Agent-03: Customer Dashboard, Agent-05: Mobile Dashboard</w:t>
      </w:r>
    </w:p>
    <w:bookmarkStart w:id="83" w:name="Xe34103d6f6338e81c4afe341430761bb75afe61"/>
    <w:p>
      <w:pPr>
        <w:pStyle w:val="Heading3"/>
      </w:pPr>
      <w:r>
        <w:t xml:space="preserve">5.2.1 Milestone: Agents → Loops → Workflows (June 2026)</w:t>
      </w:r>
    </w:p>
    <w:p>
      <w:pPr>
        <w:pStyle w:val="FirstParagraph"/>
      </w:pPr>
      <w:r>
        <w:t xml:space="preserve">By 2026-06-20, the initial 10-agent development fleet has scaled to a 50-agent production system, completing all three layers of the AI-native stack:</w:t>
      </w:r>
    </w:p>
    <w:p>
      <w:pPr>
        <w:pStyle w:val="BodyText"/>
      </w:pPr>
      <w:r>
        <w:rPr>
          <w:bCs/>
          <w:b/>
        </w:rPr>
        <w:t xml:space="preserve">Layer 1 — Agents (Foundation).</w:t>
      </w:r>
      <w:r>
        <w:t xml:space="preserve"> </w:t>
      </w:r>
      <w:r>
        <w:t xml:space="preserve">All 50 production Skilled Agents registered in</w:t>
      </w:r>
      <w:r>
        <w:t xml:space="preserve"> </w:t>
      </w:r>
      <w:r>
        <w:rPr>
          <w:rStyle w:val="VerbatimChar"/>
        </w:rPr>
        <w:t xml:space="preserve">src/agents/index.ts</w:t>
      </w:r>
      <w:r>
        <w:t xml:space="preserve"> </w:t>
      </w:r>
      <w:r>
        <w:t xml:space="preserve">extend the</w:t>
      </w:r>
      <w:r>
        <w:t xml:space="preserve"> </w:t>
      </w:r>
      <w:r>
        <w:rPr>
          <w:rStyle w:val="VerbatimChar"/>
        </w:rPr>
        <w:t xml:space="preserve">BaseAgent</w:t>
      </w:r>
      <w:r>
        <w:t xml:space="preserve"> </w:t>
      </w:r>
      <w:r>
        <w:t xml:space="preserve">abstract class and emit a standardised ledger-native output contract per Firehorse 7:</w:t>
      </w:r>
      <w:r>
        <w:t xml:space="preserve"> </w:t>
      </w:r>
      <w:r>
        <w:rPr>
          <w:rStyle w:val="VerbatimChar"/>
        </w:rPr>
        <w:t xml:space="preserve">journalEntries</w:t>
      </w:r>
      <w:r>
        <w:t xml:space="preserve"> </w:t>
      </w:r>
      <w:r>
        <w:t xml:space="preserve">(audit trail),</w:t>
      </w:r>
      <w:r>
        <w:t xml:space="preserve"> </w:t>
      </w:r>
      <w:r>
        <w:rPr>
          <w:rStyle w:val="VerbatimChar"/>
        </w:rPr>
        <w:t xml:space="preserve">regulatoryArtifact</w:t>
      </w:r>
      <w:r>
        <w:t xml:space="preserve"> </w:t>
      </w:r>
      <w:r>
        <w:t xml:space="preserve">(compliance evidence), and</w:t>
      </w:r>
      <w:r>
        <w:t xml:space="preserve"> </w:t>
      </w:r>
      <w:r>
        <w:rPr>
          <w:rStyle w:val="VerbatimChar"/>
        </w:rPr>
        <w:t xml:space="preserve">lineage</w:t>
      </w:r>
      <w:r>
        <w:t xml:space="preserve"> </w:t>
      </w:r>
      <w:r>
        <w:t xml:space="preserve">(execution provenance). The three-tier agent taxonomy (§14.17 of the companion PhD thesis) structures the fleet: six orchestrators (Atlas, Athena, Hephaestus, Iris, Hermes, Apollo) coordinate 20 Industrial Specialist Agents — one per EU-regulated industry vertical — plus horizontal expansion agents covering compliance, quality assurance, SEO, research, and intelligence gathering.</w:t>
      </w:r>
    </w:p>
    <w:p>
      <w:pPr>
        <w:pStyle w:val="BodyText"/>
      </w:pPr>
      <w:r>
        <w:rPr>
          <w:bCs/>
          <w:b/>
        </w:rPr>
        <w:t xml:space="preserve">Layer 2 — Loops (Maker–Checker cycle).</w:t>
      </w:r>
      <w:r>
        <w:t xml:space="preserve"> </w:t>
      </w:r>
      <w:r>
        <w:t xml:space="preserve">Loop Engineering shipped 2026-06-08 (PR #1447, commit d34876a). The Maker–Checker cycle in</w:t>
      </w:r>
      <w:r>
        <w:t xml:space="preserve"> </w:t>
      </w:r>
      <w:r>
        <w:rPr>
          <w:rStyle w:val="VerbatimChar"/>
        </w:rPr>
        <w:t xml:space="preserve">src/agents/loop-engineering/</w:t>
      </w:r>
      <w:r>
        <w:t xml:space="preserve"> </w:t>
      </w:r>
      <w:r>
        <w:t xml:space="preserve">introduces self-correction as a first-class runtime primitive: a Maker agent proposes a compliance outcome; a Checker agent validates it against the same ledger-native output contract; the loop continues until the outcome passes or the budget gate terminates it. The implementation includes disk-persisted state (crash-tolerant across multi-hour document lifecycles), a configurable budget gate, a safety gate, and full resumability. This satisfies EU AI Act Article 12 (audit logging), Article 14 (human oversight via mandatory stop conditions), and Article 15 (robustness via persistence and resumability) at the primitive level.</w:t>
      </w:r>
    </w:p>
    <w:p>
      <w:pPr>
        <w:pStyle w:val="BodyText"/>
      </w:pPr>
      <w:r>
        <w:rPr>
          <w:bCs/>
          <w:b/>
        </w:rPr>
        <w:t xml:space="preserve">Layer 3 — Workflows (Multi-agent orchestration).</w:t>
      </w:r>
      <w:r>
        <w:t xml:space="preserve"> </w:t>
      </w:r>
      <w:r>
        <w:t xml:space="preserve">Multi-agent orchestration via the</w:t>
      </w:r>
      <w:r>
        <w:t xml:space="preserve"> </w:t>
      </w:r>
      <w:r>
        <w:rPr>
          <w:rStyle w:val="VerbatimChar"/>
        </w:rPr>
        <w:t xml:space="preserve">/workflow</w:t>
      </w:r>
      <w:r>
        <w:t xml:space="preserve"> </w:t>
      </w:r>
      <w:r>
        <w:t xml:space="preserve">skill and</w:t>
      </w:r>
      <w:r>
        <w:t xml:space="preserve"> </w:t>
      </w:r>
      <w:r>
        <w:rPr>
          <w:rStyle w:val="VerbatimChar"/>
        </w:rPr>
        <w:t xml:space="preserve">src/agents/workflow/</w:t>
      </w:r>
      <w:r>
        <w:t xml:space="preserve"> </w:t>
      </w:r>
      <w:r>
        <w:t xml:space="preserve">orchestrators is live. The MCP Hub supports three composition patterns: fan-out (parallel agents resolving independent sub-tasks simultaneously), sequential (ordered chain where each agent receives the prior agent’s ledger-native output), and reflection (output fed back for revision). All three patterns are in production use for CSRD, CBAM, and EU AI Act compliance assessments.</w:t>
      </w:r>
    </w:p>
    <w:tbl>
      <w:tblPr>
        <w:tblStyle w:val="Table"/>
        <w:tblW w:type="pct" w:w="5000"/>
        <w:tblLook w:firstRow="1" w:lastRow="0" w:firstColumn="0" w:lastColumn="0" w:noHBand="0" w:noVBand="0" w:val="0020"/>
        <w:jc w:val="start"/>
      </w:tblPr>
      <w:tblGrid>
        <w:gridCol w:w="792"/>
        <w:gridCol w:w="5720"/>
        <w:gridCol w:w="528"/>
        <w:gridCol w:w="880"/>
      </w:tblGrid>
      <w:tr>
        <w:trPr>
          <w:tblHeader w:val="true"/>
        </w:trPr>
        <w:tc>
          <w:tcPr/>
          <w:p>
            <w:pPr>
              <w:pStyle w:val="Compact"/>
              <w:jc w:val="left"/>
            </w:pPr>
            <w:r>
              <w:t xml:space="preserve">Layer</w:t>
            </w:r>
          </w:p>
        </w:tc>
        <w:tc>
          <w:tcPr/>
          <w:p>
            <w:pPr>
              <w:pStyle w:val="Compact"/>
              <w:jc w:val="left"/>
            </w:pPr>
            <w:r>
              <w:t xml:space="preserve">Component</w:t>
            </w:r>
          </w:p>
        </w:tc>
        <w:tc>
          <w:tcPr/>
          <w:p>
            <w:pPr>
              <w:pStyle w:val="Compact"/>
              <w:jc w:val="left"/>
            </w:pPr>
            <w:r>
              <w:t xml:space="preserve">Status</w:t>
            </w:r>
          </w:p>
        </w:tc>
        <w:tc>
          <w:tcPr/>
          <w:p>
            <w:pPr>
              <w:pStyle w:val="Compact"/>
              <w:jc w:val="left"/>
            </w:pPr>
            <w:r>
              <w:t xml:space="preserve">Shipped</w:t>
            </w:r>
          </w:p>
        </w:tc>
      </w:tr>
      <w:tr>
        <w:tc>
          <w:tcPr/>
          <w:p>
            <w:pPr>
              <w:pStyle w:val="Compact"/>
              <w:jc w:val="left"/>
            </w:pPr>
            <w:r>
              <w:t xml:space="preserve">Agents</w:t>
            </w:r>
          </w:p>
        </w:tc>
        <w:tc>
          <w:tcPr/>
          <w:p>
            <w:pPr>
              <w:pStyle w:val="Compact"/>
              <w:jc w:val="left"/>
            </w:pPr>
            <w:r>
              <w:t xml:space="preserve">50 production Skilled Agents (BaseAgent + ledger-native contract)</w:t>
            </w:r>
          </w:p>
        </w:tc>
        <w:tc>
          <w:tcPr/>
          <w:p>
            <w:pPr>
              <w:pStyle w:val="Compact"/>
              <w:jc w:val="left"/>
            </w:pPr>
            <w:r>
              <w:t xml:space="preserve">Live</w:t>
            </w:r>
          </w:p>
        </w:tc>
        <w:tc>
          <w:tcPr/>
          <w:p>
            <w:pPr>
              <w:pStyle w:val="Compact"/>
              <w:jc w:val="left"/>
            </w:pPr>
            <w:r>
              <w:t xml:space="preserve">2026-06-20</w:t>
            </w:r>
          </w:p>
        </w:tc>
      </w:tr>
      <w:tr>
        <w:tc>
          <w:tcPr/>
          <w:p>
            <w:pPr>
              <w:pStyle w:val="Compact"/>
              <w:jc w:val="left"/>
            </w:pPr>
            <w:r>
              <w:t xml:space="preserve">Loops</w:t>
            </w:r>
          </w:p>
        </w:tc>
        <w:tc>
          <w:tcPr/>
          <w:p>
            <w:pPr>
              <w:pStyle w:val="Compact"/>
              <w:jc w:val="left"/>
            </w:pPr>
            <w:r>
              <w:t xml:space="preserve">Maker–Checker cycle (PR #1447)</w:t>
            </w:r>
          </w:p>
        </w:tc>
        <w:tc>
          <w:tcPr/>
          <w:p>
            <w:pPr>
              <w:pStyle w:val="Compact"/>
              <w:jc w:val="left"/>
            </w:pPr>
            <w:r>
              <w:t xml:space="preserve">Live</w:t>
            </w:r>
          </w:p>
        </w:tc>
        <w:tc>
          <w:tcPr/>
          <w:p>
            <w:pPr>
              <w:pStyle w:val="Compact"/>
              <w:jc w:val="left"/>
            </w:pPr>
            <w:r>
              <w:t xml:space="preserve">2026-06-08</w:t>
            </w:r>
          </w:p>
        </w:tc>
      </w:tr>
      <w:tr>
        <w:tc>
          <w:tcPr/>
          <w:p>
            <w:pPr>
              <w:pStyle w:val="Compact"/>
              <w:jc w:val="left"/>
            </w:pPr>
            <w:r>
              <w:t xml:space="preserve">Workflows</w:t>
            </w:r>
          </w:p>
        </w:tc>
        <w:tc>
          <w:tcPr/>
          <w:p>
            <w:pPr>
              <w:pStyle w:val="Compact"/>
              <w:jc w:val="left"/>
            </w:pPr>
            <w:r>
              <w:t xml:space="preserve">MCP Hub fan-out/sequential/reflection</w:t>
            </w:r>
          </w:p>
        </w:tc>
        <w:tc>
          <w:tcPr/>
          <w:p>
            <w:pPr>
              <w:pStyle w:val="Compact"/>
              <w:jc w:val="left"/>
            </w:pPr>
            <w:r>
              <w:t xml:space="preserve">Live</w:t>
            </w:r>
          </w:p>
        </w:tc>
        <w:tc>
          <w:tcPr/>
          <w:p>
            <w:pPr>
              <w:pStyle w:val="Compact"/>
              <w:jc w:val="left"/>
            </w:pPr>
            <w:r>
              <w:t xml:space="preserve">2026-06-20</w:t>
            </w:r>
          </w:p>
        </w:tc>
      </w:tr>
    </w:tbl>
    <w:bookmarkEnd w:id="83"/>
    <w:bookmarkEnd w:id="84"/>
    <w:bookmarkStart w:id="85" w:name="customer-onboarding"/>
    <w:p>
      <w:pPr>
        <w:pStyle w:val="Heading2"/>
      </w:pPr>
      <w:r>
        <w:t xml:space="preserve">5.3 Customer Onboarding</w:t>
      </w:r>
    </w:p>
    <w:p>
      <w:pPr>
        <w:pStyle w:val="FirstParagraph"/>
      </w:pPr>
      <w:r>
        <w:rPr>
          <w:bCs/>
          <w:b/>
        </w:rPr>
        <w:t xml:space="preserve">Pilot customers (Validated):</w:t>
      </w:r>
    </w:p>
    <w:p>
      <w:pPr>
        <w:numPr>
          <w:ilvl w:val="0"/>
          <w:numId w:val="1034"/>
        </w:numPr>
        <w:pStyle w:val="Compact"/>
      </w:pPr>
      <w:r>
        <w:rPr>
          <w:bCs/>
          <w:b/>
        </w:rPr>
        <w:t xml:space="preserve">Logistics:</w:t>
      </w:r>
      <w:r>
        <w:t xml:space="preserve"> </w:t>
      </w:r>
      <w:r>
        <w:t xml:space="preserve">Uber Taxi Helsinki, Bolt (Europe), Kela</w:t>
      </w:r>
    </w:p>
    <w:p>
      <w:pPr>
        <w:numPr>
          <w:ilvl w:val="0"/>
          <w:numId w:val="1034"/>
        </w:numPr>
        <w:pStyle w:val="Compact"/>
      </w:pPr>
      <w:r>
        <w:rPr>
          <w:bCs/>
          <w:b/>
        </w:rPr>
        <w:t xml:space="preserve">Construction:</w:t>
      </w:r>
      <w:r>
        <w:t xml:space="preserve"> </w:t>
      </w:r>
      <w:r>
        <w:t xml:space="preserve">NCC, T2H (5 projects, EUR 50M portfolio)</w:t>
      </w:r>
    </w:p>
    <w:p>
      <w:pPr>
        <w:numPr>
          <w:ilvl w:val="0"/>
          <w:numId w:val="1034"/>
        </w:numPr>
        <w:pStyle w:val="Compact"/>
      </w:pPr>
      <w:r>
        <w:rPr>
          <w:bCs/>
          <w:b/>
        </w:rPr>
        <w:t xml:space="preserve">Revenue during pilot:</w:t>
      </w:r>
      <w:r>
        <w:t xml:space="preserve"> </w:t>
      </w:r>
      <w:r>
        <w:t xml:space="preserve">EUR 10k MRR</w:t>
      </w:r>
    </w:p>
    <w:bookmarkEnd w:id="85"/>
    <w:bookmarkStart w:id="86" w:name="implementation-results"/>
    <w:p>
      <w:pPr>
        <w:pStyle w:val="Heading2"/>
      </w:pPr>
      <w:r>
        <w:t xml:space="preserve">5.4 Implementation Results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Achieved</w:t>
            </w:r>
          </w:p>
        </w:tc>
      </w:tr>
      <w:tr>
        <w:tc>
          <w:tcPr/>
          <w:p>
            <w:pPr>
              <w:pStyle w:val="Compact"/>
              <w:jc w:val="left"/>
            </w:pPr>
            <w:r>
              <w:t xml:space="preserve">Development velocity</w:t>
            </w:r>
          </w:p>
        </w:tc>
        <w:tc>
          <w:tcPr/>
          <w:p>
            <w:pPr>
              <w:pStyle w:val="Compact"/>
              <w:jc w:val="left"/>
            </w:pPr>
            <w:r>
              <w:t xml:space="preserve">+50%</w:t>
            </w:r>
          </w:p>
        </w:tc>
        <w:tc>
          <w:tcPr/>
          <w:p>
            <w:pPr>
              <w:pStyle w:val="Compact"/>
              <w:jc w:val="left"/>
            </w:pPr>
            <w:r>
              <w:t xml:space="preserve">+62% (with MCP Hub)</w:t>
            </w:r>
          </w:p>
        </w:tc>
      </w:tr>
      <w:tr>
        <w:tc>
          <w:tcPr/>
          <w:p>
            <w:pPr>
              <w:pStyle w:val="Compact"/>
              <w:jc w:val="left"/>
            </w:pPr>
            <w:r>
              <w:t xml:space="preserve">Bug reduction</w:t>
            </w:r>
          </w:p>
        </w:tc>
        <w:tc>
          <w:tcPr/>
          <w:p>
            <w:pPr>
              <w:pStyle w:val="Compact"/>
              <w:jc w:val="left"/>
            </w:pPr>
            <w:r>
              <w:t xml:space="preserve">-50%</w:t>
            </w:r>
          </w:p>
        </w:tc>
        <w:tc>
          <w:tcPr/>
          <w:p>
            <w:pPr>
              <w:pStyle w:val="Compact"/>
              <w:jc w:val="left"/>
            </w:pPr>
            <w:r>
              <w:t xml:space="preserve">-73%</w:t>
            </w:r>
          </w:p>
        </w:tc>
      </w:tr>
      <w:tr>
        <w:tc>
          <w:tcPr/>
          <w:p>
            <w:pPr>
              <w:pStyle w:val="Compact"/>
              <w:jc w:val="left"/>
            </w:pPr>
            <w:r>
              <w:t xml:space="preserve">Time to first customer</w:t>
            </w:r>
          </w:p>
        </w:tc>
        <w:tc>
          <w:tcPr/>
          <w:p>
            <w:pPr>
              <w:pStyle w:val="Compact"/>
              <w:jc w:val="left"/>
            </w:pPr>
            <w:r>
              <w:t xml:space="preserve">60 days</w:t>
            </w:r>
          </w:p>
        </w:tc>
        <w:tc>
          <w:tcPr/>
          <w:p>
            <w:pPr>
              <w:pStyle w:val="Compact"/>
              <w:jc w:val="left"/>
            </w:pPr>
            <w:r>
              <w:t xml:space="preserve">45 days</w:t>
            </w:r>
          </w:p>
        </w:tc>
      </w:tr>
      <w:tr>
        <w:tc>
          <w:tcPr/>
          <w:p>
            <w:pPr>
              <w:pStyle w:val="Compact"/>
              <w:jc w:val="left"/>
            </w:pPr>
            <w:r>
              <w:t xml:space="preserve">Agent deployment time</w:t>
            </w:r>
          </w:p>
        </w:tc>
        <w:tc>
          <w:tcPr/>
          <w:p>
            <w:pPr>
              <w:pStyle w:val="Compact"/>
              <w:jc w:val="left"/>
            </w:pPr>
            <w:r>
              <w:t xml:space="preserve">7 days</w:t>
            </w:r>
          </w:p>
        </w:tc>
        <w:tc>
          <w:tcPr/>
          <w:p>
            <w:pPr>
              <w:pStyle w:val="Compact"/>
              <w:jc w:val="left"/>
            </w:pPr>
            <w:r>
              <w:t xml:space="preserve">3 days (with templates)</w:t>
            </w:r>
          </w:p>
        </w:tc>
      </w:tr>
    </w:tbl>
    <w:p>
      <w:r>
        <w:pict>
          <v:rect style="width:0;height:1.5pt" o:hralign="center" o:hrstd="t" o:hr="t"/>
        </w:pict>
      </w:r>
    </w:p>
    <w:bookmarkEnd w:id="86"/>
    <w:bookmarkEnd w:id="87"/>
    <w:bookmarkStart w:id="102" w:name="dws10.com-e-commerce-integration"/>
    <w:p>
      <w:pPr>
        <w:pStyle w:val="Heading1"/>
      </w:pPr>
      <w:r>
        <w:t xml:space="preserve">6. DWS10.com E-Commerce Integration</w:t>
      </w:r>
    </w:p>
    <w:bookmarkStart w:id="88" w:name="store-architecture"/>
    <w:p>
      <w:pPr>
        <w:pStyle w:val="Heading2"/>
      </w:pPr>
      <w:r>
        <w:t xml:space="preserve">6.1 Store Architecture</w:t>
      </w:r>
    </w:p>
    <w:p>
      <w:pPr>
        <w:pStyle w:val="FirstParagraph"/>
      </w:pPr>
      <w:r>
        <w:t xml:space="preserve">The DWS10.com store validates the Firehorse operating model through direct sales:</w:t>
      </w:r>
    </w:p>
    <w:p>
      <w:pPr>
        <w:pStyle w:val="SourceCode"/>
      </w:pPr>
      <w:r>
        <w:rPr>
          <w:rStyle w:val="VerbatimChar"/>
        </w:rPr>
        <w:t xml:space="preserve">dws10.com/</w:t>
      </w:r>
      <w:r>
        <w:br/>
      </w:r>
      <w:r>
        <w:rPr>
          <w:rStyle w:val="VerbatimChar"/>
        </w:rPr>
        <w:t xml:space="preserve">+-- buy/                    # Store pages</w:t>
      </w:r>
      <w:r>
        <w:br/>
      </w:r>
      <w:r>
        <w:rPr>
          <w:rStyle w:val="VerbatimChar"/>
        </w:rPr>
        <w:t xml:space="preserve">|   +-- index.html         # Main store (Page 1)</w:t>
      </w:r>
      <w:r>
        <w:br/>
      </w:r>
      <w:r>
        <w:rPr>
          <w:rStyle w:val="VerbatimChar"/>
        </w:rPr>
        <w:t xml:space="preserve">|   +-- page2/index.html   # Additional products (Page 2)</w:t>
      </w:r>
      <w:r>
        <w:br/>
      </w:r>
      <w:r>
        <w:rPr>
          <w:rStyle w:val="VerbatimChar"/>
        </w:rPr>
        <w:t xml:space="preserve">|   +-- page3/index.html   # Consulting &amp; Training (Page 3)</w:t>
      </w:r>
      <w:r>
        <w:br/>
      </w:r>
      <w:r>
        <w:rPr>
          <w:rStyle w:val="VerbatimChar"/>
        </w:rPr>
        <w:t xml:space="preserve">+-- config/</w:t>
      </w:r>
      <w:r>
        <w:br/>
      </w:r>
      <w:r>
        <w:rPr>
          <w:rStyle w:val="VerbatimChar"/>
        </w:rPr>
        <w:t xml:space="preserve">|   +-- products.json      # Centralized product catalog (30 products)</w:t>
      </w:r>
      <w:r>
        <w:br/>
      </w:r>
      <w:r>
        <w:rPr>
          <w:rStyle w:val="VerbatimChar"/>
        </w:rPr>
        <w:t xml:space="preserve">+-- feeds/</w:t>
      </w:r>
      <w:r>
        <w:br/>
      </w:r>
      <w:r>
        <w:rPr>
          <w:rStyle w:val="VerbatimChar"/>
        </w:rPr>
        <w:t xml:space="preserve">|   +-- generate-feed.cjs  # Node.js feed generator</w:t>
      </w:r>
      <w:r>
        <w:br/>
      </w:r>
      <w:r>
        <w:rPr>
          <w:rStyle w:val="VerbatimChar"/>
        </w:rPr>
        <w:t xml:space="preserve">|   +-- google-products.xml # Google Merchant feed</w:t>
      </w:r>
      <w:r>
        <w:br/>
      </w:r>
      <w:r>
        <w:rPr>
          <w:rStyle w:val="VerbatimChar"/>
        </w:rPr>
        <w:t xml:space="preserve">+-- return-policy/</w:t>
      </w:r>
      <w:r>
        <w:br/>
      </w:r>
      <w:r>
        <w:rPr>
          <w:rStyle w:val="VerbatimChar"/>
        </w:rPr>
        <w:t xml:space="preserve">|   +-- index.html         # Return policy (Google requirement)</w:t>
      </w:r>
      <w:r>
        <w:br/>
      </w:r>
      <w:r>
        <w:rPr>
          <w:rStyle w:val="VerbatimChar"/>
        </w:rPr>
        <w:t xml:space="preserve">+-- docs/                   # Documentation</w:t>
      </w:r>
    </w:p>
    <w:bookmarkEnd w:id="88"/>
    <w:bookmarkStart w:id="89" w:name="product-catalog"/>
    <w:p>
      <w:pPr>
        <w:pStyle w:val="Heading2"/>
      </w:pPr>
      <w:r>
        <w:t xml:space="preserve">6.2 Product Catalog</w:t>
      </w:r>
    </w:p>
    <w:tbl>
      <w:tblPr>
        <w:tblStyle w:val="Table"/>
        <w:tblW w:type="pct" w:w="5000"/>
        <w:tblLook w:firstRow="1" w:lastRow="0" w:firstColumn="0" w:lastColumn="0" w:noHBand="0" w:noVBand="0" w:val="0020"/>
        <w:jc w:val="start"/>
      </w:tblPr>
      <w:tblGrid>
        <w:gridCol w:w="2168"/>
        <w:gridCol w:w="754"/>
        <w:gridCol w:w="1602"/>
        <w:gridCol w:w="3394"/>
      </w:tblGrid>
      <w:tr>
        <w:trPr>
          <w:tblHeader w:val="true"/>
        </w:trPr>
        <w:tc>
          <w:tcPr/>
          <w:p>
            <w:pPr>
              <w:pStyle w:val="Compact"/>
              <w:jc w:val="left"/>
            </w:pPr>
            <w:r>
              <w:t xml:space="preserve">Category</w:t>
            </w:r>
          </w:p>
        </w:tc>
        <w:tc>
          <w:tcPr/>
          <w:p>
            <w:pPr>
              <w:pStyle w:val="Compact"/>
              <w:jc w:val="left"/>
            </w:pPr>
            <w:r>
              <w:t xml:space="preserve">Products</w:t>
            </w:r>
          </w:p>
        </w:tc>
        <w:tc>
          <w:tcPr/>
          <w:p>
            <w:pPr>
              <w:pStyle w:val="Compact"/>
              <w:jc w:val="left"/>
            </w:pPr>
            <w:r>
              <w:t xml:space="preserve">Price Range</w:t>
            </w:r>
          </w:p>
        </w:tc>
        <w:tc>
          <w:tcPr/>
          <w:p>
            <w:pPr>
              <w:pStyle w:val="Compact"/>
              <w:jc w:val="left"/>
            </w:pPr>
            <w:r>
              <w:t xml:space="preserve">Examples</w:t>
            </w:r>
          </w:p>
        </w:tc>
      </w:tr>
      <w:tr>
        <w:tc>
          <w:tcPr/>
          <w:p>
            <w:pPr>
              <w:pStyle w:val="Compact"/>
              <w:jc w:val="left"/>
            </w:pPr>
            <w:r>
              <w:t xml:space="preserve">Platform Software</w:t>
            </w:r>
          </w:p>
        </w:tc>
        <w:tc>
          <w:tcPr/>
          <w:p>
            <w:pPr>
              <w:pStyle w:val="Compact"/>
              <w:jc w:val="left"/>
            </w:pPr>
            <w:r>
              <w:t xml:space="preserve">2</w:t>
            </w:r>
          </w:p>
        </w:tc>
        <w:tc>
          <w:tcPr/>
          <w:p>
            <w:pPr>
              <w:pStyle w:val="Compact"/>
              <w:jc w:val="left"/>
            </w:pPr>
            <w:r>
              <w:t xml:space="preserve">EUR 4,999 - 6,995</w:t>
            </w:r>
          </w:p>
        </w:tc>
        <w:tc>
          <w:tcPr/>
          <w:p>
            <w:pPr>
              <w:pStyle w:val="Compact"/>
              <w:jc w:val="left"/>
            </w:pPr>
            <w:r>
              <w:t xml:space="preserve">DWS IQ v5, v6</w:t>
            </w:r>
          </w:p>
        </w:tc>
      </w:tr>
      <w:tr>
        <w:tc>
          <w:tcPr/>
          <w:p>
            <w:pPr>
              <w:pStyle w:val="Compact"/>
              <w:jc w:val="left"/>
            </w:pPr>
            <w:r>
              <w:t xml:space="preserve">Firehorse Product Suite</w:t>
            </w:r>
          </w:p>
        </w:tc>
        <w:tc>
          <w:tcPr/>
          <w:p>
            <w:pPr>
              <w:pStyle w:val="Compact"/>
              <w:jc w:val="left"/>
            </w:pPr>
            <w:r>
              <w:t xml:space="preserve">6</w:t>
            </w:r>
          </w:p>
        </w:tc>
        <w:tc>
          <w:tcPr/>
          <w:p>
            <w:pPr>
              <w:pStyle w:val="Compact"/>
              <w:jc w:val="left"/>
            </w:pPr>
            <w:r>
              <w:t xml:space="preserve">EUR 499 - 4,950</w:t>
            </w:r>
          </w:p>
        </w:tc>
        <w:tc>
          <w:tcPr/>
          <w:p>
            <w:pPr>
              <w:pStyle w:val="Compact"/>
              <w:jc w:val="left"/>
            </w:pPr>
            <w:r>
              <w:t xml:space="preserve">Automation, Report, CMS, Omnichannel</w:t>
            </w:r>
          </w:p>
        </w:tc>
      </w:tr>
      <w:tr>
        <w:tc>
          <w:tcPr/>
          <w:p>
            <w:pPr>
              <w:pStyle w:val="Compact"/>
              <w:jc w:val="left"/>
            </w:pPr>
            <w:r>
              <w:t xml:space="preserve">Consulting Services</w:t>
            </w:r>
          </w:p>
        </w:tc>
        <w:tc>
          <w:tcPr/>
          <w:p>
            <w:pPr>
              <w:pStyle w:val="Compact"/>
              <w:jc w:val="left"/>
            </w:pPr>
            <w:r>
              <w:t xml:space="preserve">12</w:t>
            </w:r>
          </w:p>
        </w:tc>
        <w:tc>
          <w:tcPr/>
          <w:p>
            <w:pPr>
              <w:pStyle w:val="Compact"/>
              <w:jc w:val="left"/>
            </w:pPr>
            <w:r>
              <w:t xml:space="preserve">EUR 98 - 6,250</w:t>
            </w:r>
          </w:p>
        </w:tc>
        <w:tc>
          <w:tcPr/>
          <w:p>
            <w:pPr>
              <w:pStyle w:val="Compact"/>
              <w:jc w:val="left"/>
            </w:pPr>
            <w:r>
              <w:t xml:space="preserve">Hourly, monthly, workshop pricing</w:t>
            </w:r>
          </w:p>
        </w:tc>
      </w:tr>
      <w:tr>
        <w:tc>
          <w:tcPr/>
          <w:p>
            <w:pPr>
              <w:pStyle w:val="Compact"/>
              <w:jc w:val="left"/>
            </w:pPr>
            <w:r>
              <w:t xml:space="preserve">Training &amp; Coaching</w:t>
            </w:r>
          </w:p>
        </w:tc>
        <w:tc>
          <w:tcPr/>
          <w:p>
            <w:pPr>
              <w:pStyle w:val="Compact"/>
              <w:jc w:val="left"/>
            </w:pPr>
            <w:r>
              <w:t xml:space="preserve">4</w:t>
            </w:r>
          </w:p>
        </w:tc>
        <w:tc>
          <w:tcPr/>
          <w:p>
            <w:pPr>
              <w:pStyle w:val="Compact"/>
              <w:jc w:val="left"/>
            </w:pPr>
            <w:r>
              <w:t xml:space="preserve">EUR 499 - 6,250</w:t>
            </w:r>
          </w:p>
        </w:tc>
        <w:tc>
          <w:tcPr/>
          <w:p>
            <w:pPr>
              <w:pStyle w:val="Compact"/>
              <w:jc w:val="left"/>
            </w:pPr>
            <w:r>
              <w:t xml:space="preserve">AI Training, Coach, Mentor</w:t>
            </w:r>
          </w:p>
        </w:tc>
      </w:tr>
      <w:tr>
        <w:tc>
          <w:tcPr/>
          <w:p>
            <w:pPr>
              <w:pStyle w:val="Compact"/>
              <w:jc w:val="left"/>
            </w:pPr>
            <w:r>
              <w:t xml:space="preserve">Digital Products</w:t>
            </w:r>
          </w:p>
        </w:tc>
        <w:tc>
          <w:tcPr/>
          <w:p>
            <w:pPr>
              <w:pStyle w:val="Compact"/>
              <w:jc w:val="left"/>
            </w:pPr>
            <w:r>
              <w:t xml:space="preserve">6</w:t>
            </w:r>
          </w:p>
        </w:tc>
        <w:tc>
          <w:tcPr/>
          <w:p>
            <w:pPr>
              <w:pStyle w:val="Compact"/>
              <w:jc w:val="left"/>
            </w:pPr>
            <w:r>
              <w:t xml:space="preserve">EUR 0.99 - 799</w:t>
            </w:r>
          </w:p>
        </w:tc>
        <w:tc>
          <w:tcPr/>
          <w:p>
            <w:pPr>
              <w:pStyle w:val="Compact"/>
              <w:jc w:val="left"/>
            </w:pPr>
            <w:r>
              <w:t xml:space="preserve">Glossaries, websites</w:t>
            </w:r>
          </w:p>
        </w:tc>
      </w:tr>
    </w:tbl>
    <w:p>
      <w:pPr>
        <w:pStyle w:val="BodyText"/>
      </w:pPr>
      <w:r>
        <w:rPr>
          <w:bCs/>
          <w:b/>
        </w:rPr>
        <w:t xml:space="preserve">Total:</w:t>
      </w:r>
      <w:r>
        <w:t xml:space="preserve"> </w:t>
      </w:r>
      <w:r>
        <w:t xml:space="preserve">30 products with full Google Merchant compliance</w:t>
      </w:r>
    </w:p>
    <w:bookmarkEnd w:id="89"/>
    <w:bookmarkStart w:id="92" w:name="google-merchant-center-integration"/>
    <w:p>
      <w:pPr>
        <w:pStyle w:val="Heading2"/>
      </w:pPr>
      <w:r>
        <w:t xml:space="preserve">6.3 Google Merchant Center Integration</w:t>
      </w:r>
    </w:p>
    <w:bookmarkStart w:id="90" w:name="account-configuration"/>
    <w:p>
      <w:pPr>
        <w:pStyle w:val="Heading3"/>
      </w:pPr>
      <w:r>
        <w:t xml:space="preserve">Account Configuration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Merchant ID</w:t>
            </w:r>
          </w:p>
        </w:tc>
        <w:tc>
          <w:tcPr/>
          <w:p>
            <w:pPr>
              <w:pStyle w:val="Compact"/>
              <w:jc w:val="left"/>
            </w:pPr>
            <w:r>
              <w:t xml:space="preserve">8496329</w:t>
            </w:r>
          </w:p>
        </w:tc>
      </w:tr>
      <w:tr>
        <w:tc>
          <w:tcPr/>
          <w:p>
            <w:pPr>
              <w:pStyle w:val="Compact"/>
              <w:jc w:val="left"/>
            </w:pPr>
            <w:r>
              <w:t xml:space="preserve">Target country</w:t>
            </w:r>
          </w:p>
        </w:tc>
        <w:tc>
          <w:tcPr/>
          <w:p>
            <w:pPr>
              <w:pStyle w:val="Compact"/>
              <w:jc w:val="left"/>
            </w:pPr>
            <w:r>
              <w:t xml:space="preserve">Finland (FI)</w:t>
            </w:r>
          </w:p>
        </w:tc>
      </w:tr>
      <w:tr>
        <w:tc>
          <w:tcPr/>
          <w:p>
            <w:pPr>
              <w:pStyle w:val="Compact"/>
              <w:jc w:val="left"/>
            </w:pPr>
            <w:r>
              <w:t xml:space="preserve">Languages</w:t>
            </w:r>
          </w:p>
        </w:tc>
        <w:tc>
          <w:tcPr/>
          <w:p>
            <w:pPr>
              <w:pStyle w:val="Compact"/>
              <w:jc w:val="left"/>
            </w:pPr>
            <w:r>
              <w:t xml:space="preserve">English, Finnish</w:t>
            </w:r>
          </w:p>
        </w:tc>
      </w:tr>
      <w:tr>
        <w:tc>
          <w:tcPr/>
          <w:p>
            <w:pPr>
              <w:pStyle w:val="Compact"/>
              <w:jc w:val="left"/>
            </w:pPr>
            <w:r>
              <w:t xml:space="preserve">Feed method</w:t>
            </w:r>
          </w:p>
        </w:tc>
        <w:tc>
          <w:tcPr/>
          <w:p>
            <w:pPr>
              <w:pStyle w:val="Compact"/>
              <w:jc w:val="left"/>
            </w:pPr>
            <w:r>
              <w:t xml:space="preserve">SFTP upload</w:t>
            </w:r>
          </w:p>
        </w:tc>
      </w:tr>
      <w:tr>
        <w:tc>
          <w:tcPr/>
          <w:p>
            <w:pPr>
              <w:pStyle w:val="Compact"/>
              <w:jc w:val="left"/>
            </w:pPr>
            <w:r>
              <w:t xml:space="preserve">Feed URL</w:t>
            </w:r>
          </w:p>
        </w:tc>
        <w:tc>
          <w:tcPr/>
          <w:p>
            <w:pPr>
              <w:pStyle w:val="Compact"/>
              <w:jc w:val="left"/>
            </w:pPr>
            <w:r>
              <w:t xml:space="preserve">https://dws10.com/feeds/google-products.xml</w:t>
            </w:r>
          </w:p>
        </w:tc>
      </w:tr>
    </w:tbl>
    <w:bookmarkEnd w:id="90"/>
    <w:bookmarkStart w:id="91" w:name="historical-issues-resolved"/>
    <w:p>
      <w:pPr>
        <w:pStyle w:val="Heading3"/>
      </w:pPr>
      <w:r>
        <w:t xml:space="preserve">Historical Issues Resolved</w:t>
      </w:r>
    </w:p>
    <w:tbl>
      <w:tblPr>
        <w:tblStyle w:val="Table"/>
        <w:tblW w:type="pct" w:w="5000"/>
        <w:tblLook w:firstRow="1" w:lastRow="0" w:firstColumn="0" w:lastColumn="0" w:noHBand="0" w:noVBand="0" w:val="0020"/>
        <w:jc w:val="start"/>
      </w:tblPr>
      <w:tblGrid>
        <w:gridCol w:w="2046"/>
        <w:gridCol w:w="3114"/>
        <w:gridCol w:w="2758"/>
      </w:tblGrid>
      <w:tr>
        <w:trPr>
          <w:tblHeader w:val="true"/>
        </w:trPr>
        <w:tc>
          <w:tcPr/>
          <w:p>
            <w:pPr>
              <w:pStyle w:val="Compact"/>
              <w:jc w:val="left"/>
            </w:pPr>
            <w:r>
              <w:t xml:space="preserve">Issue</w:t>
            </w:r>
          </w:p>
        </w:tc>
        <w:tc>
          <w:tcPr/>
          <w:p>
            <w:pPr>
              <w:pStyle w:val="Compact"/>
              <w:jc w:val="left"/>
            </w:pPr>
            <w:r>
              <w:t xml:space="preserve">Root Cause</w:t>
            </w:r>
          </w:p>
        </w:tc>
        <w:tc>
          <w:tcPr/>
          <w:p>
            <w:pPr>
              <w:pStyle w:val="Compact"/>
              <w:jc w:val="left"/>
            </w:pPr>
            <w:r>
              <w:t xml:space="preserve">Resolution</w:t>
            </w:r>
          </w:p>
        </w:tc>
      </w:tr>
      <w:tr>
        <w:tc>
          <w:tcPr/>
          <w:p>
            <w:pPr>
              <w:pStyle w:val="Compact"/>
              <w:jc w:val="left"/>
            </w:pPr>
            <w:r>
              <w:t xml:space="preserve">Domain mismatch</w:t>
            </w:r>
          </w:p>
        </w:tc>
        <w:tc>
          <w:tcPr/>
          <w:p>
            <w:pPr>
              <w:pStyle w:val="Compact"/>
              <w:jc w:val="left"/>
            </w:pPr>
            <w:r>
              <w:t xml:space="preserve">URLs pointing to lifetime.fi</w:t>
            </w:r>
          </w:p>
        </w:tc>
        <w:tc>
          <w:tcPr/>
          <w:p>
            <w:pPr>
              <w:pStyle w:val="Compact"/>
              <w:jc w:val="left"/>
            </w:pPr>
            <w:r>
              <w:t xml:space="preserve">Updated all URLs to dws10.com</w:t>
            </w:r>
          </w:p>
        </w:tc>
      </w:tr>
      <w:tr>
        <w:tc>
          <w:tcPr/>
          <w:p>
            <w:pPr>
              <w:pStyle w:val="Compact"/>
              <w:jc w:val="left"/>
            </w:pPr>
            <w:r>
              <w:t xml:space="preserve">Duplicate products</w:t>
            </w:r>
          </w:p>
        </w:tc>
        <w:tc>
          <w:tcPr/>
          <w:p>
            <w:pPr>
              <w:pStyle w:val="Compact"/>
              <w:jc w:val="left"/>
            </w:pPr>
            <w:r>
              <w:t xml:space="preserve">ID mismatch with Merchant Center</w:t>
            </w:r>
          </w:p>
        </w:tc>
        <w:tc>
          <w:tcPr/>
          <w:p>
            <w:pPr>
              <w:pStyle w:val="Compact"/>
              <w:jc w:val="left"/>
            </w:pPr>
            <w:r>
              <w:t xml:space="preserve">Harmonized IDs in products.json</w:t>
            </w:r>
          </w:p>
        </w:tc>
      </w:tr>
      <w:tr>
        <w:tc>
          <w:tcPr/>
          <w:p>
            <w:pPr>
              <w:pStyle w:val="Compact"/>
              <w:jc w:val="left"/>
            </w:pPr>
            <w:r>
              <w:t xml:space="preserve">identifier_exists error</w:t>
            </w:r>
          </w:p>
        </w:tc>
        <w:tc>
          <w:tcPr/>
          <w:p>
            <w:pPr>
              <w:pStyle w:val="Compact"/>
              <w:jc w:val="left"/>
            </w:pPr>
            <w:r>
              <w:t xml:space="preserve">Set to false when MPN+brand present</w:t>
            </w:r>
          </w:p>
        </w:tc>
        <w:tc>
          <w:tcPr/>
          <w:p>
            <w:pPr>
              <w:pStyle w:val="Compact"/>
              <w:jc w:val="left"/>
            </w:pPr>
            <w:r>
              <w:t xml:space="preserve">Removed field entirely</w:t>
            </w:r>
          </w:p>
        </w:tc>
      </w:tr>
      <w:tr>
        <w:tc>
          <w:tcPr/>
          <w:p>
            <w:pPr>
              <w:pStyle w:val="Compact"/>
              <w:jc w:val="left"/>
            </w:pPr>
            <w:r>
              <w:t xml:space="preserve">Missing checkout links</w:t>
            </w:r>
          </w:p>
        </w:tc>
        <w:tc>
          <w:tcPr/>
          <w:p>
            <w:pPr>
              <w:pStyle w:val="Compact"/>
              <w:jc w:val="left"/>
            </w:pPr>
            <w:r>
              <w:t xml:space="preserve">Payment URL not configured</w:t>
            </w:r>
          </w:p>
        </w:tc>
        <w:tc>
          <w:tcPr/>
          <w:p>
            <w:pPr>
              <w:pStyle w:val="Compact"/>
              <w:jc w:val="left"/>
            </w:pPr>
            <w:r>
              <w:t xml:space="preserve">Added Revolut links</w:t>
            </w:r>
          </w:p>
        </w:tc>
      </w:tr>
    </w:tbl>
    <w:bookmarkEnd w:id="91"/>
    <w:bookmarkEnd w:id="92"/>
    <w:bookmarkStart w:id="94" w:name="revolut-business-payment-integration"/>
    <w:p>
      <w:pPr>
        <w:pStyle w:val="Heading2"/>
      </w:pPr>
      <w:r>
        <w:t xml:space="preserve">6.4 Revolut Business Payment Integration</w:t>
      </w:r>
    </w:p>
    <w:bookmarkStart w:id="93" w:name="why-revolut-business"/>
    <w:p>
      <w:pPr>
        <w:pStyle w:val="Heading3"/>
      </w:pPr>
      <w:r>
        <w:t xml:space="preserve">Why Revolut Business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Benefit</w:t>
            </w:r>
          </w:p>
        </w:tc>
      </w:tr>
      <w:tr>
        <w:tc>
          <w:tcPr/>
          <w:p>
            <w:pPr>
              <w:pStyle w:val="Compact"/>
              <w:jc w:val="left"/>
            </w:pPr>
            <w:r>
              <w:t xml:space="preserve">Instant settlements</w:t>
            </w:r>
          </w:p>
        </w:tc>
        <w:tc>
          <w:tcPr/>
          <w:p>
            <w:pPr>
              <w:pStyle w:val="Compact"/>
              <w:jc w:val="left"/>
            </w:pPr>
            <w:r>
              <w:t xml:space="preserve">Improved cash flow, same-day availability</w:t>
            </w:r>
          </w:p>
        </w:tc>
      </w:tr>
      <w:tr>
        <w:tc>
          <w:tcPr/>
          <w:p>
            <w:pPr>
              <w:pStyle w:val="Compact"/>
              <w:jc w:val="left"/>
            </w:pPr>
            <w:r>
              <w:t xml:space="preserve">Multi-currency support</w:t>
            </w:r>
          </w:p>
        </w:tc>
        <w:tc>
          <w:tcPr/>
          <w:p>
            <w:pPr>
              <w:pStyle w:val="Compact"/>
              <w:jc w:val="left"/>
            </w:pPr>
            <w:r>
              <w:t xml:space="preserve">Support for EUR, SEK, NOK, DKK, GBP</w:t>
            </w:r>
          </w:p>
        </w:tc>
      </w:tr>
      <w:tr>
        <w:tc>
          <w:tcPr/>
          <w:p>
            <w:pPr>
              <w:pStyle w:val="Compact"/>
              <w:jc w:val="left"/>
            </w:pPr>
            <w:r>
              <w:t xml:space="preserve">Low fees</w:t>
            </w:r>
          </w:p>
        </w:tc>
        <w:tc>
          <w:tcPr/>
          <w:p>
            <w:pPr>
              <w:pStyle w:val="Compact"/>
              <w:jc w:val="left"/>
            </w:pPr>
            <w:r>
              <w:t xml:space="preserve">1.0% + EUR 0.20 per transaction</w:t>
            </w:r>
          </w:p>
        </w:tc>
      </w:tr>
      <w:tr>
        <w:tc>
          <w:tcPr/>
          <w:p>
            <w:pPr>
              <w:pStyle w:val="Compact"/>
              <w:jc w:val="left"/>
            </w:pPr>
            <w:r>
              <w:t xml:space="preserve">Checkout links</w:t>
            </w:r>
          </w:p>
        </w:tc>
        <w:tc>
          <w:tcPr/>
          <w:p>
            <w:pPr>
              <w:pStyle w:val="Compact"/>
              <w:jc w:val="left"/>
            </w:pPr>
            <w:r>
              <w:t xml:space="preserve">Direct Google Merchant support</w:t>
            </w:r>
          </w:p>
        </w:tc>
      </w:tr>
      <w:tr>
        <w:tc>
          <w:tcPr/>
          <w:p>
            <w:pPr>
              <w:pStyle w:val="Compact"/>
              <w:jc w:val="left"/>
            </w:pPr>
            <w:r>
              <w:t xml:space="preserve">Apple Pay / Google Pay</w:t>
            </w:r>
          </w:p>
        </w:tc>
        <w:tc>
          <w:tcPr/>
          <w:p>
            <w:pPr>
              <w:pStyle w:val="Compact"/>
              <w:jc w:val="left"/>
            </w:pPr>
            <w:r>
              <w:t xml:space="preserve">Modern payment methods</w:t>
            </w:r>
          </w:p>
        </w:tc>
      </w:tr>
    </w:tbl>
    <w:bookmarkEnd w:id="93"/>
    <w:bookmarkEnd w:id="94"/>
    <w:bookmarkStart w:id="96" w:name="X73f56bd13c2b3815341f372bf18ac6e57a06f3f"/>
    <w:p>
      <w:pPr>
        <w:pStyle w:val="Heading2"/>
      </w:pPr>
      <w:r>
        <w:t xml:space="preserve">6.5 Firehorse Operating Model for Store Management</w:t>
      </w:r>
    </w:p>
    <w:p>
      <w:pPr>
        <w:pStyle w:val="FirstParagraph"/>
      </w:pPr>
      <w:r>
        <w:t xml:space="preserve">The store is managed using the Firehorse operating model with Claude Code:</w:t>
      </w:r>
    </w:p>
    <w:p>
      <w:pPr>
        <w:pStyle w:val="SourceCode"/>
      </w:pPr>
      <w:r>
        <w:rPr>
          <w:rStyle w:val="VerbatimChar"/>
        </w:rPr>
        <w:t xml:space="preserve">+-------------------------------------------------------------+</w:t>
      </w:r>
      <w:r>
        <w:br/>
      </w:r>
      <w:r>
        <w:rPr>
          <w:rStyle w:val="VerbatimChar"/>
        </w:rPr>
        <w:t xml:space="preserve">|                 FIREHORSE OPERATIONS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Human   | --&gt; |  Claude Code | --&gt; |   Systems    |      |</w:t>
      </w:r>
      <w:r>
        <w:br/>
      </w:r>
      <w:r>
        <w:rPr>
          <w:rStyle w:val="VerbatimChar"/>
        </w:rPr>
        <w:t xml:space="preserve">|   |  Intent  |     |  (AI Agent)  |     |  (Git, APIs) |      |</w:t>
      </w:r>
      <w:r>
        <w:br/>
      </w:r>
      <w:r>
        <w:rPr>
          <w:rStyle w:val="VerbatimChar"/>
        </w:rPr>
        <w:t xml:space="preserve">|   +----------+     +--------------+     +--------------+      |</w:t>
      </w:r>
      <w:r>
        <w:br/>
      </w:r>
      <w:r>
        <w:rPr>
          <w:rStyle w:val="VerbatimChar"/>
        </w:rPr>
        <w:t xml:space="preserve">|                          |                    |               |</w:t>
      </w:r>
      <w:r>
        <w:br/>
      </w:r>
      <w:r>
        <w:rPr>
          <w:rStyle w:val="VerbatimChar"/>
        </w:rPr>
        <w:t xml:space="preserve">|                          v                    v               |</w:t>
      </w:r>
      <w:r>
        <w:br/>
      </w:r>
      <w:r>
        <w:rPr>
          <w:rStyle w:val="VerbatimChar"/>
        </w:rPr>
        <w:t xml:space="preserve">|                   +--------------+     +--------------+       |</w:t>
      </w:r>
      <w:r>
        <w:br/>
      </w:r>
      <w:r>
        <w:rPr>
          <w:rStyle w:val="VerbatimChar"/>
        </w:rPr>
        <w:t xml:space="preserve">|                   |  Artifacts   |     |   Outcomes   |       |</w:t>
      </w:r>
      <w:r>
        <w:br/>
      </w:r>
      <w:r>
        <w:rPr>
          <w:rStyle w:val="VerbatimChar"/>
        </w:rPr>
        <w:t xml:space="preserve">|                   | (Code, Docs) |     | (Deployments)|       |</w:t>
      </w:r>
      <w:r>
        <w:br/>
      </w:r>
      <w:r>
        <w:rPr>
          <w:rStyle w:val="VerbatimChar"/>
        </w:rPr>
        <w:t xml:space="preserve">|                   +--------------+     +--------------+       |</w:t>
      </w:r>
      <w:r>
        <w:br/>
      </w:r>
      <w:r>
        <w:rPr>
          <w:rStyle w:val="VerbatimChar"/>
        </w:rPr>
        <w:t xml:space="preserve">|                                                               |</w:t>
      </w:r>
      <w:r>
        <w:br/>
      </w:r>
      <w:r>
        <w:rPr>
          <w:rStyle w:val="VerbatimChar"/>
        </w:rPr>
        <w:t xml:space="preserve">+-------------------------------------------------------------+</w:t>
      </w:r>
    </w:p>
    <w:bookmarkStart w:id="95" w:name="operational-efficiency-improvements"/>
    <w:p>
      <w:pPr>
        <w:pStyle w:val="Heading3"/>
      </w:pPr>
      <w:r>
        <w:t xml:space="preserve">Operational Efficiency Improvements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Product update time</w:t>
            </w:r>
          </w:p>
        </w:tc>
        <w:tc>
          <w:tcPr/>
          <w:p>
            <w:pPr>
              <w:pStyle w:val="Compact"/>
              <w:jc w:val="left"/>
            </w:pPr>
            <w:r>
              <w:t xml:space="preserve">2 hours</w:t>
            </w:r>
          </w:p>
        </w:tc>
        <w:tc>
          <w:tcPr/>
          <w:p>
            <w:pPr>
              <w:pStyle w:val="Compact"/>
              <w:jc w:val="left"/>
            </w:pPr>
            <w:r>
              <w:t xml:space="preserve">5 minutes</w:t>
            </w:r>
          </w:p>
        </w:tc>
        <w:tc>
          <w:tcPr/>
          <w:p>
            <w:pPr>
              <w:pStyle w:val="Compact"/>
              <w:jc w:val="left"/>
            </w:pPr>
            <w:r>
              <w:t xml:space="preserve">96%</w:t>
            </w:r>
          </w:p>
        </w:tc>
      </w:tr>
      <w:tr>
        <w:tc>
          <w:tcPr/>
          <w:p>
            <w:pPr>
              <w:pStyle w:val="Compact"/>
              <w:jc w:val="left"/>
            </w:pPr>
            <w:r>
              <w:t xml:space="preserve">Feed generation</w:t>
            </w:r>
          </w:p>
        </w:tc>
        <w:tc>
          <w:tcPr/>
          <w:p>
            <w:pPr>
              <w:pStyle w:val="Compact"/>
              <w:jc w:val="left"/>
            </w:pPr>
            <w:r>
              <w:t xml:space="preserve">Manual</w:t>
            </w:r>
          </w:p>
        </w:tc>
        <w:tc>
          <w:tcPr/>
          <w:p>
            <w:pPr>
              <w:pStyle w:val="Compact"/>
              <w:jc w:val="left"/>
            </w:pPr>
            <w:r>
              <w:t xml:space="preserve">Automated</w:t>
            </w:r>
          </w:p>
        </w:tc>
        <w:tc>
          <w:tcPr/>
          <w:p>
            <w:pPr>
              <w:pStyle w:val="Compact"/>
              <w:jc w:val="left"/>
            </w:pPr>
            <w:r>
              <w:t xml:space="preserve">100%</w:t>
            </w:r>
          </w:p>
        </w:tc>
      </w:tr>
      <w:tr>
        <w:tc>
          <w:tcPr/>
          <w:p>
            <w:pPr>
              <w:pStyle w:val="Compact"/>
              <w:jc w:val="left"/>
            </w:pPr>
            <w:r>
              <w:t xml:space="preserve">Documentation creation</w:t>
            </w:r>
          </w:p>
        </w:tc>
        <w:tc>
          <w:tcPr/>
          <w:p>
            <w:pPr>
              <w:pStyle w:val="Compact"/>
              <w:jc w:val="left"/>
            </w:pPr>
            <w:r>
              <w:t xml:space="preserve">1 week</w:t>
            </w:r>
          </w:p>
        </w:tc>
        <w:tc>
          <w:tcPr/>
          <w:p>
            <w:pPr>
              <w:pStyle w:val="Compact"/>
              <w:jc w:val="left"/>
            </w:pPr>
            <w:r>
              <w:t xml:space="preserve">1 hour</w:t>
            </w:r>
          </w:p>
        </w:tc>
        <w:tc>
          <w:tcPr/>
          <w:p>
            <w:pPr>
              <w:pStyle w:val="Compact"/>
              <w:jc w:val="left"/>
            </w:pPr>
            <w:r>
              <w:t xml:space="preserve">99%</w:t>
            </w:r>
          </w:p>
        </w:tc>
      </w:tr>
      <w:tr>
        <w:tc>
          <w:tcPr/>
          <w:p>
            <w:pPr>
              <w:pStyle w:val="Compact"/>
              <w:jc w:val="left"/>
            </w:pPr>
            <w:r>
              <w:t xml:space="preserve">Error rate</w:t>
            </w:r>
          </w:p>
        </w:tc>
        <w:tc>
          <w:tcPr/>
          <w:p>
            <w:pPr>
              <w:pStyle w:val="Compact"/>
              <w:jc w:val="left"/>
            </w:pPr>
            <w:r>
              <w:t xml:space="preserve">5%</w:t>
            </w:r>
          </w:p>
        </w:tc>
        <w:tc>
          <w:tcPr/>
          <w:p>
            <w:pPr>
              <w:pStyle w:val="Compact"/>
              <w:jc w:val="left"/>
            </w:pPr>
            <w:r>
              <w:t xml:space="preserve">&lt;1%</w:t>
            </w:r>
          </w:p>
        </w:tc>
        <w:tc>
          <w:tcPr/>
          <w:p>
            <w:pPr>
              <w:pStyle w:val="Compact"/>
              <w:jc w:val="left"/>
            </w:pPr>
            <w:r>
              <w:t xml:space="preserve">80%</w:t>
            </w:r>
          </w:p>
        </w:tc>
      </w:tr>
    </w:tbl>
    <w:bookmarkEnd w:id="95"/>
    <w:bookmarkEnd w:id="96"/>
    <w:bookmarkStart w:id="97" w:name="weekly-maintenance-routine"/>
    <w:p>
      <w:pPr>
        <w:pStyle w:val="Heading2"/>
      </w:pPr>
      <w:r>
        <w:t xml:space="preserve">6.6 Weekly Maintenance Routine</w:t>
      </w:r>
    </w:p>
    <w:tbl>
      <w:tblPr>
        <w:tblStyle w:val="Table"/>
        <w:tblW w:type="pct" w:w="5000"/>
        <w:tblLook w:firstRow="1" w:lastRow="0" w:firstColumn="0" w:lastColumn="0" w:noHBand="0" w:noVBand="0" w:val="0020"/>
        <w:jc w:val="start"/>
      </w:tblPr>
      <w:tblGrid>
        <w:gridCol w:w="1131"/>
        <w:gridCol w:w="5782"/>
        <w:gridCol w:w="1005"/>
      </w:tblGrid>
      <w:tr>
        <w:trPr>
          <w:tblHeader w:val="true"/>
        </w:trPr>
        <w:tc>
          <w:tcPr/>
          <w:p>
            <w:pPr>
              <w:pStyle w:val="Compact"/>
              <w:jc w:val="left"/>
            </w:pPr>
            <w:r>
              <w:t xml:space="preserve">Day</w:t>
            </w:r>
          </w:p>
        </w:tc>
        <w:tc>
          <w:tcPr/>
          <w:p>
            <w:pPr>
              <w:pStyle w:val="Compact"/>
              <w:jc w:val="left"/>
            </w:pPr>
            <w:r>
              <w:t xml:space="preserve">Task</w:t>
            </w:r>
          </w:p>
        </w:tc>
        <w:tc>
          <w:tcPr/>
          <w:p>
            <w:pPr>
              <w:pStyle w:val="Compact"/>
              <w:jc w:val="left"/>
            </w:pPr>
            <w:r>
              <w:t xml:space="preserve">Duration</w:t>
            </w:r>
          </w:p>
        </w:tc>
      </w:tr>
      <w:tr>
        <w:tc>
          <w:tcPr/>
          <w:p>
            <w:pPr>
              <w:pStyle w:val="Compact"/>
              <w:jc w:val="left"/>
            </w:pPr>
            <w:r>
              <w:t xml:space="preserve">Monday</w:t>
            </w:r>
          </w:p>
        </w:tc>
        <w:tc>
          <w:tcPr/>
          <w:p>
            <w:pPr>
              <w:pStyle w:val="Compact"/>
              <w:jc w:val="left"/>
            </w:pPr>
            <w:r>
              <w:t xml:space="preserve">Feed health check, Google Merchant diagnostics</w:t>
            </w:r>
          </w:p>
        </w:tc>
        <w:tc>
          <w:tcPr/>
          <w:p>
            <w:pPr>
              <w:pStyle w:val="Compact"/>
              <w:jc w:val="left"/>
            </w:pPr>
            <w:r>
              <w:t xml:space="preserve">15 min</w:t>
            </w:r>
          </w:p>
        </w:tc>
      </w:tr>
      <w:tr>
        <w:tc>
          <w:tcPr/>
          <w:p>
            <w:pPr>
              <w:pStyle w:val="Compact"/>
              <w:jc w:val="left"/>
            </w:pPr>
            <w:r>
              <w:t xml:space="preserve">Wednesday</w:t>
            </w:r>
          </w:p>
        </w:tc>
        <w:tc>
          <w:tcPr/>
          <w:p>
            <w:pPr>
              <w:pStyle w:val="Compact"/>
              <w:jc w:val="left"/>
            </w:pPr>
            <w:r>
              <w:t xml:space="preserve">Performance review, CTR analysis</w:t>
            </w:r>
          </w:p>
        </w:tc>
        <w:tc>
          <w:tcPr/>
          <w:p>
            <w:pPr>
              <w:pStyle w:val="Compact"/>
              <w:jc w:val="left"/>
            </w:pPr>
            <w:r>
              <w:t xml:space="preserve">30 min</w:t>
            </w:r>
          </w:p>
        </w:tc>
      </w:tr>
      <w:tr>
        <w:tc>
          <w:tcPr/>
          <w:p>
            <w:pPr>
              <w:pStyle w:val="Compact"/>
              <w:jc w:val="left"/>
            </w:pPr>
            <w:r>
              <w:t xml:space="preserve">Friday</w:t>
            </w:r>
          </w:p>
        </w:tc>
        <w:tc>
          <w:tcPr/>
          <w:p>
            <w:pPr>
              <w:pStyle w:val="Compact"/>
              <w:jc w:val="left"/>
            </w:pPr>
            <w:r>
              <w:t xml:space="preserve">Optimization, feed upload, Git commit</w:t>
            </w:r>
          </w:p>
        </w:tc>
        <w:tc>
          <w:tcPr/>
          <w:p>
            <w:pPr>
              <w:pStyle w:val="Compact"/>
              <w:jc w:val="left"/>
            </w:pPr>
            <w:r>
              <w:t xml:space="preserve">45 min</w:t>
            </w:r>
          </w:p>
        </w:tc>
      </w:tr>
    </w:tbl>
    <w:bookmarkEnd w:id="97"/>
    <w:bookmarkStart w:id="101" w:name="human-in-the-loop-learning-pipeline-hil"/>
    <w:p>
      <w:pPr>
        <w:pStyle w:val="Heading2"/>
      </w:pPr>
      <w:r>
        <w:t xml:space="preserve">6.7 Human-in-the-Loop Learning Pipeline (HIL)</w:t>
      </w:r>
    </w:p>
    <w:p>
      <w:pPr>
        <w:pStyle w:val="FirstParagraph"/>
      </w:pPr>
      <w:r>
        <w:t xml:space="preserve">The DWS6 platform’s daily operations are managed through an automated Human-in-the-Loop (HIL) learning pipeline, creating a continuous feedback loop between the developer, AI agents, and the codebase.</w:t>
      </w:r>
    </w:p>
    <w:bookmarkStart w:id="98" w:name="pipeline-architecture"/>
    <w:p>
      <w:pPr>
        <w:pStyle w:val="Heading3"/>
      </w:pPr>
      <w:r>
        <w:t xml:space="preserve">Pipeline Architecture</w:t>
      </w:r>
    </w:p>
    <w:p>
      <w:pPr>
        <w:pStyle w:val="SourceCode"/>
      </w:pPr>
      <w:r>
        <w:rPr>
          <w:rStyle w:val="VerbatimChar"/>
        </w:rPr>
        <w:t xml:space="preserve">GitHub (source of truth)</w:t>
      </w:r>
      <w:r>
        <w:br/>
      </w:r>
      <w:r>
        <w:rPr>
          <w:rStyle w:val="VerbatimChar"/>
        </w:rPr>
        <w:t xml:space="preserve">    | git pull (daily, automated via Startup-DailySync.bat)</w:t>
      </w:r>
      <w:r>
        <w:br/>
      </w:r>
      <w:r>
        <w:rPr>
          <w:rStyle w:val="VerbatimChar"/>
        </w:rPr>
        <w:t xml:space="preserve">Local repository (Windows)</w:t>
      </w:r>
      <w:r>
        <w:br/>
      </w:r>
      <w:r>
        <w:rPr>
          <w:rStyle w:val="VerbatimChar"/>
        </w:rPr>
        <w:t xml:space="preserve">    | Sync-ToProton.ps1</w:t>
      </w:r>
      <w:r>
        <w:br/>
      </w:r>
      <w:r>
        <w:rPr>
          <w:rStyle w:val="VerbatimChar"/>
        </w:rPr>
        <w:t xml:space="preserve">Proton Drive (encrypted local backup)</w:t>
      </w:r>
      <w:r>
        <w:br/>
      </w:r>
      <w:r>
        <w:rPr>
          <w:rStyle w:val="VerbatimChar"/>
        </w:rPr>
        <w:t xml:space="preserve">    | Generate-PDFs.ps1 -&gt; styled HTML -&gt; Learn/ folder</w:t>
      </w:r>
      <w:r>
        <w:br/>
      </w:r>
      <w:r>
        <w:rPr>
          <w:rStyle w:val="VerbatimChar"/>
        </w:rPr>
        <w:t xml:space="preserve">    | Sync-ToSupabase.ps1</w:t>
      </w:r>
      <w:r>
        <w:br/>
      </w:r>
      <w:r>
        <w:rPr>
          <w:rStyle w:val="VerbatimChar"/>
        </w:rPr>
        <w:t xml:space="preserve">Supabase Storage (EU cloud backup)</w:t>
      </w:r>
      <w:r>
        <w:br/>
      </w:r>
      <w:r>
        <w:rPr>
          <w:rStyle w:val="VerbatimChar"/>
        </w:rPr>
        <w:t xml:space="preserve">    |</w:t>
      </w:r>
      <w:r>
        <w:br/>
      </w:r>
      <w:r>
        <w:rPr>
          <w:rStyle w:val="VerbatimChar"/>
        </w:rPr>
        <w:t xml:space="preserve">Edge browser (morning review of Learn/ folder content)</w:t>
      </w:r>
      <w:r>
        <w:br/>
      </w:r>
      <w:r>
        <w:rPr>
          <w:rStyle w:val="VerbatimChar"/>
        </w:rPr>
        <w:t xml:space="preserve">    | human reads, learns, decides what needs work</w:t>
      </w:r>
      <w:r>
        <w:br/>
      </w:r>
      <w:r>
        <w:rPr>
          <w:rStyle w:val="VerbatimChar"/>
        </w:rPr>
        <w:t xml:space="preserve">Claude Code session (next action)</w:t>
      </w:r>
      <w:r>
        <w:br/>
      </w:r>
      <w:r>
        <w:rPr>
          <w:rStyle w:val="VerbatimChar"/>
        </w:rPr>
        <w:t xml:space="preserve">    | git push</w:t>
      </w:r>
      <w:r>
        <w:br/>
      </w:r>
      <w:r>
        <w:rPr>
          <w:rStyle w:val="VerbatimChar"/>
        </w:rPr>
        <w:t xml:space="preserve">GitHub -&gt; cycle repeats</w:t>
      </w:r>
    </w:p>
    <w:bookmarkEnd w:id="98"/>
    <w:bookmarkStart w:id="99" w:name="pipeline-components"/>
    <w:p>
      <w:pPr>
        <w:pStyle w:val="Heading3"/>
      </w:pPr>
      <w:r>
        <w:t xml:space="preserve">Pipeline Components</w:t>
      </w:r>
    </w:p>
    <w:tbl>
      <w:tblPr>
        <w:tblStyle w:val="Table"/>
        <w:tblW w:type="pct" w:w="5000"/>
        <w:tblLook w:firstRow="1" w:lastRow="0" w:firstColumn="0" w:lastColumn="0" w:noHBand="0" w:noVBand="0" w:val="0020"/>
        <w:jc w:val="start"/>
      </w:tblPr>
      <w:tblGrid>
        <w:gridCol w:w="360"/>
        <w:gridCol w:w="1890"/>
        <w:gridCol w:w="4050"/>
        <w:gridCol w:w="1620"/>
      </w:tblGrid>
      <w:tr>
        <w:trPr>
          <w:tblHeader w:val="true"/>
        </w:trPr>
        <w:tc>
          <w:tcPr/>
          <w:p>
            <w:pPr>
              <w:pStyle w:val="Compact"/>
              <w:jc w:val="left"/>
            </w:pPr>
            <w:r>
              <w:t xml:space="preserve">Step</w:t>
            </w:r>
          </w:p>
        </w:tc>
        <w:tc>
          <w:tcPr/>
          <w:p>
            <w:pPr>
              <w:pStyle w:val="Compact"/>
              <w:jc w:val="left"/>
            </w:pPr>
            <w:r>
              <w:t xml:space="preserve">Script</w:t>
            </w:r>
          </w:p>
        </w:tc>
        <w:tc>
          <w:tcPr/>
          <w:p>
            <w:pPr>
              <w:pStyle w:val="Compact"/>
              <w:jc w:val="left"/>
            </w:pPr>
            <w:r>
              <w:t xml:space="preserve">Function</w:t>
            </w:r>
          </w:p>
        </w:tc>
        <w:tc>
          <w:tcPr/>
          <w:p>
            <w:pPr>
              <w:pStyle w:val="Compact"/>
              <w:jc w:val="left"/>
            </w:pPr>
            <w:r>
              <w:t xml:space="preserve">Output</w:t>
            </w:r>
          </w:p>
        </w:tc>
      </w:tr>
      <w:tr>
        <w:tc>
          <w:tcPr/>
          <w:p>
            <w:pPr>
              <w:pStyle w:val="Compact"/>
              <w:jc w:val="left"/>
            </w:pPr>
            <w:r>
              <w:t xml:space="preserve">1</w:t>
            </w:r>
          </w:p>
        </w:tc>
        <w:tc>
          <w:tcPr/>
          <w:p>
            <w:pPr>
              <w:pStyle w:val="Compact"/>
              <w:jc w:val="left"/>
            </w:pPr>
            <w:r>
              <w:rPr>
                <w:rStyle w:val="VerbatimChar"/>
              </w:rPr>
              <w:t xml:space="preserve">git pull</w:t>
            </w:r>
          </w:p>
        </w:tc>
        <w:tc>
          <w:tcPr/>
          <w:p>
            <w:pPr>
              <w:pStyle w:val="Compact"/>
              <w:jc w:val="left"/>
            </w:pPr>
            <w:r>
              <w:t xml:space="preserve">Fetch latest changes from GitHub</w:t>
            </w:r>
          </w:p>
        </w:tc>
        <w:tc>
          <w:tcPr/>
          <w:p>
            <w:pPr>
              <w:pStyle w:val="Compact"/>
              <w:jc w:val="left"/>
            </w:pPr>
            <w:r>
              <w:t xml:space="preserve">Updated local repo</w:t>
            </w:r>
          </w:p>
        </w:tc>
      </w:tr>
      <w:tr>
        <w:tc>
          <w:tcPr/>
          <w:p>
            <w:pPr>
              <w:pStyle w:val="Compact"/>
              <w:jc w:val="left"/>
            </w:pPr>
            <w:r>
              <w:t xml:space="preserve">2</w:t>
            </w:r>
          </w:p>
        </w:tc>
        <w:tc>
          <w:tcPr/>
          <w:p>
            <w:pPr>
              <w:pStyle w:val="Compact"/>
              <w:jc w:val="left"/>
            </w:pPr>
            <w:r>
              <w:rPr>
                <w:rStyle w:val="VerbatimChar"/>
              </w:rPr>
              <w:t xml:space="preserve">Sync-ToProton.ps1</w:t>
            </w:r>
          </w:p>
        </w:tc>
        <w:tc>
          <w:tcPr/>
          <w:p>
            <w:pPr>
              <w:pStyle w:val="Compact"/>
              <w:jc w:val="left"/>
            </w:pPr>
            <w:r>
              <w:t xml:space="preserve">Copy business files to Proton Drive</w:t>
            </w:r>
          </w:p>
        </w:tc>
        <w:tc>
          <w:tcPr/>
          <w:p>
            <w:pPr>
              <w:pStyle w:val="Compact"/>
              <w:jc w:val="left"/>
            </w:pPr>
            <w:r>
              <w:t xml:space="preserve">Encrypted backup</w:t>
            </w:r>
          </w:p>
        </w:tc>
      </w:tr>
      <w:tr>
        <w:tc>
          <w:tcPr/>
          <w:p>
            <w:pPr>
              <w:pStyle w:val="Compact"/>
              <w:jc w:val="left"/>
            </w:pPr>
            <w:r>
              <w:t xml:space="preserve">3</w:t>
            </w:r>
          </w:p>
        </w:tc>
        <w:tc>
          <w:tcPr/>
          <w:p>
            <w:pPr>
              <w:pStyle w:val="Compact"/>
              <w:jc w:val="left"/>
            </w:pPr>
            <w:r>
              <w:rPr>
                <w:rStyle w:val="VerbatimChar"/>
              </w:rPr>
              <w:t xml:space="preserve">Generate-PDFs.ps1</w:t>
            </w:r>
          </w:p>
        </w:tc>
        <w:tc>
          <w:tcPr/>
          <w:p>
            <w:pPr>
              <w:pStyle w:val="Compact"/>
              <w:jc w:val="left"/>
            </w:pPr>
            <w:r>
              <w:t xml:space="preserve">Convert 19 markdown files to styled HTML</w:t>
            </w:r>
          </w:p>
        </w:tc>
        <w:tc>
          <w:tcPr/>
          <w:p>
            <w:pPr>
              <w:pStyle w:val="Compact"/>
              <w:jc w:val="left"/>
            </w:pPr>
            <w:r>
              <w:rPr>
                <w:rStyle w:val="VerbatimChar"/>
              </w:rPr>
              <w:t xml:space="preserve">Learn/</w:t>
            </w:r>
            <w:r>
              <w:t xml:space="preserve"> </w:t>
            </w:r>
            <w:r>
              <w:t xml:space="preserve">folder</w:t>
            </w:r>
          </w:p>
        </w:tc>
      </w:tr>
      <w:tr>
        <w:tc>
          <w:tcPr/>
          <w:p>
            <w:pPr>
              <w:pStyle w:val="Compact"/>
              <w:jc w:val="left"/>
            </w:pPr>
            <w:r>
              <w:t xml:space="preserve">4</w:t>
            </w:r>
          </w:p>
        </w:tc>
        <w:tc>
          <w:tcPr/>
          <w:p>
            <w:pPr>
              <w:pStyle w:val="Compact"/>
              <w:jc w:val="left"/>
            </w:pPr>
            <w:r>
              <w:rPr>
                <w:rStyle w:val="VerbatimChar"/>
              </w:rPr>
              <w:t xml:space="preserve">Sync-ToSupabase.ps1</w:t>
            </w:r>
          </w:p>
        </w:tc>
        <w:tc>
          <w:tcPr/>
          <w:p>
            <w:pPr>
              <w:pStyle w:val="Compact"/>
              <w:jc w:val="left"/>
            </w:pPr>
            <w:r>
              <w:t xml:space="preserve">Upload code and documents to Supabase Storage</w:t>
            </w:r>
          </w:p>
        </w:tc>
        <w:tc>
          <w:tcPr/>
          <w:p>
            <w:pPr>
              <w:pStyle w:val="Compact"/>
              <w:jc w:val="left"/>
            </w:pPr>
            <w:r>
              <w:t xml:space="preserve">EU cloud backup</w:t>
            </w:r>
          </w:p>
        </w:tc>
      </w:tr>
      <w:tr>
        <w:tc>
          <w:tcPr/>
          <w:p>
            <w:pPr>
              <w:pStyle w:val="Compact"/>
              <w:jc w:val="left"/>
            </w:pPr>
            <w:r>
              <w:t xml:space="preserve">5</w:t>
            </w:r>
          </w:p>
        </w:tc>
        <w:tc>
          <w:tcPr/>
          <w:p>
            <w:pPr>
              <w:pStyle w:val="Compact"/>
              <w:jc w:val="left"/>
            </w:pPr>
            <w:r>
              <w:t xml:space="preserve">Edge browser</w:t>
            </w:r>
          </w:p>
        </w:tc>
        <w:tc>
          <w:tcPr/>
          <w:p>
            <w:pPr>
              <w:pStyle w:val="Compact"/>
              <w:jc w:val="left"/>
            </w:pPr>
            <w:r>
              <w:t xml:space="preserve">Automatically open updated files for review</w:t>
            </w:r>
          </w:p>
        </w:tc>
        <w:tc>
          <w:tcPr/>
          <w:p>
            <w:pPr>
              <w:pStyle w:val="Compact"/>
              <w:jc w:val="left"/>
            </w:pPr>
            <w:r>
              <w:t xml:space="preserve">Human knowledge</w:t>
            </w:r>
          </w:p>
        </w:tc>
      </w:tr>
      <w:tr>
        <w:tc>
          <w:tcPr/>
          <w:p>
            <w:pPr>
              <w:pStyle w:val="Compact"/>
              <w:jc w:val="left"/>
            </w:pPr>
            <w:r>
              <w:t xml:space="preserve">6</w:t>
            </w:r>
          </w:p>
        </w:tc>
        <w:tc>
          <w:tcPr/>
          <w:p>
            <w:pPr>
              <w:pStyle w:val="Compact"/>
              <w:jc w:val="left"/>
            </w:pPr>
            <w:r>
              <w:t xml:space="preserve">Claude Code</w:t>
            </w:r>
          </w:p>
        </w:tc>
        <w:tc>
          <w:tcPr/>
          <w:p>
            <w:pPr>
              <w:pStyle w:val="Compact"/>
              <w:jc w:val="left"/>
            </w:pPr>
            <w:r>
              <w:t xml:space="preserve">AI-assisted development session</w:t>
            </w:r>
          </w:p>
        </w:tc>
        <w:tc>
          <w:tcPr/>
          <w:p>
            <w:pPr>
              <w:pStyle w:val="Compact"/>
              <w:jc w:val="left"/>
            </w:pPr>
            <w:r>
              <w:t xml:space="preserve">Code changes</w:t>
            </w:r>
          </w:p>
        </w:tc>
      </w:tr>
      <w:tr>
        <w:tc>
          <w:tcPr/>
          <w:p>
            <w:pPr>
              <w:pStyle w:val="Compact"/>
              <w:jc w:val="left"/>
            </w:pPr>
            <w:r>
              <w:t xml:space="preserve">7</w:t>
            </w:r>
          </w:p>
        </w:tc>
        <w:tc>
          <w:tcPr/>
          <w:p>
            <w:pPr>
              <w:pStyle w:val="Compact"/>
              <w:jc w:val="left"/>
            </w:pPr>
            <w:r>
              <w:rPr>
                <w:rStyle w:val="VerbatimChar"/>
              </w:rPr>
              <w:t xml:space="preserve">git push</w:t>
            </w:r>
          </w:p>
        </w:tc>
        <w:tc>
          <w:tcPr/>
          <w:p>
            <w:pPr>
              <w:pStyle w:val="Compact"/>
              <w:jc w:val="left"/>
            </w:pPr>
            <w:r>
              <w:t xml:space="preserve">Push changes to GitHub</w:t>
            </w:r>
          </w:p>
        </w:tc>
        <w:tc>
          <w:tcPr/>
          <w:p>
            <w:pPr>
              <w:pStyle w:val="Compact"/>
              <w:jc w:val="left"/>
            </w:pPr>
            <w:r>
              <w:t xml:space="preserve">Cycle completes</w:t>
            </w:r>
          </w:p>
        </w:tc>
      </w:tr>
    </w:tbl>
    <w:bookmarkEnd w:id="99"/>
    <w:bookmarkStart w:id="100" w:name="why-this-pipeline-matters"/>
    <w:p>
      <w:pPr>
        <w:pStyle w:val="Heading3"/>
      </w:pPr>
      <w:r>
        <w:t xml:space="preserve">Why This Pipeline Matters</w:t>
      </w:r>
    </w:p>
    <w:p>
      <w:pPr>
        <w:pStyle w:val="FirstParagraph"/>
      </w:pPr>
      <w:r>
        <w:t xml:space="preserve">The HIL pipeline solves three critical problems:</w:t>
      </w:r>
    </w:p>
    <w:p>
      <w:pPr>
        <w:numPr>
          <w:ilvl w:val="0"/>
          <w:numId w:val="1035"/>
        </w:numPr>
        <w:pStyle w:val="Compact"/>
      </w:pPr>
      <w:r>
        <w:rPr>
          <w:bCs/>
          <w:b/>
        </w:rPr>
        <w:t xml:space="preserve">Knowledge gatekeeper</w:t>
      </w:r>
      <w:r>
        <w:t xml:space="preserve">: Every morning, the human reviews the latest state of all business documents. Nothing drifts unnoticed.</w:t>
      </w:r>
    </w:p>
    <w:p>
      <w:pPr>
        <w:numPr>
          <w:ilvl w:val="0"/>
          <w:numId w:val="1035"/>
        </w:numPr>
        <w:pStyle w:val="Compact"/>
      </w:pPr>
      <w:r>
        <w:rPr>
          <w:bCs/>
          <w:b/>
        </w:rPr>
        <w:t xml:space="preserve">Three-layer backup</w:t>
      </w:r>
      <w:r>
        <w:t xml:space="preserve">: Every change exists in GitHub (version control), Proton Drive (encrypted local), and Supabase (EU cloud). No single point of failure.</w:t>
      </w:r>
    </w:p>
    <w:p>
      <w:pPr>
        <w:numPr>
          <w:ilvl w:val="0"/>
          <w:numId w:val="1035"/>
        </w:numPr>
        <w:pStyle w:val="Compact"/>
      </w:pPr>
      <w:r>
        <w:rPr>
          <w:bCs/>
          <w:b/>
        </w:rPr>
        <w:t xml:space="preserve">Continuous learning loop</w:t>
      </w:r>
      <w:r>
        <w:t xml:space="preserve">: Human reads -&gt; identifies gaps -&gt; uses Claude Code to fix -&gt; pushes changes -&gt; next morning sees the update. The feedback loop closes daily.</w:t>
      </w:r>
    </w:p>
    <w:p>
      <w:r>
        <w:pict>
          <v:rect style="width:0;height:1.5pt" o:hralign="center" o:hrstd="t" o:hr="t"/>
        </w:pict>
      </w:r>
    </w:p>
    <w:bookmarkEnd w:id="100"/>
    <w:bookmarkEnd w:id="101"/>
    <w:bookmarkEnd w:id="102"/>
    <w:bookmarkStart w:id="112" w:name="audio-chat-evolution-roadmap"/>
    <w:p>
      <w:pPr>
        <w:pStyle w:val="Heading1"/>
      </w:pPr>
      <w:r>
        <w:t xml:space="preserve">7. Audio Chat Evolution Roadmap</w:t>
      </w:r>
    </w:p>
    <w:bookmarkStart w:id="103" w:name="vision"/>
    <w:p>
      <w:pPr>
        <w:pStyle w:val="Heading2"/>
      </w:pPr>
      <w:r>
        <w:t xml:space="preserve">7.1 Vision</w:t>
      </w:r>
    </w:p>
    <w:p>
      <w:pPr>
        <w:pStyle w:val="FirstParagraph"/>
      </w:pPr>
      <w:r>
        <w:t xml:space="preserve">Transform customer interactions from text-based to voice-based with intelligent product recommendations using industry-specific carbon footprint calculators and EU regulatory awareness.</w:t>
      </w:r>
    </w:p>
    <w:bookmarkEnd w:id="103"/>
    <w:bookmarkStart w:id="104" w:name="technical-stack"/>
    <w:p>
      <w:pPr>
        <w:pStyle w:val="Heading2"/>
      </w:pPr>
      <w:r>
        <w:t xml:space="preserve">7.2 Technical Stack</w:t>
      </w:r>
    </w:p>
    <w:tbl>
      <w:tblPr>
        <w:tblStyle w:val="Table"/>
        <w:tblW w:type="pct" w:w="5000"/>
        <w:tblLook w:firstRow="1" w:lastRow="0" w:firstColumn="0" w:lastColumn="0" w:noHBand="0" w:noVBand="0" w:val="0020"/>
        <w:jc w:val="start"/>
      </w:tblPr>
      <w:tblGrid>
        <w:gridCol w:w="1440"/>
        <w:gridCol w:w="3291"/>
        <w:gridCol w:w="3188"/>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Rationale</w:t>
            </w:r>
          </w:p>
        </w:tc>
      </w:tr>
      <w:tr>
        <w:tc>
          <w:tcPr/>
          <w:p>
            <w:pPr>
              <w:pStyle w:val="Compact"/>
              <w:jc w:val="left"/>
            </w:pPr>
            <w:r>
              <w:t xml:space="preserve">Speech-to-Text</w:t>
            </w:r>
          </w:p>
        </w:tc>
        <w:tc>
          <w:tcPr/>
          <w:p>
            <w:pPr>
              <w:pStyle w:val="Compact"/>
              <w:jc w:val="left"/>
            </w:pPr>
            <w:r>
              <w:t xml:space="preserve">Whisper API</w:t>
            </w:r>
          </w:p>
        </w:tc>
        <w:tc>
          <w:tcPr/>
          <w:p>
            <w:pPr>
              <w:pStyle w:val="Compact"/>
              <w:jc w:val="left"/>
            </w:pPr>
            <w:r>
              <w:t xml:space="preserve">High accuracy, multilingual</w:t>
            </w:r>
          </w:p>
        </w:tc>
      </w:tr>
      <w:tr>
        <w:tc>
          <w:tcPr/>
          <w:p>
            <w:pPr>
              <w:pStyle w:val="Compact"/>
              <w:jc w:val="left"/>
            </w:pPr>
            <w:r>
              <w:t xml:space="preserve">Text-to-Speech</w:t>
            </w:r>
          </w:p>
        </w:tc>
        <w:tc>
          <w:tcPr/>
          <w:p>
            <w:pPr>
              <w:pStyle w:val="Compact"/>
              <w:jc w:val="left"/>
            </w:pPr>
            <w:r>
              <w:t xml:space="preserve">ElevenLabs</w:t>
            </w:r>
          </w:p>
        </w:tc>
        <w:tc>
          <w:tcPr/>
          <w:p>
            <w:pPr>
              <w:pStyle w:val="Compact"/>
              <w:jc w:val="left"/>
            </w:pPr>
            <w:r>
              <w:t xml:space="preserve">Natural voice output</w:t>
            </w:r>
          </w:p>
        </w:tc>
      </w:tr>
      <w:tr>
        <w:tc>
          <w:tcPr/>
          <w:p>
            <w:pPr>
              <w:pStyle w:val="Compact"/>
              <w:jc w:val="left"/>
            </w:pPr>
            <w:r>
              <w:t xml:space="preserve">LLM</w:t>
            </w:r>
          </w:p>
        </w:tc>
        <w:tc>
          <w:tcPr/>
          <w:p>
            <w:pPr>
              <w:pStyle w:val="Compact"/>
              <w:jc w:val="left"/>
            </w:pPr>
            <w:r>
              <w:t xml:space="preserve">Groq inference with Llama models</w:t>
            </w:r>
          </w:p>
        </w:tc>
        <w:tc>
          <w:tcPr/>
          <w:p>
            <w:pPr>
              <w:pStyle w:val="Compact"/>
              <w:jc w:val="left"/>
            </w:pPr>
            <w:r>
              <w:t xml:space="preserve">Cost-effective (vs Claude API)</w:t>
            </w:r>
          </w:p>
        </w:tc>
      </w:tr>
      <w:tr>
        <w:tc>
          <w:tcPr/>
          <w:p>
            <w:pPr>
              <w:pStyle w:val="Compact"/>
              <w:jc w:val="left"/>
            </w:pPr>
            <w:r>
              <w:t xml:space="preserve">Hosting</w:t>
            </w:r>
          </w:p>
        </w:tc>
        <w:tc>
          <w:tcPr/>
          <w:p>
            <w:pPr>
              <w:pStyle w:val="Compact"/>
              <w:jc w:val="left"/>
            </w:pPr>
            <w:r>
              <w:t xml:space="preserve">Cloudflare Workers</w:t>
            </w:r>
          </w:p>
        </w:tc>
        <w:tc>
          <w:tcPr/>
          <w:p>
            <w:pPr>
              <w:pStyle w:val="Compact"/>
              <w:jc w:val="left"/>
            </w:pPr>
            <w:r>
              <w:t xml:space="preserve">Edge performance, EU compliance</w:t>
            </w:r>
          </w:p>
        </w:tc>
      </w:tr>
    </w:tbl>
    <w:bookmarkEnd w:id="104"/>
    <w:bookmarkStart w:id="105" w:name="phase-1-foundation-q1-2026"/>
    <w:p>
      <w:pPr>
        <w:pStyle w:val="Heading2"/>
      </w:pPr>
      <w:r>
        <w:t xml:space="preserve">7.3 Phase 1: Foundation (Q1 2026)</w:t>
      </w:r>
    </w:p>
    <w:p>
      <w:pPr>
        <w:pStyle w:val="FirstParagraph"/>
      </w:pPr>
      <w:r>
        <w:rPr>
          <w:bCs/>
          <w:b/>
        </w:rPr>
        <w:t xml:space="preserve">Goal:</w:t>
      </w:r>
      <w:r>
        <w:t xml:space="preserve"> </w:t>
      </w:r>
      <w:r>
        <w:t xml:space="preserve">Basic audio chat with product catalog awareness</w:t>
      </w:r>
    </w:p>
    <w:p>
      <w:pPr>
        <w:pStyle w:val="BodyText"/>
      </w:pPr>
      <w:r>
        <w:rPr>
          <w:bCs/>
          <w:b/>
        </w:rPr>
        <w:t xml:space="preserve">Features:</w:t>
      </w:r>
    </w:p>
    <w:p>
      <w:pPr>
        <w:numPr>
          <w:ilvl w:val="0"/>
          <w:numId w:val="1036"/>
        </w:numPr>
        <w:pStyle w:val="Compact"/>
      </w:pPr>
      <w:r>
        <w:t xml:space="preserve">Voice input/output (Finnish, English, Swedish)</w:t>
      </w:r>
    </w:p>
    <w:p>
      <w:pPr>
        <w:numPr>
          <w:ilvl w:val="0"/>
          <w:numId w:val="1036"/>
        </w:numPr>
        <w:pStyle w:val="Compact"/>
      </w:pPr>
      <w:r>
        <w:t xml:space="preserve">Product catalog search</w:t>
      </w:r>
    </w:p>
    <w:p>
      <w:pPr>
        <w:numPr>
          <w:ilvl w:val="0"/>
          <w:numId w:val="1036"/>
        </w:numPr>
        <w:pStyle w:val="Compact"/>
      </w:pPr>
      <w:r>
        <w:t xml:space="preserve">Basic Q&amp;A about services</w:t>
      </w:r>
    </w:p>
    <w:p>
      <w:pPr>
        <w:numPr>
          <w:ilvl w:val="0"/>
          <w:numId w:val="1036"/>
        </w:numPr>
        <w:pStyle w:val="Compact"/>
      </w:pPr>
      <w:r>
        <w:t xml:space="preserve">Handoff to human support</w:t>
      </w:r>
    </w:p>
    <w:p>
      <w:pPr>
        <w:numPr>
          <w:ilvl w:val="0"/>
          <w:numId w:val="1036"/>
        </w:numPr>
        <w:pStyle w:val="Compact"/>
      </w:pPr>
      <w:r>
        <w:t xml:space="preserve">EU AI Act transparency disclosure</w:t>
      </w:r>
    </w:p>
    <w:bookmarkEnd w:id="105"/>
    <w:bookmarkStart w:id="107" w:name="Xbe2cab1491363c4999c52194565d929d7046e08"/>
    <w:p>
      <w:pPr>
        <w:pStyle w:val="Heading2"/>
      </w:pPr>
      <w:r>
        <w:t xml:space="preserve">7.4 Phase 2: Carbon Footprint Calculator Integration (Q2 2026)</w:t>
      </w:r>
    </w:p>
    <w:p>
      <w:pPr>
        <w:pStyle w:val="FirstParagraph"/>
      </w:pPr>
      <w:r>
        <w:rPr>
          <w:bCs/>
          <w:b/>
        </w:rPr>
        <w:t xml:space="preserve">Goal:</w:t>
      </w:r>
      <w:r>
        <w:t xml:space="preserve"> </w:t>
      </w:r>
      <w:r>
        <w:t xml:space="preserve">Industry-specific carbon footprint calculations with product recommendations</w:t>
      </w:r>
    </w:p>
    <w:bookmarkStart w:id="106" w:name="X7b224d7d0d9a011eeed39c92b9a9d1bef8c9c6e"/>
    <w:p>
      <w:pPr>
        <w:pStyle w:val="Heading3"/>
      </w:pPr>
      <w:r>
        <w:t xml:space="preserve">Industry Carbon Profiles (16 EU Industries)</w:t>
      </w:r>
    </w:p>
    <w:tbl>
      <w:tblPr>
        <w:tblStyle w:val="Table"/>
        <w:tblW w:type="pct" w:w="5000"/>
        <w:tblLook w:firstRow="1" w:lastRow="0" w:firstColumn="0" w:lastColumn="0" w:noHBand="0" w:noVBand="0" w:val="0020"/>
        <w:jc w:val="start"/>
      </w:tblPr>
      <w:tblGrid>
        <w:gridCol w:w="1262"/>
        <w:gridCol w:w="3099"/>
        <w:gridCol w:w="3558"/>
      </w:tblGrid>
      <w:tr>
        <w:trPr>
          <w:tblHeader w:val="true"/>
        </w:trPr>
        <w:tc>
          <w:tcPr/>
          <w:p>
            <w:pPr>
              <w:pStyle w:val="Compact"/>
              <w:jc w:val="left"/>
            </w:pPr>
            <w:r>
              <w:t xml:space="preserve">Industry</w:t>
            </w:r>
          </w:p>
        </w:tc>
        <w:tc>
          <w:tcPr/>
          <w:p>
            <w:pPr>
              <w:pStyle w:val="Compact"/>
              <w:jc w:val="left"/>
            </w:pPr>
            <w:r>
              <w:t xml:space="preserve">Primary Emissions</w:t>
            </w:r>
          </w:p>
        </w:tc>
        <w:tc>
          <w:tcPr/>
          <w:p>
            <w:pPr>
              <w:pStyle w:val="Compact"/>
              <w:jc w:val="left"/>
            </w:pPr>
            <w:r>
              <w:t xml:space="preserve">Recommended Products</w:t>
            </w:r>
          </w:p>
        </w:tc>
      </w:tr>
      <w:tr>
        <w:tc>
          <w:tcPr/>
          <w:p>
            <w:pPr>
              <w:pStyle w:val="Compact"/>
              <w:jc w:val="left"/>
            </w:pPr>
            <w:r>
              <w:t xml:space="preserve">Steel</w:t>
            </w:r>
          </w:p>
        </w:tc>
        <w:tc>
          <w:tcPr/>
          <w:p>
            <w:pPr>
              <w:pStyle w:val="Compact"/>
              <w:jc w:val="left"/>
            </w:pPr>
            <w:r>
              <w:t xml:space="preserve">Process emissions (Scope 1)</w:t>
            </w:r>
          </w:p>
        </w:tc>
        <w:tc>
          <w:tcPr/>
          <w:p>
            <w:pPr>
              <w:pStyle w:val="Compact"/>
              <w:jc w:val="left"/>
            </w:pPr>
            <w:r>
              <w:t xml:space="preserve">DWS IQ v6, Firehorse Automation</w:t>
            </w:r>
          </w:p>
        </w:tc>
      </w:tr>
      <w:tr>
        <w:tc>
          <w:tcPr/>
          <w:p>
            <w:pPr>
              <w:pStyle w:val="Compact"/>
              <w:jc w:val="left"/>
            </w:pPr>
            <w:r>
              <w:t xml:space="preserve">Cement</w:t>
            </w:r>
          </w:p>
        </w:tc>
        <w:tc>
          <w:tcPr/>
          <w:p>
            <w:pPr>
              <w:pStyle w:val="Compact"/>
              <w:jc w:val="left"/>
            </w:pPr>
            <w:r>
              <w:t xml:space="preserve">Process + energy</w:t>
            </w:r>
          </w:p>
        </w:tc>
        <w:tc>
          <w:tcPr/>
          <w:p>
            <w:pPr>
              <w:pStyle w:val="Compact"/>
              <w:jc w:val="left"/>
            </w:pPr>
            <w:r>
              <w:t xml:space="preserve">DWS IQ v6, Climate Bundle</w:t>
            </w:r>
          </w:p>
        </w:tc>
      </w:tr>
      <w:tr>
        <w:tc>
          <w:tcPr/>
          <w:p>
            <w:pPr>
              <w:pStyle w:val="Compact"/>
              <w:jc w:val="left"/>
            </w:pPr>
            <w:r>
              <w:t xml:space="preserve">Chemicals</w:t>
            </w:r>
          </w:p>
        </w:tc>
        <w:tc>
          <w:tcPr/>
          <w:p>
            <w:pPr>
              <w:pStyle w:val="Compact"/>
              <w:jc w:val="left"/>
            </w:pPr>
            <w:r>
              <w:t xml:space="preserve">Supply chain (Scope 3)</w:t>
            </w:r>
          </w:p>
        </w:tc>
        <w:tc>
          <w:tcPr/>
          <w:p>
            <w:pPr>
              <w:pStyle w:val="Compact"/>
              <w:jc w:val="left"/>
            </w:pPr>
            <w:r>
              <w:t xml:space="preserve">Firehorse Report, Consulting</w:t>
            </w:r>
          </w:p>
        </w:tc>
      </w:tr>
      <w:tr>
        <w:tc>
          <w:tcPr/>
          <w:p>
            <w:pPr>
              <w:pStyle w:val="Compact"/>
              <w:jc w:val="left"/>
            </w:pPr>
            <w:r>
              <w:t xml:space="preserve">Automotive</w:t>
            </w:r>
          </w:p>
        </w:tc>
        <w:tc>
          <w:tcPr/>
          <w:p>
            <w:pPr>
              <w:pStyle w:val="Compact"/>
              <w:jc w:val="left"/>
            </w:pPr>
            <w:r>
              <w:t xml:space="preserve">Manufacturing + use phase</w:t>
            </w:r>
          </w:p>
        </w:tc>
        <w:tc>
          <w:tcPr/>
          <w:p>
            <w:pPr>
              <w:pStyle w:val="Compact"/>
              <w:jc w:val="left"/>
            </w:pPr>
            <w:r>
              <w:t xml:space="preserve">DWS IQ v6, Expert Advisory</w:t>
            </w:r>
          </w:p>
        </w:tc>
      </w:tr>
      <w:tr>
        <w:tc>
          <w:tcPr/>
          <w:p>
            <w:pPr>
              <w:pStyle w:val="Compact"/>
              <w:jc w:val="left"/>
            </w:pPr>
            <w:r>
              <w:t xml:space="preserve">Maritime</w:t>
            </w:r>
          </w:p>
        </w:tc>
        <w:tc>
          <w:tcPr/>
          <w:p>
            <w:pPr>
              <w:pStyle w:val="Compact"/>
              <w:jc w:val="left"/>
            </w:pPr>
            <w:r>
              <w:t xml:space="preserve">Fuel consumption</w:t>
            </w:r>
          </w:p>
        </w:tc>
        <w:tc>
          <w:tcPr/>
          <w:p>
            <w:pPr>
              <w:pStyle w:val="Compact"/>
              <w:jc w:val="left"/>
            </w:pPr>
            <w:r>
              <w:t xml:space="preserve">Firehorse Automation, Report</w:t>
            </w:r>
          </w:p>
        </w:tc>
      </w:tr>
      <w:tr>
        <w:tc>
          <w:tcPr/>
          <w:p>
            <w:pPr>
              <w:pStyle w:val="Compact"/>
              <w:jc w:val="left"/>
            </w:pPr>
            <w:r>
              <w:t xml:space="preserve">Aviation</w:t>
            </w:r>
          </w:p>
        </w:tc>
        <w:tc>
          <w:tcPr/>
          <w:p>
            <w:pPr>
              <w:pStyle w:val="Compact"/>
              <w:jc w:val="left"/>
            </w:pPr>
            <w:r>
              <w:t xml:space="preserve">Jet fuel, SAF transition</w:t>
            </w:r>
          </w:p>
        </w:tc>
        <w:tc>
          <w:tcPr/>
          <w:p>
            <w:pPr>
              <w:pStyle w:val="Compact"/>
              <w:jc w:val="left"/>
            </w:pPr>
            <w:r>
              <w:t xml:space="preserve">DWS IQ v6, Consulting Fit55</w:t>
            </w:r>
          </w:p>
        </w:tc>
      </w:tr>
      <w:tr>
        <w:tc>
          <w:tcPr/>
          <w:p>
            <w:pPr>
              <w:pStyle w:val="Compact"/>
              <w:jc w:val="left"/>
            </w:pPr>
            <w:r>
              <w:t xml:space="preserve">Buildings</w:t>
            </w:r>
          </w:p>
        </w:tc>
        <w:tc>
          <w:tcPr/>
          <w:p>
            <w:pPr>
              <w:pStyle w:val="Compact"/>
              <w:jc w:val="left"/>
            </w:pPr>
            <w:r>
              <w:t xml:space="preserve">Energy efficiency</w:t>
            </w:r>
          </w:p>
        </w:tc>
        <w:tc>
          <w:tcPr/>
          <w:p>
            <w:pPr>
              <w:pStyle w:val="Compact"/>
              <w:jc w:val="left"/>
            </w:pPr>
            <w:r>
              <w:t xml:space="preserve">Firehorse CMS, Automation</w:t>
            </w:r>
          </w:p>
        </w:tc>
      </w:tr>
      <w:tr>
        <w:tc>
          <w:tcPr/>
          <w:p>
            <w:pPr>
              <w:pStyle w:val="Compact"/>
              <w:jc w:val="left"/>
            </w:pPr>
            <w:r>
              <w:t xml:space="preserve">Agriculture</w:t>
            </w:r>
          </w:p>
        </w:tc>
        <w:tc>
          <w:tcPr/>
          <w:p>
            <w:pPr>
              <w:pStyle w:val="Compact"/>
              <w:jc w:val="left"/>
            </w:pPr>
            <w:r>
              <w:t xml:space="preserve">Land use, livestock</w:t>
            </w:r>
          </w:p>
        </w:tc>
        <w:tc>
          <w:tcPr/>
          <w:p>
            <w:pPr>
              <w:pStyle w:val="Compact"/>
              <w:jc w:val="left"/>
            </w:pPr>
            <w:r>
              <w:t xml:space="preserve">Climate Bundle, Advisory</w:t>
            </w:r>
          </w:p>
        </w:tc>
      </w:tr>
    </w:tbl>
    <w:bookmarkEnd w:id="106"/>
    <w:bookmarkEnd w:id="107"/>
    <w:bookmarkStart w:id="109" w:name="phase-3-eu-regulatory-awareness-q3-2026"/>
    <w:p>
      <w:pPr>
        <w:pStyle w:val="Heading2"/>
      </w:pPr>
      <w:r>
        <w:t xml:space="preserve">7.5 Phase 3: EU Regulatory Awareness (Q3 2026)</w:t>
      </w:r>
    </w:p>
    <w:p>
      <w:pPr>
        <w:pStyle w:val="FirstParagraph"/>
      </w:pPr>
      <w:r>
        <w:rPr>
          <w:bCs/>
          <w:b/>
        </w:rPr>
        <w:t xml:space="preserve">Goal:</w:t>
      </w:r>
      <w:r>
        <w:t xml:space="preserve"> </w:t>
      </w:r>
      <w:r>
        <w:t xml:space="preserve">Proactive regulatory compliance recommendations</w:t>
      </w:r>
    </w:p>
    <w:bookmarkStart w:id="108" w:name="regulation-trigger-matrix"/>
    <w:p>
      <w:pPr>
        <w:pStyle w:val="Heading3"/>
      </w:pPr>
      <w:r>
        <w:t xml:space="preserve">Regulation Trigger Matrix</w:t>
      </w:r>
    </w:p>
    <w:tbl>
      <w:tblPr>
        <w:tblStyle w:val="Table"/>
        <w:tblW w:type="pct" w:w="5000"/>
        <w:tblLook w:firstRow="1" w:lastRow="0" w:firstColumn="0" w:lastColumn="0" w:noHBand="0" w:noVBand="0" w:val="0020"/>
        <w:jc w:val="start"/>
      </w:tblPr>
      <w:tblGrid>
        <w:gridCol w:w="1237"/>
        <w:gridCol w:w="2846"/>
        <w:gridCol w:w="3836"/>
      </w:tblGrid>
      <w:tr>
        <w:trPr>
          <w:tblHeader w:val="true"/>
        </w:trPr>
        <w:tc>
          <w:tcPr/>
          <w:p>
            <w:pPr>
              <w:pStyle w:val="Compact"/>
              <w:jc w:val="left"/>
            </w:pPr>
            <w:r>
              <w:t xml:space="preserve">Regulation</w:t>
            </w:r>
          </w:p>
        </w:tc>
        <w:tc>
          <w:tcPr/>
          <w:p>
            <w:pPr>
              <w:pStyle w:val="Compact"/>
              <w:jc w:val="left"/>
            </w:pPr>
            <w:r>
              <w:t xml:space="preserve">Trigger Condition</w:t>
            </w:r>
          </w:p>
        </w:tc>
        <w:tc>
          <w:tcPr/>
          <w:p>
            <w:pPr>
              <w:pStyle w:val="Compact"/>
              <w:jc w:val="left"/>
            </w:pPr>
            <w:r>
              <w:t xml:space="preserve">Product Recommendation</w:t>
            </w:r>
          </w:p>
        </w:tc>
      </w:tr>
      <w:tr>
        <w:tc>
          <w:tcPr/>
          <w:p>
            <w:pPr>
              <w:pStyle w:val="Compact"/>
              <w:jc w:val="left"/>
            </w:pPr>
            <w:r>
              <w:t xml:space="preserve">EU AI Act</w:t>
            </w:r>
          </w:p>
        </w:tc>
        <w:tc>
          <w:tcPr/>
          <w:p>
            <w:pPr>
              <w:pStyle w:val="Compact"/>
              <w:jc w:val="left"/>
            </w:pPr>
            <w:r>
              <w:t xml:space="preserve">Uses AI systems</w:t>
            </w:r>
          </w:p>
        </w:tc>
        <w:tc>
          <w:tcPr/>
          <w:p>
            <w:pPr>
              <w:pStyle w:val="Compact"/>
              <w:jc w:val="left"/>
            </w:pPr>
            <w:r>
              <w:t xml:space="preserve">DWS IQ v6, Conversational Agent</w:t>
            </w:r>
          </w:p>
        </w:tc>
      </w:tr>
      <w:tr>
        <w:tc>
          <w:tcPr/>
          <w:p>
            <w:pPr>
              <w:pStyle w:val="Compact"/>
              <w:jc w:val="left"/>
            </w:pPr>
            <w:r>
              <w:t xml:space="preserve">Fit for 55</w:t>
            </w:r>
          </w:p>
        </w:tc>
        <w:tc>
          <w:tcPr/>
          <w:p>
            <w:pPr>
              <w:pStyle w:val="Compact"/>
              <w:jc w:val="left"/>
            </w:pPr>
            <w:r>
              <w:t xml:space="preserve">&gt;500 tCO2e annually</w:t>
            </w:r>
          </w:p>
        </w:tc>
        <w:tc>
          <w:tcPr/>
          <w:p>
            <w:pPr>
              <w:pStyle w:val="Compact"/>
              <w:jc w:val="left"/>
            </w:pPr>
            <w:r>
              <w:t xml:space="preserve">DWS IQ Platform, FH Report</w:t>
            </w:r>
          </w:p>
        </w:tc>
      </w:tr>
      <w:tr>
        <w:tc>
          <w:tcPr/>
          <w:p>
            <w:pPr>
              <w:pStyle w:val="Compact"/>
              <w:jc w:val="left"/>
            </w:pPr>
            <w:r>
              <w:t xml:space="preserve">CSRD</w:t>
            </w:r>
          </w:p>
        </w:tc>
        <w:tc>
          <w:tcPr/>
          <w:p>
            <w:pPr>
              <w:pStyle w:val="Compact"/>
              <w:jc w:val="left"/>
            </w:pPr>
            <w:r>
              <w:t xml:space="preserve">&gt;250 employees</w:t>
            </w:r>
          </w:p>
        </w:tc>
        <w:tc>
          <w:tcPr/>
          <w:p>
            <w:pPr>
              <w:pStyle w:val="Compact"/>
              <w:jc w:val="left"/>
            </w:pPr>
            <w:r>
              <w:t xml:space="preserve">Climate Reporting Bundle</w:t>
            </w:r>
          </w:p>
        </w:tc>
      </w:tr>
      <w:tr>
        <w:tc>
          <w:tcPr/>
          <w:p>
            <w:pPr>
              <w:pStyle w:val="Compact"/>
              <w:jc w:val="left"/>
            </w:pPr>
            <w:r>
              <w:t xml:space="preserve">GDPR</w:t>
            </w:r>
          </w:p>
        </w:tc>
        <w:tc>
          <w:tcPr/>
          <w:p>
            <w:pPr>
              <w:pStyle w:val="Compact"/>
              <w:jc w:val="left"/>
            </w:pPr>
            <w:r>
              <w:t xml:space="preserve">Processes personal data</w:t>
            </w:r>
          </w:p>
        </w:tc>
        <w:tc>
          <w:tcPr/>
          <w:p>
            <w:pPr>
              <w:pStyle w:val="Compact"/>
              <w:jc w:val="left"/>
            </w:pPr>
            <w:r>
              <w:t xml:space="preserve">Protonmail implementation</w:t>
            </w:r>
          </w:p>
        </w:tc>
      </w:tr>
      <w:tr>
        <w:tc>
          <w:tcPr/>
          <w:p>
            <w:pPr>
              <w:pStyle w:val="Compact"/>
              <w:jc w:val="left"/>
            </w:pPr>
            <w:r>
              <w:t xml:space="preserve">NIS2</w:t>
            </w:r>
          </w:p>
        </w:tc>
        <w:tc>
          <w:tcPr/>
          <w:p>
            <w:pPr>
              <w:pStyle w:val="Compact"/>
              <w:jc w:val="left"/>
            </w:pPr>
            <w:r>
              <w:t xml:space="preserve">Critical infrastructure</w:t>
            </w:r>
          </w:p>
        </w:tc>
        <w:tc>
          <w:tcPr/>
          <w:p>
            <w:pPr>
              <w:pStyle w:val="Compact"/>
              <w:jc w:val="left"/>
            </w:pPr>
            <w:r>
              <w:t xml:space="preserve">Firehorse CMS, Protonmail</w:t>
            </w:r>
          </w:p>
        </w:tc>
      </w:tr>
      <w:tr>
        <w:tc>
          <w:tcPr/>
          <w:p>
            <w:pPr>
              <w:pStyle w:val="Compact"/>
              <w:jc w:val="left"/>
            </w:pPr>
            <w:r>
              <w:t xml:space="preserve">CBAM</w:t>
            </w:r>
          </w:p>
        </w:tc>
        <w:tc>
          <w:tcPr/>
          <w:p>
            <w:pPr>
              <w:pStyle w:val="Compact"/>
              <w:jc w:val="left"/>
            </w:pPr>
            <w:r>
              <w:t xml:space="preserve">Imports from outside EU</w:t>
            </w:r>
          </w:p>
        </w:tc>
        <w:tc>
          <w:tcPr/>
          <w:p>
            <w:pPr>
              <w:pStyle w:val="Compact"/>
              <w:jc w:val="left"/>
            </w:pPr>
            <w:r>
              <w:t xml:space="preserve">DWS IQ, Consulting</w:t>
            </w:r>
          </w:p>
        </w:tc>
      </w:tr>
    </w:tbl>
    <w:bookmarkEnd w:id="108"/>
    <w:bookmarkEnd w:id="109"/>
    <w:bookmarkStart w:id="110" w:name="phase-4-partner-ecosystem-q4-2026"/>
    <w:p>
      <w:pPr>
        <w:pStyle w:val="Heading2"/>
      </w:pPr>
      <w:r>
        <w:t xml:space="preserve">7.6 Phase 4: Partner Ecosystem (Q4 2026)</w:t>
      </w:r>
    </w:p>
    <w:p>
      <w:pPr>
        <w:pStyle w:val="FirstParagraph"/>
      </w:pPr>
      <w:r>
        <w:rPr>
          <w:bCs/>
          <w:b/>
        </w:rPr>
        <w:t xml:space="preserve">Revenue model:</w:t>
      </w:r>
    </w:p>
    <w:p>
      <w:pPr>
        <w:numPr>
          <w:ilvl w:val="0"/>
          <w:numId w:val="1037"/>
        </w:numPr>
        <w:pStyle w:val="Compact"/>
      </w:pPr>
      <w:r>
        <w:t xml:space="preserve">Lifetime products: Direct sales</w:t>
      </w:r>
    </w:p>
    <w:p>
      <w:pPr>
        <w:numPr>
          <w:ilvl w:val="0"/>
          <w:numId w:val="1037"/>
        </w:numPr>
        <w:pStyle w:val="Compact"/>
      </w:pPr>
      <w:r>
        <w:t xml:space="preserve">Partner products: Commission (10-20%)</w:t>
      </w:r>
    </w:p>
    <w:bookmarkEnd w:id="110"/>
    <w:bookmarkStart w:id="111" w:name="proton-security-products-strategy"/>
    <w:p>
      <w:pPr>
        <w:pStyle w:val="Heading2"/>
      </w:pPr>
      <w:r>
        <w:t xml:space="preserve">7.7 Proton Security Products Strategy</w:t>
      </w:r>
    </w:p>
    <w:p>
      <w:pPr>
        <w:pStyle w:val="FirstParagraph"/>
      </w:pPr>
      <w:r>
        <w:t xml:space="preserve">When audio chat detects security/privacy needs: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Description</w:t>
            </w:r>
          </w:p>
        </w:tc>
      </w:tr>
      <w:tr>
        <w:tc>
          <w:tcPr/>
          <w:p>
            <w:pPr>
              <w:pStyle w:val="Compact"/>
              <w:jc w:val="left"/>
            </w:pPr>
            <w:r>
              <w:t xml:space="preserve">Proton Mail</w:t>
            </w:r>
          </w:p>
        </w:tc>
        <w:tc>
          <w:tcPr/>
          <w:p>
            <w:pPr>
              <w:pStyle w:val="Compact"/>
              <w:jc w:val="left"/>
            </w:pPr>
            <w:r>
              <w:t xml:space="preserve">End-to-end encrypted email</w:t>
            </w:r>
          </w:p>
        </w:tc>
      </w:tr>
      <w:tr>
        <w:tc>
          <w:tcPr/>
          <w:p>
            <w:pPr>
              <w:pStyle w:val="Compact"/>
              <w:jc w:val="left"/>
            </w:pPr>
            <w:r>
              <w:t xml:space="preserve">Proton Drive</w:t>
            </w:r>
          </w:p>
        </w:tc>
        <w:tc>
          <w:tcPr/>
          <w:p>
            <w:pPr>
              <w:pStyle w:val="Compact"/>
              <w:jc w:val="left"/>
            </w:pPr>
            <w:r>
              <w:t xml:space="preserve">Encrypted cloud storage</w:t>
            </w:r>
          </w:p>
        </w:tc>
      </w:tr>
      <w:tr>
        <w:tc>
          <w:tcPr/>
          <w:p>
            <w:pPr>
              <w:pStyle w:val="Compact"/>
              <w:jc w:val="left"/>
            </w:pPr>
            <w:r>
              <w:t xml:space="preserve">Proton Pass</w:t>
            </w:r>
          </w:p>
        </w:tc>
        <w:tc>
          <w:tcPr/>
          <w:p>
            <w:pPr>
              <w:pStyle w:val="Compact"/>
              <w:jc w:val="left"/>
            </w:pPr>
            <w:r>
              <w:t xml:space="preserve">Password manager</w:t>
            </w:r>
          </w:p>
        </w:tc>
      </w:tr>
      <w:tr>
        <w:tc>
          <w:tcPr/>
          <w:p>
            <w:pPr>
              <w:pStyle w:val="Compact"/>
              <w:jc w:val="left"/>
            </w:pPr>
            <w:r>
              <w:t xml:space="preserve">Proton VPN</w:t>
            </w:r>
          </w:p>
        </w:tc>
        <w:tc>
          <w:tcPr/>
          <w:p>
            <w:pPr>
              <w:pStyle w:val="Compact"/>
              <w:jc w:val="left"/>
            </w:pPr>
            <w:r>
              <w:t xml:space="preserve">Secure network connection</w:t>
            </w:r>
          </w:p>
        </w:tc>
      </w:tr>
    </w:tbl>
    <w:p>
      <w:r>
        <w:pict>
          <v:rect style="width:0;height:1.5pt" o:hralign="center" o:hrstd="t" o:hr="t"/>
        </w:pict>
      </w:r>
    </w:p>
    <w:bookmarkEnd w:id="111"/>
    <w:bookmarkEnd w:id="112"/>
    <w:bookmarkStart w:id="128" w:name="results-and-analysis"/>
    <w:p>
      <w:pPr>
        <w:pStyle w:val="Heading1"/>
      </w:pPr>
      <w:r>
        <w:t xml:space="preserve">8. Results and Analysis</w:t>
      </w:r>
    </w:p>
    <w:bookmarkStart w:id="113" w:name="operational-efficiency"/>
    <w:p>
      <w:pPr>
        <w:pStyle w:val="Heading2"/>
      </w:pPr>
      <w:r>
        <w:t xml:space="preserve">8.1 Operational Efficiency</w:t>
      </w:r>
    </w:p>
    <w:p>
      <w:pPr>
        <w:pStyle w:val="FirstParagraph"/>
      </w:pPr>
      <w:r>
        <w:t xml:space="preserve">The Firehorse operating model with Claude Code achieved (updated v3.26):</w:t>
      </w:r>
    </w:p>
    <w:tbl>
      <w:tblPr>
        <w:tblStyle w:val="Table"/>
        <w:tblW w:type="pct" w:w="5000"/>
        <w:tblLook w:firstRow="1" w:lastRow="0" w:firstColumn="0" w:lastColumn="0" w:noHBand="0" w:noVBand="0" w:val="0020"/>
        <w:jc w:val="start"/>
      </w:tblPr>
      <w:tblGrid>
        <w:gridCol w:w="2354"/>
        <w:gridCol w:w="1212"/>
        <w:gridCol w:w="2497"/>
        <w:gridCol w:w="1855"/>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Product update time</w:t>
            </w:r>
          </w:p>
        </w:tc>
        <w:tc>
          <w:tcPr/>
          <w:p>
            <w:pPr>
              <w:pStyle w:val="Compact"/>
              <w:jc w:val="left"/>
            </w:pPr>
            <w:r>
              <w:t xml:space="preserve">2 hours</w:t>
            </w:r>
          </w:p>
        </w:tc>
        <w:tc>
          <w:tcPr/>
          <w:p>
            <w:pPr>
              <w:pStyle w:val="Compact"/>
              <w:jc w:val="left"/>
            </w:pPr>
            <w:r>
              <w:t xml:space="preserve">5 minutes</w:t>
            </w:r>
          </w:p>
        </w:tc>
        <w:tc>
          <w:tcPr/>
          <w:p>
            <w:pPr>
              <w:pStyle w:val="Compact"/>
              <w:jc w:val="left"/>
            </w:pPr>
            <w:r>
              <w:t xml:space="preserve">96%</w:t>
            </w:r>
          </w:p>
        </w:tc>
      </w:tr>
      <w:tr>
        <w:tc>
          <w:tcPr/>
          <w:p>
            <w:pPr>
              <w:pStyle w:val="Compact"/>
              <w:jc w:val="left"/>
            </w:pPr>
            <w:r>
              <w:t xml:space="preserve">Feed generation</w:t>
            </w:r>
          </w:p>
        </w:tc>
        <w:tc>
          <w:tcPr/>
          <w:p>
            <w:pPr>
              <w:pStyle w:val="Compact"/>
              <w:jc w:val="left"/>
            </w:pPr>
            <w:r>
              <w:t xml:space="preserve">Manual</w:t>
            </w:r>
          </w:p>
        </w:tc>
        <w:tc>
          <w:tcPr/>
          <w:p>
            <w:pPr>
              <w:pStyle w:val="Compact"/>
              <w:jc w:val="left"/>
            </w:pPr>
            <w:r>
              <w:t xml:space="preserve">Automated</w:t>
            </w:r>
          </w:p>
        </w:tc>
        <w:tc>
          <w:tcPr/>
          <w:p>
            <w:pPr>
              <w:pStyle w:val="Compact"/>
              <w:jc w:val="left"/>
            </w:pPr>
            <w:r>
              <w:t xml:space="preserve">100%</w:t>
            </w:r>
          </w:p>
        </w:tc>
      </w:tr>
      <w:tr>
        <w:tc>
          <w:tcPr/>
          <w:p>
            <w:pPr>
              <w:pStyle w:val="Compact"/>
              <w:jc w:val="left"/>
            </w:pPr>
            <w:r>
              <w:t xml:space="preserve">Documentation creation</w:t>
            </w:r>
          </w:p>
        </w:tc>
        <w:tc>
          <w:tcPr/>
          <w:p>
            <w:pPr>
              <w:pStyle w:val="Compact"/>
              <w:jc w:val="left"/>
            </w:pPr>
            <w:r>
              <w:t xml:space="preserve">1 week</w:t>
            </w:r>
          </w:p>
        </w:tc>
        <w:tc>
          <w:tcPr/>
          <w:p>
            <w:pPr>
              <w:pStyle w:val="Compact"/>
              <w:jc w:val="left"/>
            </w:pPr>
            <w:r>
              <w:t xml:space="preserve">1 hour</w:t>
            </w:r>
          </w:p>
        </w:tc>
        <w:tc>
          <w:tcPr/>
          <w:p>
            <w:pPr>
              <w:pStyle w:val="Compact"/>
              <w:jc w:val="left"/>
            </w:pPr>
            <w:r>
              <w:t xml:space="preserve">99%</w:t>
            </w:r>
          </w:p>
        </w:tc>
      </w:tr>
      <w:tr>
        <w:tc>
          <w:tcPr/>
          <w:p>
            <w:pPr>
              <w:pStyle w:val="Compact"/>
              <w:jc w:val="left"/>
            </w:pPr>
            <w:r>
              <w:t xml:space="preserve">Error rate</w:t>
            </w:r>
          </w:p>
        </w:tc>
        <w:tc>
          <w:tcPr/>
          <w:p>
            <w:pPr>
              <w:pStyle w:val="Compact"/>
              <w:jc w:val="left"/>
            </w:pPr>
            <w:r>
              <w:t xml:space="preserve">5%</w:t>
            </w:r>
          </w:p>
        </w:tc>
        <w:tc>
          <w:tcPr/>
          <w:p>
            <w:pPr>
              <w:pStyle w:val="Compact"/>
              <w:jc w:val="left"/>
            </w:pPr>
            <w:r>
              <w:t xml:space="preserve">&lt;1%</w:t>
            </w:r>
          </w:p>
        </w:tc>
        <w:tc>
          <w:tcPr/>
          <w:p>
            <w:pPr>
              <w:pStyle w:val="Compact"/>
              <w:jc w:val="left"/>
            </w:pPr>
            <w:r>
              <w:t xml:space="preserve">80%</w:t>
            </w:r>
          </w:p>
        </w:tc>
      </w:tr>
      <w:tr>
        <w:tc>
          <w:tcPr/>
          <w:p>
            <w:pPr>
              <w:pStyle w:val="Compact"/>
              <w:jc w:val="left"/>
            </w:pPr>
            <w:r>
              <w:t xml:space="preserve">Store page updates</w:t>
            </w:r>
          </w:p>
        </w:tc>
        <w:tc>
          <w:tcPr/>
          <w:p>
            <w:pPr>
              <w:pStyle w:val="Compact"/>
              <w:jc w:val="left"/>
            </w:pPr>
            <w:r>
              <w:t xml:space="preserve">4 hours</w:t>
            </w:r>
          </w:p>
        </w:tc>
        <w:tc>
          <w:tcPr/>
          <w:p>
            <w:pPr>
              <w:pStyle w:val="Compact"/>
              <w:jc w:val="left"/>
            </w:pPr>
            <w:r>
              <w:t xml:space="preserve">15 minutes</w:t>
            </w:r>
          </w:p>
        </w:tc>
        <w:tc>
          <w:tcPr/>
          <w:p>
            <w:pPr>
              <w:pStyle w:val="Compact"/>
              <w:jc w:val="left"/>
            </w:pPr>
            <w:r>
              <w:t xml:space="preserve">94%</w:t>
            </w:r>
          </w:p>
        </w:tc>
      </w:tr>
      <w:tr>
        <w:tc>
          <w:tcPr/>
          <w:p>
            <w:pPr>
              <w:pStyle w:val="Compact"/>
              <w:jc w:val="left"/>
            </w:pPr>
            <w:r>
              <w:rPr>
                <w:bCs/>
                <w:b/>
              </w:rPr>
              <w:t xml:space="preserve">Harness engineering benchmark</w:t>
            </w:r>
          </w:p>
        </w:tc>
        <w:tc>
          <w:tcPr/>
          <w:p>
            <w:pPr>
              <w:pStyle w:val="Compact"/>
              <w:jc w:val="left"/>
            </w:pPr>
            <w:r>
              <w:rPr>
                <w:bCs/>
                <w:b/>
              </w:rPr>
              <w:t xml:space="preserve">52.8%</w:t>
            </w:r>
          </w:p>
        </w:tc>
        <w:tc>
          <w:tcPr/>
          <w:p>
            <w:pPr>
              <w:pStyle w:val="Compact"/>
              <w:jc w:val="left"/>
            </w:pPr>
            <w:r>
              <w:rPr>
                <w:bCs/>
                <w:b/>
              </w:rPr>
              <w:t xml:space="preserve">66.5%</w:t>
            </w:r>
          </w:p>
        </w:tc>
        <w:tc>
          <w:tcPr/>
          <w:p>
            <w:pPr>
              <w:pStyle w:val="Compact"/>
              <w:jc w:val="left"/>
            </w:pPr>
            <w:r>
              <w:rPr>
                <w:bCs/>
                <w:b/>
              </w:rPr>
              <w:t xml:space="preserve">+26% (model unchanged)</w:t>
            </w:r>
          </w:p>
        </w:tc>
      </w:tr>
      <w:tr>
        <w:tc>
          <w:tcPr/>
          <w:p>
            <w:pPr>
              <w:pStyle w:val="Compact"/>
              <w:jc w:val="left"/>
            </w:pPr>
            <w:r>
              <w:rPr>
                <w:bCs/>
                <w:b/>
              </w:rPr>
              <w:t xml:space="preserve">PR review cycle</w:t>
            </w:r>
          </w:p>
        </w:tc>
        <w:tc>
          <w:tcPr/>
          <w:p>
            <w:pPr>
              <w:pStyle w:val="Compact"/>
              <w:jc w:val="left"/>
            </w:pPr>
            <w:r>
              <w:rPr>
                <w:bCs/>
                <w:b/>
              </w:rPr>
              <w:t xml:space="preserve">Manual (2-4h)</w:t>
            </w:r>
          </w:p>
        </w:tc>
        <w:tc>
          <w:tcPr/>
          <w:p>
            <w:pPr>
              <w:pStyle w:val="Compact"/>
              <w:jc w:val="left"/>
            </w:pPr>
            <w:r>
              <w:rPr>
                <w:bCs/>
                <w:b/>
              </w:rPr>
              <w:t xml:space="preserve">Dual-model AI (15 min)</w:t>
            </w:r>
          </w:p>
        </w:tc>
        <w:tc>
          <w:tcPr/>
          <w:p>
            <w:pPr>
              <w:pStyle w:val="Compact"/>
              <w:jc w:val="left"/>
            </w:pPr>
            <w:r>
              <w:rPr>
                <w:bCs/>
                <w:b/>
              </w:rPr>
              <w:t xml:space="preserve">94%</w:t>
            </w:r>
          </w:p>
        </w:tc>
      </w:tr>
      <w:tr>
        <w:tc>
          <w:tcPr/>
          <w:p>
            <w:pPr>
              <w:pStyle w:val="Compact"/>
              <w:jc w:val="left"/>
            </w:pPr>
            <w:r>
              <w:rPr>
                <w:bCs/>
                <w:b/>
              </w:rPr>
              <w:t xml:space="preserve">Agent fleet size</w:t>
            </w:r>
          </w:p>
        </w:tc>
        <w:tc>
          <w:tcPr/>
          <w:p>
            <w:pPr>
              <w:pStyle w:val="Compact"/>
              <w:jc w:val="left"/>
            </w:pPr>
            <w:r>
              <w:rPr>
                <w:bCs/>
                <w:b/>
              </w:rPr>
              <w:t xml:space="preserve">0 agents</w:t>
            </w:r>
          </w:p>
        </w:tc>
        <w:tc>
          <w:tcPr/>
          <w:p>
            <w:pPr>
              <w:pStyle w:val="Compact"/>
              <w:jc w:val="left"/>
            </w:pPr>
            <w:r>
              <w:rPr>
                <w:bCs/>
                <w:b/>
              </w:rPr>
              <w:t xml:space="preserve">13 agents (Pantheon)</w:t>
            </w:r>
          </w:p>
        </w:tc>
        <w:tc>
          <w:tcPr/>
          <w:p>
            <w:pPr>
              <w:pStyle w:val="Compact"/>
              <w:jc w:val="left"/>
            </w:pPr>
            <w:r>
              <w:rPr>
                <w:bCs/>
                <w:b/>
              </w:rPr>
              <w:t xml:space="preserve">∞</w:t>
            </w:r>
          </w:p>
        </w:tc>
      </w:tr>
      <w:tr>
        <w:tc>
          <w:tcPr/>
          <w:p>
            <w:pPr>
              <w:pStyle w:val="Compact"/>
              <w:jc w:val="left"/>
            </w:pPr>
            <w:r>
              <w:rPr>
                <w:bCs/>
                <w:b/>
              </w:rPr>
              <w:t xml:space="preserve">Customer features shipped</w:t>
            </w:r>
          </w:p>
        </w:tc>
        <w:tc>
          <w:tcPr/>
          <w:p>
            <w:pPr>
              <w:pStyle w:val="Compact"/>
              <w:jc w:val="left"/>
            </w:pPr>
            <w:r>
              <w:rPr>
                <w:bCs/>
                <w:b/>
              </w:rPr>
              <w:t xml:space="preserve">0</w:t>
            </w:r>
          </w:p>
        </w:tc>
        <w:tc>
          <w:tcPr/>
          <w:p>
            <w:pPr>
              <w:pStyle w:val="Compact"/>
              <w:jc w:val="left"/>
            </w:pPr>
            <w:r>
              <w:rPr>
                <w:bCs/>
                <w:b/>
              </w:rPr>
              <w:t xml:space="preserve">3 (API keys, metering, reports)</w:t>
            </w:r>
          </w:p>
        </w:tc>
        <w:tc>
          <w:tcPr/>
          <w:p>
            <w:pPr>
              <w:pStyle w:val="Compact"/>
              <w:jc w:val="left"/>
            </w:pPr>
            <w:r>
              <w:rPr>
                <w:bCs/>
                <w:b/>
              </w:rPr>
              <w:t xml:space="preserve">SaaS-ready</w:t>
            </w:r>
          </w:p>
        </w:tc>
      </w:tr>
    </w:tbl>
    <w:p>
      <w:pPr>
        <w:pStyle w:val="BodyText"/>
      </w:pPr>
      <w:r>
        <w:rPr>
          <w:bCs/>
          <w:b/>
        </w:rPr>
        <w:t xml:space="preserve">New in v3.26:</w:t>
      </w:r>
      <w:r>
        <w:t xml:space="preserve"> </w:t>
      </w:r>
      <w:r>
        <w:t xml:space="preserve">Harness engineering result (section 10.16) demonstrates that system-level improvements (prompt scaffolding, routing, orchestration) alone yield 52.8%→66.5% benchmark gains without changing the underlying model — validating the Firehorse architecture approach.</w:t>
      </w:r>
    </w:p>
    <w:bookmarkEnd w:id="113"/>
    <w:bookmarkStart w:id="114" w:name="google-merchant-center-performance"/>
    <w:p>
      <w:pPr>
        <w:pStyle w:val="Heading2"/>
      </w:pPr>
      <w:r>
        <w:t xml:space="preserve">8.2 Google Merchant Center Performance</w:t>
      </w:r>
    </w:p>
    <w:tbl>
      <w:tblPr>
        <w:tblStyle w:val="Table"/>
        <w:tblW w:type="pct" w:w="5000"/>
        <w:tblLook w:firstRow="1" w:lastRow="0" w:firstColumn="0" w:lastColumn="0" w:noHBand="0" w:noVBand="0" w:val="0020"/>
        <w:jc w:val="start"/>
      </w:tblPr>
      <w:tblGrid>
        <w:gridCol w:w="2864"/>
        <w:gridCol w:w="3117"/>
        <w:gridCol w:w="1937"/>
      </w:tblGrid>
      <w:tr>
        <w:trPr>
          <w:tblHeader w:val="true"/>
        </w:trPr>
        <w:tc>
          <w:tcPr/>
          <w:p>
            <w:pPr>
              <w:pStyle w:val="Compact"/>
              <w:jc w:val="left"/>
            </w:pPr>
            <w:r>
              <w:t xml:space="preserve">Metric</w:t>
            </w:r>
          </w:p>
        </w:tc>
        <w:tc>
          <w:tcPr/>
          <w:p>
            <w:pPr>
              <w:pStyle w:val="Compact"/>
              <w:jc w:val="left"/>
            </w:pPr>
            <w:r>
              <w:t xml:space="preserve">Result</w:t>
            </w:r>
          </w:p>
        </w:tc>
        <w:tc>
          <w:tcPr/>
          <w:p>
            <w:pPr>
              <w:pStyle w:val="Compact"/>
              <w:jc w:val="left"/>
            </w:pPr>
            <w:r>
              <w:t xml:space="preserve">Source</w:t>
            </w:r>
          </w:p>
        </w:tc>
      </w:tr>
      <w:tr>
        <w:tc>
          <w:tcPr/>
          <w:p>
            <w:pPr>
              <w:pStyle w:val="Compact"/>
              <w:jc w:val="left"/>
            </w:pPr>
            <w:r>
              <w:t xml:space="preserve">Product approval rate</w:t>
            </w:r>
          </w:p>
        </w:tc>
        <w:tc>
          <w:tcPr/>
          <w:p>
            <w:pPr>
              <w:pStyle w:val="Compact"/>
              <w:jc w:val="left"/>
            </w:pPr>
            <w:r>
              <w:t xml:space="preserve">100% (30/30 products)</w:t>
            </w:r>
          </w:p>
        </w:tc>
        <w:tc>
          <w:tcPr/>
          <w:p>
            <w:pPr>
              <w:pStyle w:val="Compact"/>
              <w:jc w:val="left"/>
            </w:pPr>
            <w:r>
              <w:t xml:space="preserve">Google Merchant Center</w:t>
            </w:r>
          </w:p>
        </w:tc>
      </w:tr>
      <w:tr>
        <w:tc>
          <w:tcPr/>
          <w:p>
            <w:pPr>
              <w:pStyle w:val="Compact"/>
              <w:jc w:val="left"/>
            </w:pPr>
            <w:r>
              <w:t xml:space="preserve">Feed processing time</w:t>
            </w:r>
          </w:p>
        </w:tc>
        <w:tc>
          <w:tcPr/>
          <w:p>
            <w:pPr>
              <w:pStyle w:val="Compact"/>
              <w:jc w:val="left"/>
            </w:pPr>
            <w:r>
              <w:t xml:space="preserve">&lt;24 hours</w:t>
            </w:r>
          </w:p>
        </w:tc>
        <w:tc>
          <w:tcPr/>
          <w:p>
            <w:pPr>
              <w:pStyle w:val="Compact"/>
              <w:jc w:val="left"/>
            </w:pPr>
            <w:r>
              <w:t xml:space="preserve">Automated SFTP upload</w:t>
            </w:r>
          </w:p>
        </w:tc>
      </w:tr>
      <w:tr>
        <w:tc>
          <w:tcPr/>
          <w:p>
            <w:pPr>
              <w:pStyle w:val="Compact"/>
              <w:jc w:val="left"/>
            </w:pPr>
            <w:r>
              <w:t xml:space="preserve">Checkout conversion</w:t>
            </w:r>
          </w:p>
        </w:tc>
        <w:tc>
          <w:tcPr/>
          <w:p>
            <w:pPr>
              <w:pStyle w:val="Compact"/>
              <w:jc w:val="left"/>
            </w:pPr>
            <w:r>
              <w:t xml:space="preserve">Direct to payment</w:t>
            </w:r>
          </w:p>
        </w:tc>
        <w:tc>
          <w:tcPr/>
          <w:p>
            <w:pPr>
              <w:pStyle w:val="Compact"/>
              <w:jc w:val="left"/>
            </w:pPr>
            <w:r>
              <w:t xml:space="preserve">Revolut Business</w:t>
            </w:r>
          </w:p>
        </w:tc>
      </w:tr>
      <w:tr>
        <w:tc>
          <w:tcPr/>
          <w:p>
            <w:pPr>
              <w:pStyle w:val="Compact"/>
              <w:jc w:val="left"/>
            </w:pPr>
            <w:r>
              <w:t xml:space="preserve">Feed file size</w:t>
            </w:r>
          </w:p>
        </w:tc>
        <w:tc>
          <w:tcPr/>
          <w:p>
            <w:pPr>
              <w:pStyle w:val="Compact"/>
              <w:jc w:val="left"/>
            </w:pPr>
            <w:r>
              <w:t xml:space="preserve">32,893 bytes</w:t>
            </w:r>
          </w:p>
        </w:tc>
        <w:tc>
          <w:tcPr/>
          <w:p>
            <w:pPr>
              <w:pStyle w:val="Compact"/>
              <w:jc w:val="left"/>
            </w:pPr>
            <w:r>
              <w:t xml:space="preserve">XML feed</w:t>
            </w:r>
          </w:p>
        </w:tc>
      </w:tr>
      <w:tr>
        <w:tc>
          <w:tcPr/>
          <w:p>
            <w:pPr>
              <w:pStyle w:val="Compact"/>
              <w:jc w:val="left"/>
            </w:pPr>
            <w:r>
              <w:rPr>
                <w:bCs/>
                <w:b/>
              </w:rPr>
              <w:t xml:space="preserve">A/B test: product descriptions</w:t>
            </w:r>
          </w:p>
        </w:tc>
        <w:tc>
          <w:tcPr/>
          <w:p>
            <w:pPr>
              <w:pStyle w:val="Compact"/>
              <w:jc w:val="left"/>
            </w:pPr>
            <w:r>
              <w:rPr>
                <w:bCs/>
                <w:b/>
              </w:rPr>
              <w:t xml:space="preserve">+18% CTR (AI-generated vs manual)</w:t>
            </w:r>
          </w:p>
        </w:tc>
        <w:tc>
          <w:tcPr/>
          <w:p>
            <w:pPr>
              <w:pStyle w:val="Compact"/>
              <w:jc w:val="left"/>
            </w:pPr>
            <w:r>
              <w:rPr>
                <w:bCs/>
                <w:b/>
              </w:rPr>
              <w:t xml:space="preserve">Google Merchant A/B</w:t>
            </w:r>
          </w:p>
        </w:tc>
      </w:tr>
      <w:tr>
        <w:tc>
          <w:tcPr/>
          <w:p>
            <w:pPr>
              <w:pStyle w:val="Compact"/>
              <w:jc w:val="left"/>
            </w:pPr>
            <w:r>
              <w:rPr>
                <w:bCs/>
                <w:b/>
              </w:rPr>
              <w:t xml:space="preserve">Category page bounce rate</w:t>
            </w:r>
          </w:p>
        </w:tc>
        <w:tc>
          <w:tcPr/>
          <w:p>
            <w:pPr>
              <w:pStyle w:val="Compact"/>
              <w:jc w:val="left"/>
            </w:pPr>
            <w:r>
              <w:rPr>
                <w:bCs/>
                <w:b/>
              </w:rPr>
              <w:t xml:space="preserve">-12% (hierarchical vs flat)</w:t>
            </w:r>
          </w:p>
        </w:tc>
        <w:tc>
          <w:tcPr/>
          <w:p>
            <w:pPr>
              <w:pStyle w:val="Compact"/>
              <w:jc w:val="left"/>
            </w:pPr>
            <w:r>
              <w:rPr>
                <w:bCs/>
                <w:b/>
              </w:rPr>
              <w:t xml:space="preserve">SEO analytics</w:t>
            </w:r>
          </w:p>
        </w:tc>
      </w:tr>
    </w:tbl>
    <w:bookmarkEnd w:id="114"/>
    <w:bookmarkStart w:id="115" w:name="compliance-readiness"/>
    <w:p>
      <w:pPr>
        <w:pStyle w:val="Heading2"/>
      </w:pPr>
      <w:r>
        <w:t xml:space="preserve">8.3 Compliance Readiness</w:t>
      </w:r>
    </w:p>
    <w:tbl>
      <w:tblPr>
        <w:tblStyle w:val="Table"/>
        <w:tblW w:type="pct" w:w="5000"/>
        <w:tblLook w:firstRow="1" w:lastRow="0" w:firstColumn="0" w:lastColumn="0" w:noHBand="0" w:noVBand="0" w:val="0020"/>
        <w:jc w:val="start"/>
      </w:tblPr>
      <w:tblGrid>
        <w:gridCol w:w="1212"/>
        <w:gridCol w:w="404"/>
        <w:gridCol w:w="565"/>
        <w:gridCol w:w="484"/>
        <w:gridCol w:w="5253"/>
      </w:tblGrid>
      <w:tr>
        <w:trPr>
          <w:tblHeader w:val="true"/>
        </w:trPr>
        <w:tc>
          <w:tcPr/>
          <w:p>
            <w:pPr>
              <w:pStyle w:val="Compact"/>
              <w:jc w:val="left"/>
            </w:pPr>
            <w:r>
              <w:t xml:space="preserve">Regulation</w:t>
            </w:r>
          </w:p>
        </w:tc>
        <w:tc>
          <w:tcPr/>
          <w:p>
            <w:pPr>
              <w:pStyle w:val="Compact"/>
              <w:jc w:val="left"/>
            </w:pPr>
            <w:r>
              <w:t xml:space="preserve">v3.15</w:t>
            </w:r>
          </w:p>
        </w:tc>
        <w:tc>
          <w:tcPr/>
          <w:p>
            <w:pPr>
              <w:pStyle w:val="Compact"/>
              <w:jc w:val="left"/>
            </w:pPr>
            <w:r>
              <w:t xml:space="preserve">v3.26</w:t>
            </w:r>
          </w:p>
        </w:tc>
        <w:tc>
          <w:tcPr/>
          <w:p>
            <w:pPr>
              <w:pStyle w:val="Compact"/>
              <w:jc w:val="left"/>
            </w:pPr>
            <w:r>
              <w:t xml:space="preserve">Change</w:t>
            </w:r>
          </w:p>
        </w:tc>
        <w:tc>
          <w:tcPr/>
          <w:p>
            <w:pPr>
              <w:pStyle w:val="Compact"/>
              <w:jc w:val="left"/>
            </w:pPr>
            <w:r>
              <w:t xml:space="preserve">Evidence</w:t>
            </w:r>
          </w:p>
        </w:tc>
      </w:tr>
      <w:tr>
        <w:tc>
          <w:tcPr/>
          <w:p>
            <w:pPr>
              <w:pStyle w:val="Compact"/>
              <w:jc w:val="left"/>
            </w:pPr>
            <w:r>
              <w:t xml:space="preserve">EU AI Act</w:t>
            </w:r>
          </w:p>
        </w:tc>
        <w:tc>
          <w:tcPr/>
          <w:p>
            <w:pPr>
              <w:pStyle w:val="Compact"/>
              <w:jc w:val="left"/>
            </w:pPr>
            <w:r>
              <w:t xml:space="preserve">80%</w:t>
            </w:r>
          </w:p>
        </w:tc>
        <w:tc>
          <w:tcPr/>
          <w:p>
            <w:pPr>
              <w:pStyle w:val="Compact"/>
              <w:jc w:val="left"/>
            </w:pPr>
            <w:r>
              <w:rPr>
                <w:bCs/>
                <w:b/>
              </w:rPr>
              <w:t xml:space="preserve">92%</w:t>
            </w:r>
          </w:p>
        </w:tc>
        <w:tc>
          <w:tcPr/>
          <w:p>
            <w:pPr>
              <w:pStyle w:val="Compact"/>
              <w:jc w:val="left"/>
            </w:pPr>
            <w:r>
              <w:t xml:space="preserve">+12%</w:t>
            </w:r>
          </w:p>
        </w:tc>
        <w:tc>
          <w:tcPr/>
          <w:p>
            <w:pPr>
              <w:pStyle w:val="Compact"/>
              <w:jc w:val="left"/>
            </w:pPr>
            <w:r>
              <w:t xml:space="preserve">Article 12 logging implemented (Pantheon agents), SOUL.md pattern</w:t>
            </w:r>
          </w:p>
        </w:tc>
      </w:tr>
      <w:tr>
        <w:tc>
          <w:tcPr/>
          <w:p>
            <w:pPr>
              <w:pStyle w:val="Compact"/>
              <w:jc w:val="left"/>
            </w:pPr>
            <w:r>
              <w:t xml:space="preserve">GDPR</w:t>
            </w:r>
          </w:p>
        </w:tc>
        <w:tc>
          <w:tcPr/>
          <w:p>
            <w:pPr>
              <w:pStyle w:val="Compact"/>
              <w:jc w:val="left"/>
            </w:pPr>
            <w:r>
              <w:t xml:space="preserve">95%</w:t>
            </w:r>
          </w:p>
        </w:tc>
        <w:tc>
          <w:tcPr/>
          <w:p>
            <w:pPr>
              <w:pStyle w:val="Compact"/>
              <w:jc w:val="left"/>
            </w:pPr>
            <w:r>
              <w:rPr>
                <w:bCs/>
                <w:b/>
              </w:rPr>
              <w:t xml:space="preserve">97%</w:t>
            </w:r>
          </w:p>
        </w:tc>
        <w:tc>
          <w:tcPr/>
          <w:p>
            <w:pPr>
              <w:pStyle w:val="Compact"/>
              <w:jc w:val="left"/>
            </w:pPr>
            <w:r>
              <w:t xml:space="preserve">+2%</w:t>
            </w:r>
          </w:p>
        </w:tc>
        <w:tc>
          <w:tcPr/>
          <w:p>
            <w:pPr>
              <w:pStyle w:val="Compact"/>
              <w:jc w:val="left"/>
            </w:pPr>
            <w:r>
              <w:t xml:space="preserve">Proton + Supabase RLS + europe-north1</w:t>
            </w:r>
          </w:p>
        </w:tc>
      </w:tr>
      <w:tr>
        <w:tc>
          <w:tcPr/>
          <w:p>
            <w:pPr>
              <w:pStyle w:val="Compact"/>
              <w:jc w:val="left"/>
            </w:pPr>
            <w:r>
              <w:t xml:space="preserve">Fit for 55</w:t>
            </w:r>
          </w:p>
        </w:tc>
        <w:tc>
          <w:tcPr/>
          <w:p>
            <w:pPr>
              <w:pStyle w:val="Compact"/>
              <w:jc w:val="left"/>
            </w:pPr>
            <w:r>
              <w:t xml:space="preserve">90%</w:t>
            </w:r>
          </w:p>
        </w:tc>
        <w:tc>
          <w:tcPr/>
          <w:p>
            <w:pPr>
              <w:pStyle w:val="Compact"/>
              <w:jc w:val="left"/>
            </w:pPr>
            <w:r>
              <w:rPr>
                <w:bCs/>
                <w:b/>
              </w:rPr>
              <w:t xml:space="preserve">93%</w:t>
            </w:r>
          </w:p>
        </w:tc>
        <w:tc>
          <w:tcPr/>
          <w:p>
            <w:pPr>
              <w:pStyle w:val="Compact"/>
              <w:jc w:val="left"/>
            </w:pPr>
            <w:r>
              <w:t xml:space="preserve">+3%</w:t>
            </w:r>
          </w:p>
        </w:tc>
        <w:tc>
          <w:tcPr/>
          <w:p>
            <w:pPr>
              <w:pStyle w:val="Compact"/>
              <w:jc w:val="left"/>
            </w:pPr>
            <w:r>
              <w:t xml:space="preserve">25+-industry carbon calculator, product catalog</w:t>
            </w:r>
          </w:p>
        </w:tc>
      </w:tr>
      <w:tr>
        <w:tc>
          <w:tcPr/>
          <w:p>
            <w:pPr>
              <w:pStyle w:val="Compact"/>
              <w:jc w:val="left"/>
            </w:pPr>
            <w:r>
              <w:t xml:space="preserve">NIS2</w:t>
            </w:r>
          </w:p>
        </w:tc>
        <w:tc>
          <w:tcPr/>
          <w:p>
            <w:pPr>
              <w:pStyle w:val="Compact"/>
              <w:jc w:val="left"/>
            </w:pPr>
            <w:r>
              <w:t xml:space="preserve">75%</w:t>
            </w:r>
          </w:p>
        </w:tc>
        <w:tc>
          <w:tcPr/>
          <w:p>
            <w:pPr>
              <w:pStyle w:val="Compact"/>
              <w:jc w:val="left"/>
            </w:pPr>
            <w:r>
              <w:rPr>
                <w:bCs/>
                <w:b/>
              </w:rPr>
              <w:t xml:space="preserve">85%</w:t>
            </w:r>
          </w:p>
        </w:tc>
        <w:tc>
          <w:tcPr/>
          <w:p>
            <w:pPr>
              <w:pStyle w:val="Compact"/>
              <w:jc w:val="left"/>
            </w:pPr>
            <w:r>
              <w:t xml:space="preserve">+10%</w:t>
            </w:r>
          </w:p>
        </w:tc>
        <w:tc>
          <w:tcPr/>
          <w:p>
            <w:pPr>
              <w:pStyle w:val="Compact"/>
              <w:jc w:val="left"/>
            </w:pPr>
            <w:r>
              <w:t xml:space="preserve">Security hardening (RC2-RC4), Snyk MCP, agent system hardening</w:t>
            </w:r>
          </w:p>
        </w:tc>
      </w:tr>
      <w:tr>
        <w:tc>
          <w:tcPr/>
          <w:p>
            <w:pPr>
              <w:pStyle w:val="Compact"/>
              <w:jc w:val="left"/>
            </w:pPr>
            <w:r>
              <w:t xml:space="preserve">CSRD</w:t>
            </w:r>
          </w:p>
        </w:tc>
        <w:tc>
          <w:tcPr/>
          <w:p>
            <w:pPr>
              <w:pStyle w:val="Compact"/>
              <w:jc w:val="left"/>
            </w:pPr>
            <w:r>
              <w:t xml:space="preserve">85%</w:t>
            </w:r>
          </w:p>
        </w:tc>
        <w:tc>
          <w:tcPr/>
          <w:p>
            <w:pPr>
              <w:pStyle w:val="Compact"/>
              <w:jc w:val="left"/>
            </w:pPr>
            <w:r>
              <w:rPr>
                <w:bCs/>
                <w:b/>
              </w:rPr>
              <w:t xml:space="preserve">88%</w:t>
            </w:r>
          </w:p>
        </w:tc>
        <w:tc>
          <w:tcPr/>
          <w:p>
            <w:pPr>
              <w:pStyle w:val="Compact"/>
              <w:jc w:val="left"/>
            </w:pPr>
            <w:r>
              <w:t xml:space="preserve">+3%</w:t>
            </w:r>
          </w:p>
        </w:tc>
        <w:tc>
          <w:tcPr/>
          <w:p>
            <w:pPr>
              <w:pStyle w:val="Compact"/>
              <w:jc w:val="left"/>
            </w:pPr>
            <w:r>
              <w:t xml:space="preserve">Reporting templates + compliance report export feature</w:t>
            </w:r>
          </w:p>
        </w:tc>
      </w:tr>
      <w:tr>
        <w:tc>
          <w:tcPr/>
          <w:p>
            <w:pPr>
              <w:pStyle w:val="Compact"/>
              <w:jc w:val="left"/>
            </w:pPr>
            <w:r>
              <w:rPr>
                <w:bCs/>
                <w:b/>
              </w:rPr>
              <w:t xml:space="preserve">EU Data Act</w:t>
            </w:r>
          </w:p>
        </w:tc>
        <w:tc>
          <w:tcPr/>
          <w:p>
            <w:pPr>
              <w:pStyle w:val="Compact"/>
              <w:jc w:val="left"/>
            </w:pPr>
            <w:r>
              <w:t xml:space="preserve">—</w:t>
            </w:r>
          </w:p>
        </w:tc>
        <w:tc>
          <w:tcPr/>
          <w:p>
            <w:pPr>
              <w:pStyle w:val="Compact"/>
              <w:jc w:val="left"/>
            </w:pPr>
            <w:r>
              <w:rPr>
                <w:bCs/>
                <w:b/>
              </w:rPr>
              <w:t xml:space="preserve">80%</w:t>
            </w:r>
          </w:p>
        </w:tc>
        <w:tc>
          <w:tcPr/>
          <w:p>
            <w:pPr>
              <w:pStyle w:val="Compact"/>
              <w:jc w:val="left"/>
            </w:pPr>
            <w:r>
              <w:t xml:space="preserve">New</w:t>
            </w:r>
          </w:p>
        </w:tc>
        <w:tc>
          <w:tcPr/>
          <w:p>
            <w:pPr>
              <w:pStyle w:val="Compact"/>
              <w:jc w:val="left"/>
            </w:pPr>
            <w:r>
              <w:t xml:space="preserve">DWS Data Standard, HTAP architecture</w:t>
            </w:r>
          </w:p>
        </w:tc>
      </w:tr>
    </w:tbl>
    <w:bookmarkEnd w:id="115"/>
    <w:bookmarkStart w:id="116" w:name="cost-model-validation"/>
    <w:p>
      <w:pPr>
        <w:pStyle w:val="Heading2"/>
      </w:pPr>
      <w:r>
        <w:t xml:space="preserve">8.4 Cost Model Validation</w:t>
      </w:r>
    </w:p>
    <w:tbl>
      <w:tblPr>
        <w:tblStyle w:val="Table"/>
        <w:tblW w:type="pct" w:w="5000"/>
        <w:tblLook w:firstRow="1" w:lastRow="0" w:firstColumn="0" w:lastColumn="0" w:noHBand="0" w:noVBand="0" w:val="0020"/>
        <w:jc w:val="start"/>
      </w:tblPr>
      <w:tblGrid>
        <w:gridCol w:w="535"/>
        <w:gridCol w:w="1391"/>
        <w:gridCol w:w="1819"/>
        <w:gridCol w:w="1284"/>
        <w:gridCol w:w="2889"/>
      </w:tblGrid>
      <w:tr>
        <w:trPr>
          <w:tblHeader w:val="true"/>
        </w:trPr>
        <w:tc>
          <w:tcPr/>
          <w:p>
            <w:pPr>
              <w:pStyle w:val="Compact"/>
              <w:jc w:val="left"/>
            </w:pPr>
            <w:r>
              <w:t xml:space="preserve">Phase</w:t>
            </w:r>
          </w:p>
        </w:tc>
        <w:tc>
          <w:tcPr/>
          <w:p>
            <w:pPr>
              <w:pStyle w:val="Compact"/>
              <w:jc w:val="left"/>
            </w:pPr>
            <w:r>
              <w:t xml:space="preserve">Target</w:t>
            </w:r>
          </w:p>
        </w:tc>
        <w:tc>
          <w:tcPr/>
          <w:p>
            <w:pPr>
              <w:pStyle w:val="Compact"/>
              <w:jc w:val="left"/>
            </w:pPr>
            <w:r>
              <w:t xml:space="preserve">Achieved</w:t>
            </w:r>
          </w:p>
        </w:tc>
        <w:tc>
          <w:tcPr/>
          <w:p>
            <w:pPr>
              <w:pStyle w:val="Compact"/>
              <w:jc w:val="left"/>
            </w:pPr>
            <w:r>
              <w:t xml:space="preserve">Status</w:t>
            </w:r>
          </w:p>
        </w:tc>
        <w:tc>
          <w:tcPr/>
          <w:p>
            <w:pPr>
              <w:pStyle w:val="Compact"/>
              <w:jc w:val="left"/>
            </w:pPr>
            <w:r>
              <w:t xml:space="preserve">Evidence</w:t>
            </w:r>
          </w:p>
        </w:tc>
      </w:tr>
      <w:tr>
        <w:tc>
          <w:tcPr/>
          <w:p>
            <w:pPr>
              <w:pStyle w:val="Compact"/>
              <w:jc w:val="left"/>
            </w:pPr>
            <w:r>
              <w:t xml:space="preserve">MVP</w:t>
            </w:r>
          </w:p>
        </w:tc>
        <w:tc>
          <w:tcPr/>
          <w:p>
            <w:pPr>
              <w:pStyle w:val="Compact"/>
              <w:jc w:val="left"/>
            </w:pPr>
            <w:r>
              <w:t xml:space="preserve">€0/month</w:t>
            </w:r>
          </w:p>
        </w:tc>
        <w:tc>
          <w:tcPr/>
          <w:p>
            <w:pPr>
              <w:pStyle w:val="Compact"/>
              <w:jc w:val="left"/>
            </w:pPr>
            <w:r>
              <w:t xml:space="preserve">€0/month</w:t>
            </w:r>
          </w:p>
        </w:tc>
        <w:tc>
          <w:tcPr/>
          <w:p>
            <w:pPr>
              <w:pStyle w:val="Compact"/>
              <w:jc w:val="left"/>
            </w:pPr>
            <w:r>
              <w:rPr>
                <w:bCs/>
                <w:b/>
              </w:rPr>
              <w:t xml:space="preserve">ACHIEVED</w:t>
            </w:r>
          </w:p>
        </w:tc>
        <w:tc>
          <w:tcPr/>
          <w:p>
            <w:pPr>
              <w:pStyle w:val="Compact"/>
              <w:jc w:val="left"/>
            </w:pPr>
            <w:r>
              <w:t xml:space="preserve">Free-tier stack operational</w:t>
            </w:r>
          </w:p>
        </w:tc>
      </w:tr>
      <w:tr>
        <w:tc>
          <w:tcPr/>
          <w:p>
            <w:pPr>
              <w:pStyle w:val="Compact"/>
              <w:jc w:val="left"/>
            </w:pPr>
            <w:r>
              <w:t xml:space="preserve">Alpha</w:t>
            </w:r>
          </w:p>
        </w:tc>
        <w:tc>
          <w:tcPr/>
          <w:p>
            <w:pPr>
              <w:pStyle w:val="Compact"/>
              <w:jc w:val="left"/>
            </w:pPr>
            <w:r>
              <w:t xml:space="preserve">€50-150/month</w:t>
            </w:r>
          </w:p>
        </w:tc>
        <w:tc>
          <w:tcPr/>
          <w:p>
            <w:pPr>
              <w:pStyle w:val="Compact"/>
              <w:jc w:val="left"/>
            </w:pPr>
            <w:r>
              <w:t xml:space="preserve">€75/month</w:t>
            </w:r>
          </w:p>
        </w:tc>
        <w:tc>
          <w:tcPr/>
          <w:p>
            <w:pPr>
              <w:pStyle w:val="Compact"/>
              <w:jc w:val="left"/>
            </w:pPr>
            <w:r>
              <w:rPr>
                <w:bCs/>
                <w:b/>
              </w:rPr>
              <w:t xml:space="preserve">ON TRACK</w:t>
            </w:r>
          </w:p>
        </w:tc>
        <w:tc>
          <w:tcPr/>
          <w:p>
            <w:pPr>
              <w:pStyle w:val="Compact"/>
              <w:jc w:val="left"/>
            </w:pPr>
            <w:r>
              <w:t xml:space="preserve">Aiven managed + edge</w:t>
            </w:r>
          </w:p>
        </w:tc>
      </w:tr>
      <w:tr>
        <w:tc>
          <w:tcPr/>
          <w:p>
            <w:pPr>
              <w:pStyle w:val="Compact"/>
              <w:jc w:val="left"/>
            </w:pPr>
            <w:r>
              <w:t xml:space="preserve">V1</w:t>
            </w:r>
          </w:p>
        </w:tc>
        <w:tc>
          <w:tcPr/>
          <w:p>
            <w:pPr>
              <w:pStyle w:val="Compact"/>
              <w:jc w:val="left"/>
            </w:pPr>
            <w:r>
              <w:t xml:space="preserve">€350/month</w:t>
            </w:r>
          </w:p>
        </w:tc>
        <w:tc>
          <w:tcPr/>
          <w:p>
            <w:pPr>
              <w:pStyle w:val="Compact"/>
              <w:jc w:val="left"/>
            </w:pPr>
            <w:r>
              <w:t xml:space="preserve">€280/month (est.)</w:t>
            </w:r>
          </w:p>
        </w:tc>
        <w:tc>
          <w:tcPr/>
          <w:p>
            <w:pPr>
              <w:pStyle w:val="Compact"/>
              <w:jc w:val="left"/>
            </w:pPr>
            <w:r>
              <w:rPr>
                <w:bCs/>
                <w:b/>
              </w:rPr>
              <w:t xml:space="preserve">AHEAD</w:t>
            </w:r>
          </w:p>
        </w:tc>
        <w:tc>
          <w:tcPr/>
          <w:p>
            <w:pPr>
              <w:pStyle w:val="Compact"/>
              <w:jc w:val="left"/>
            </w:pPr>
            <w:r>
              <w:t xml:space="preserve">Two-tier HTAP reduces costs</w:t>
            </w:r>
          </w:p>
        </w:tc>
      </w:tr>
    </w:tbl>
    <w:p>
      <w:pPr>
        <w:pStyle w:val="BodyText"/>
      </w:pPr>
      <w:r>
        <w:rPr>
          <w:bCs/>
          <w:b/>
        </w:rPr>
        <w:t xml:space="preserve">New in v3.26:</w:t>
      </w:r>
      <w:r>
        <w:t xml:space="preserve"> </w:t>
      </w:r>
      <w:r>
        <w:t xml:space="preserve">Two-tier HTAP architecture (Aiven managed + GN100 edge) positions V1 costs below target due to edge offloading analytics workloads.</w:t>
      </w:r>
    </w:p>
    <w:bookmarkEnd w:id="116"/>
    <w:bookmarkStart w:id="121" w:name="answering-research-questions"/>
    <w:p>
      <w:pPr>
        <w:pStyle w:val="Heading2"/>
      </w:pPr>
      <w:r>
        <w:t xml:space="preserve">8.5 Answering Research Questions</w:t>
      </w:r>
    </w:p>
    <w:bookmarkStart w:id="117" w:name="rq1-product-business-model"/>
    <w:p>
      <w:pPr>
        <w:pStyle w:val="Heading3"/>
      </w:pPr>
      <w:r>
        <w:t xml:space="preserve">8.5.1 RQ1: Product &amp; Business Model</w:t>
      </w:r>
    </w:p>
    <w:p>
      <w:pPr>
        <w:pStyle w:val="FirstParagraph"/>
      </w:pPr>
      <w:r>
        <w:t xml:space="preserve">The 2-month payback promise has been validated with real customer deployments:</w:t>
      </w:r>
    </w:p>
    <w:tbl>
      <w:tblPr>
        <w:tblStyle w:val="Table"/>
        <w:tblW w:type="pct" w:w="5000"/>
        <w:tblLook w:firstRow="1" w:lastRow="0" w:firstColumn="0" w:lastColumn="0" w:noHBand="0" w:noVBand="0" w:val="0020"/>
        <w:jc w:val="start"/>
      </w:tblPr>
      <w:tblGrid>
        <w:gridCol w:w="2084"/>
        <w:gridCol w:w="2584"/>
        <w:gridCol w:w="3251"/>
      </w:tblGrid>
      <w:tr>
        <w:trPr>
          <w:tblHeader w:val="true"/>
        </w:trPr>
        <w:tc>
          <w:tcPr/>
          <w:p>
            <w:pPr>
              <w:pStyle w:val="Compact"/>
              <w:jc w:val="left"/>
            </w:pPr>
            <w:r>
              <w:t xml:space="preserve">Evidence</w:t>
            </w:r>
          </w:p>
        </w:tc>
        <w:tc>
          <w:tcPr/>
          <w:p>
            <w:pPr>
              <w:pStyle w:val="Compact"/>
              <w:jc w:val="left"/>
            </w:pPr>
            <w:r>
              <w:t xml:space="preserve">Source</w:t>
            </w:r>
          </w:p>
        </w:tc>
        <w:tc>
          <w:tcPr/>
          <w:p>
            <w:pPr>
              <w:pStyle w:val="Compact"/>
              <w:jc w:val="left"/>
            </w:pPr>
            <w:r>
              <w:t xml:space="preserve">Result</w:t>
            </w:r>
          </w:p>
        </w:tc>
      </w:tr>
      <w:tr>
        <w:tc>
          <w:tcPr/>
          <w:p>
            <w:pPr>
              <w:pStyle w:val="Compact"/>
              <w:jc w:val="left"/>
            </w:pPr>
            <w:r>
              <w:t xml:space="preserve">Payback period</w:t>
            </w:r>
          </w:p>
        </w:tc>
        <w:tc>
          <w:tcPr/>
          <w:p>
            <w:pPr>
              <w:pStyle w:val="Compact"/>
              <w:jc w:val="left"/>
            </w:pPr>
            <w:r>
              <w:t xml:space="preserve">Edge AI ROI calculation</w:t>
            </w:r>
          </w:p>
        </w:tc>
        <w:tc>
          <w:tcPr/>
          <w:p>
            <w:pPr>
              <w:pStyle w:val="Compact"/>
              <w:jc w:val="left"/>
            </w:pPr>
            <w:r>
              <w:t xml:space="preserve">1.95 months</w:t>
            </w:r>
          </w:p>
        </w:tc>
      </w:tr>
      <w:tr>
        <w:tc>
          <w:tcPr/>
          <w:p>
            <w:pPr>
              <w:pStyle w:val="Compact"/>
              <w:jc w:val="left"/>
            </w:pPr>
            <w:r>
              <w:t xml:space="preserve">Customer validation</w:t>
            </w:r>
          </w:p>
        </w:tc>
        <w:tc>
          <w:tcPr/>
          <w:p>
            <w:pPr>
              <w:pStyle w:val="Compact"/>
              <w:jc w:val="left"/>
            </w:pPr>
            <w:r>
              <w:t xml:space="preserve">Uber, Bolt, Kela pilots</w:t>
            </w:r>
          </w:p>
        </w:tc>
        <w:tc>
          <w:tcPr/>
          <w:p>
            <w:pPr>
              <w:pStyle w:val="Compact"/>
              <w:jc w:val="left"/>
            </w:pPr>
            <w:r>
              <w:t xml:space="preserve">€10k MRR during pilot</w:t>
            </w:r>
          </w:p>
        </w:tc>
      </w:tr>
      <w:tr>
        <w:tc>
          <w:tcPr/>
          <w:p>
            <w:pPr>
              <w:pStyle w:val="Compact"/>
              <w:jc w:val="left"/>
            </w:pPr>
            <w:r>
              <w:t xml:space="preserve">International scaling</w:t>
            </w:r>
          </w:p>
        </w:tc>
        <w:tc>
          <w:tcPr/>
          <w:p>
            <w:pPr>
              <w:pStyle w:val="Compact"/>
              <w:jc w:val="left"/>
            </w:pPr>
            <w:r>
              <w:t xml:space="preserve">8 vertical templates</w:t>
            </w:r>
          </w:p>
        </w:tc>
        <w:tc>
          <w:tcPr/>
          <w:p>
            <w:pPr>
              <w:pStyle w:val="Compact"/>
              <w:jc w:val="left"/>
            </w:pPr>
            <w:r>
              <w:t xml:space="preserve">Ready for multi-national deployment</w:t>
            </w:r>
          </w:p>
        </w:tc>
      </w:tr>
      <w:tr>
        <w:tc>
          <w:tcPr/>
          <w:p>
            <w:pPr>
              <w:pStyle w:val="Compact"/>
              <w:jc w:val="left"/>
            </w:pPr>
            <w:r>
              <w:rPr>
                <w:bCs/>
                <w:b/>
              </w:rPr>
              <w:t xml:space="preserve">Customer MVP features</w:t>
            </w:r>
          </w:p>
        </w:tc>
        <w:tc>
          <w:tcPr/>
          <w:p>
            <w:pPr>
              <w:pStyle w:val="Compact"/>
              <w:jc w:val="left"/>
            </w:pPr>
            <w:r>
              <w:rPr>
                <w:bCs/>
                <w:b/>
              </w:rPr>
              <w:t xml:space="preserve">API keys, metering, reports</w:t>
            </w:r>
          </w:p>
        </w:tc>
        <w:tc>
          <w:tcPr/>
          <w:p>
            <w:pPr>
              <w:pStyle w:val="Compact"/>
              <w:jc w:val="left"/>
            </w:pPr>
            <w:r>
              <w:rPr>
                <w:bCs/>
                <w:b/>
              </w:rPr>
              <w:t xml:space="preserve">SaaS-ready for paid customers</w:t>
            </w:r>
          </w:p>
        </w:tc>
      </w:tr>
      <w:tr>
        <w:tc>
          <w:tcPr/>
          <w:p>
            <w:pPr>
              <w:pStyle w:val="Compact"/>
              <w:jc w:val="left"/>
            </w:pPr>
            <w:r>
              <w:rPr>
                <w:bCs/>
                <w:b/>
              </w:rPr>
              <w:t xml:space="preserve">Investor readiness</w:t>
            </w:r>
          </w:p>
        </w:tc>
        <w:tc>
          <w:tcPr/>
          <w:p>
            <w:pPr>
              <w:pStyle w:val="Compact"/>
              <w:jc w:val="left"/>
            </w:pPr>
            <w:r>
              <w:rPr>
                <w:bCs/>
                <w:b/>
              </w:rPr>
              <w:t xml:space="preserve">InvestEU pipeline</w:t>
            </w:r>
          </w:p>
        </w:tc>
        <w:tc>
          <w:tcPr/>
          <w:p>
            <w:pPr>
              <w:pStyle w:val="Compact"/>
              <w:jc w:val="left"/>
            </w:pPr>
            <w:r>
              <w:rPr>
                <w:bCs/>
                <w:b/>
              </w:rPr>
              <w:t xml:space="preserve">Product portfolio validated Q1 2026</w:t>
            </w:r>
          </w:p>
        </w:tc>
      </w:tr>
    </w:tbl>
    <w:bookmarkEnd w:id="117"/>
    <w:bookmarkStart w:id="118" w:name="X544c176ac6458cb16df50739e6d02c1305c6ba2"/>
    <w:p>
      <w:pPr>
        <w:pStyle w:val="Heading3"/>
      </w:pPr>
      <w:r>
        <w:t xml:space="preserve">8.5.2 RQ2: Technology — Multi-Platform Development</w:t>
      </w:r>
    </w:p>
    <w:tbl>
      <w:tblPr>
        <w:tblStyle w:val="Table"/>
        <w:tblW w:type="pct" w:w="5000"/>
        <w:tblLook w:firstRow="1" w:lastRow="0" w:firstColumn="0" w:lastColumn="0" w:noHBand="0" w:noVBand="0" w:val="0020"/>
        <w:jc w:val="start"/>
      </w:tblPr>
      <w:tblGrid>
        <w:gridCol w:w="1150"/>
        <w:gridCol w:w="2504"/>
        <w:gridCol w:w="4264"/>
      </w:tblGrid>
      <w:tr>
        <w:trPr>
          <w:tblHeader w:val="true"/>
        </w:trPr>
        <w:tc>
          <w:tcPr/>
          <w:p>
            <w:pPr>
              <w:pStyle w:val="Compact"/>
              <w:jc w:val="left"/>
            </w:pPr>
            <w:r>
              <w:t xml:space="preserve">Platform</w:t>
            </w:r>
          </w:p>
        </w:tc>
        <w:tc>
          <w:tcPr/>
          <w:p>
            <w:pPr>
              <w:pStyle w:val="Compact"/>
              <w:jc w:val="left"/>
            </w:pPr>
            <w:r>
              <w:t xml:space="preserve">Technology</w:t>
            </w:r>
          </w:p>
        </w:tc>
        <w:tc>
          <w:tcPr/>
          <w:p>
            <w:pPr>
              <w:pStyle w:val="Compact"/>
              <w:jc w:val="left"/>
            </w:pPr>
            <w:r>
              <w:t xml:space="preserve">Evidence</w:t>
            </w:r>
          </w:p>
        </w:tc>
      </w:tr>
      <w:tr>
        <w:tc>
          <w:tcPr/>
          <w:p>
            <w:pPr>
              <w:pStyle w:val="Compact"/>
              <w:jc w:val="left"/>
            </w:pPr>
            <w:r>
              <w:rPr>
                <w:bCs/>
                <w:b/>
              </w:rPr>
              <w:t xml:space="preserve">Cloud</w:t>
            </w:r>
          </w:p>
        </w:tc>
        <w:tc>
          <w:tcPr/>
          <w:p>
            <w:pPr>
              <w:pStyle w:val="Compact"/>
              <w:jc w:val="left"/>
            </w:pPr>
            <w:r>
              <w:t xml:space="preserve">Google Cloud Run + Groq API</w:t>
            </w:r>
          </w:p>
        </w:tc>
        <w:tc>
          <w:tcPr/>
          <w:p>
            <w:pPr>
              <w:pStyle w:val="Compact"/>
              <w:jc w:val="left"/>
            </w:pPr>
            <w:r>
              <w:t xml:space="preserve">MCP Hub on port 8765</w:t>
            </w:r>
          </w:p>
        </w:tc>
      </w:tr>
      <w:tr>
        <w:tc>
          <w:tcPr/>
          <w:p>
            <w:pPr>
              <w:pStyle w:val="Compact"/>
              <w:jc w:val="left"/>
            </w:pPr>
            <w:r>
              <w:rPr>
                <w:bCs/>
                <w:b/>
              </w:rPr>
              <w:t xml:space="preserve">Edge</w:t>
            </w:r>
          </w:p>
        </w:tc>
        <w:tc>
          <w:tcPr/>
          <w:p>
            <w:pPr>
              <w:pStyle w:val="Compact"/>
              <w:jc w:val="left"/>
            </w:pPr>
            <w:r>
              <w:t xml:space="preserve">NVIDIA Jetson Orin Nano + Acer GN100</w:t>
            </w:r>
          </w:p>
        </w:tc>
        <w:tc>
          <w:tcPr/>
          <w:p>
            <w:pPr>
              <w:pStyle w:val="Compact"/>
              <w:jc w:val="left"/>
            </w:pPr>
            <w:r>
              <w:t xml:space="preserve">&lt;100ms inference (25x faster)</w:t>
            </w:r>
          </w:p>
        </w:tc>
      </w:tr>
      <w:tr>
        <w:tc>
          <w:tcPr/>
          <w:p>
            <w:pPr>
              <w:pStyle w:val="Compact"/>
              <w:jc w:val="left"/>
            </w:pPr>
            <w:r>
              <w:rPr>
                <w:bCs/>
                <w:b/>
              </w:rPr>
              <w:t xml:space="preserve">E-commerce</w:t>
            </w:r>
          </w:p>
        </w:tc>
        <w:tc>
          <w:tcPr/>
          <w:p>
            <w:pPr>
              <w:pStyle w:val="Compact"/>
              <w:jc w:val="left"/>
            </w:pPr>
            <w:r>
              <w:t xml:space="preserve">dws10.com (Cloudflare Pages)</w:t>
            </w:r>
          </w:p>
        </w:tc>
        <w:tc>
          <w:tcPr/>
          <w:p>
            <w:pPr>
              <w:pStyle w:val="Compact"/>
              <w:jc w:val="left"/>
            </w:pPr>
            <w:r>
              <w:t xml:space="preserve">€0/month, 99.95% uptime</w:t>
            </w:r>
          </w:p>
        </w:tc>
      </w:tr>
      <w:tr>
        <w:tc>
          <w:tcPr/>
          <w:p>
            <w:pPr>
              <w:pStyle w:val="Compact"/>
              <w:jc w:val="left"/>
            </w:pPr>
            <w:r>
              <w:rPr>
                <w:bCs/>
                <w:b/>
              </w:rPr>
              <w:t xml:space="preserve">Orchestration</w:t>
            </w:r>
          </w:p>
        </w:tc>
        <w:tc>
          <w:tcPr/>
          <w:p>
            <w:pPr>
              <w:pStyle w:val="Compact"/>
              <w:jc w:val="left"/>
            </w:pPr>
            <w:r>
              <w:t xml:space="preserve">MCP Hub + LlamaStack</w:t>
            </w:r>
          </w:p>
        </w:tc>
        <w:tc>
          <w:tcPr/>
          <w:p>
            <w:pPr>
              <w:pStyle w:val="Compact"/>
              <w:jc w:val="left"/>
            </w:pPr>
            <w:r>
              <w:t xml:space="preserve">4 workflow patterns (Fan-Out, Sequential, Reflection, Pipeline)</w:t>
            </w:r>
          </w:p>
        </w:tc>
      </w:tr>
      <w:tr>
        <w:tc>
          <w:tcPr/>
          <w:p>
            <w:pPr>
              <w:pStyle w:val="Compact"/>
              <w:jc w:val="left"/>
            </w:pPr>
            <w:r>
              <w:rPr>
                <w:bCs/>
                <w:b/>
              </w:rPr>
              <w:t xml:space="preserve">Data</w:t>
            </w:r>
          </w:p>
        </w:tc>
        <w:tc>
          <w:tcPr/>
          <w:p>
            <w:pPr>
              <w:pStyle w:val="Compact"/>
              <w:jc w:val="left"/>
            </w:pPr>
            <w:r>
              <w:t xml:space="preserve">PostgreSQL HTAP (Aiven + TimescaleDB)</w:t>
            </w:r>
          </w:p>
        </w:tc>
        <w:tc>
          <w:tcPr/>
          <w:p>
            <w:pPr>
              <w:pStyle w:val="Compact"/>
              <w:jc w:val="left"/>
            </w:pPr>
            <w:r>
              <w:t xml:space="preserve">Two-tier: managed + edge analytics</w:t>
            </w:r>
          </w:p>
        </w:tc>
      </w:tr>
      <w:tr>
        <w:tc>
          <w:tcPr/>
          <w:p>
            <w:pPr>
              <w:pStyle w:val="Compact"/>
              <w:jc w:val="left"/>
            </w:pPr>
            <w:r>
              <w:rPr>
                <w:bCs/>
                <w:b/>
              </w:rPr>
              <w:t xml:space="preserve">Agents</w:t>
            </w:r>
          </w:p>
        </w:tc>
        <w:tc>
          <w:tcPr/>
          <w:p>
            <w:pPr>
              <w:pStyle w:val="Compact"/>
              <w:jc w:val="left"/>
            </w:pPr>
            <w:r>
              <w:t xml:space="preserve">Climate IQ Pantheon (13 agents)</w:t>
            </w:r>
          </w:p>
        </w:tc>
        <w:tc>
          <w:tcPr/>
          <w:p>
            <w:pPr>
              <w:pStyle w:val="Compact"/>
              <w:jc w:val="left"/>
            </w:pPr>
            <w:r>
              <w:t xml:space="preserve">6 orchestrators + 7 industry specialists</w:t>
            </w:r>
          </w:p>
        </w:tc>
      </w:tr>
    </w:tbl>
    <w:bookmarkEnd w:id="118"/>
    <w:bookmarkStart w:id="119" w:name="rq3-technical-solution-evaluation"/>
    <w:p>
      <w:pPr>
        <w:pStyle w:val="Heading3"/>
      </w:pPr>
      <w:r>
        <w:t xml:space="preserve">8.5.3 RQ3: Technical Solution Evaluation</w:t>
      </w:r>
    </w:p>
    <w:tbl>
      <w:tblPr>
        <w:tblStyle w:val="Table"/>
        <w:tblW w:type="pct" w:w="5000"/>
        <w:tblLook w:firstRow="1" w:lastRow="0" w:firstColumn="0" w:lastColumn="0" w:noHBand="0" w:noVBand="0" w:val="0020"/>
        <w:jc w:val="start"/>
      </w:tblPr>
      <w:tblGrid>
        <w:gridCol w:w="2767"/>
        <w:gridCol w:w="1145"/>
        <w:gridCol w:w="1240"/>
        <w:gridCol w:w="1622"/>
        <w:gridCol w:w="1145"/>
      </w:tblGrid>
      <w:tr>
        <w:trPr>
          <w:tblHeader w:val="true"/>
        </w:trPr>
        <w:tc>
          <w:tcPr/>
          <w:p>
            <w:pPr>
              <w:pStyle w:val="Compact"/>
              <w:jc w:val="left"/>
            </w:pPr>
            <w:r>
              <w:t xml:space="preserve">Solution</w:t>
            </w:r>
          </w:p>
        </w:tc>
        <w:tc>
          <w:tcPr/>
          <w:p>
            <w:pPr>
              <w:pStyle w:val="Compact"/>
              <w:jc w:val="left"/>
            </w:pPr>
            <w:r>
              <w:t xml:space="preserve">Dev Velocity</w:t>
            </w:r>
          </w:p>
        </w:tc>
        <w:tc>
          <w:tcPr/>
          <w:p>
            <w:pPr>
              <w:pStyle w:val="Compact"/>
              <w:jc w:val="left"/>
            </w:pPr>
            <w:r>
              <w:t xml:space="preserve">Bug Reduction</w:t>
            </w:r>
          </w:p>
        </w:tc>
        <w:tc>
          <w:tcPr/>
          <w:p>
            <w:pPr>
              <w:pStyle w:val="Compact"/>
              <w:jc w:val="left"/>
            </w:pPr>
            <w:r>
              <w:t xml:space="preserve">Cost</w:t>
            </w:r>
          </w:p>
        </w:tc>
        <w:tc>
          <w:tcPr/>
          <w:p>
            <w:pPr>
              <w:pStyle w:val="Compact"/>
              <w:jc w:val="left"/>
            </w:pPr>
            <w:r>
              <w:t xml:space="preserve">Rating</w:t>
            </w:r>
          </w:p>
        </w:tc>
      </w:tr>
      <w:tr>
        <w:tc>
          <w:tcPr/>
          <w:p>
            <w:pPr>
              <w:pStyle w:val="Compact"/>
              <w:jc w:val="left"/>
            </w:pPr>
            <w:r>
              <w:t xml:space="preserve">Traditional development</w:t>
            </w:r>
          </w:p>
        </w:tc>
        <w:tc>
          <w:tcPr/>
          <w:p>
            <w:pPr>
              <w:pStyle w:val="Compact"/>
              <w:jc w:val="left"/>
            </w:pPr>
            <w:r>
              <w:t xml:space="preserve">Baseline</w:t>
            </w:r>
          </w:p>
        </w:tc>
        <w:tc>
          <w:tcPr/>
          <w:p>
            <w:pPr>
              <w:pStyle w:val="Compact"/>
              <w:jc w:val="left"/>
            </w:pPr>
            <w:r>
              <w:t xml:space="preserve">Baseline</w:t>
            </w:r>
          </w:p>
        </w:tc>
        <w:tc>
          <w:tcPr/>
          <w:p>
            <w:pPr>
              <w:pStyle w:val="Compact"/>
              <w:jc w:val="left"/>
            </w:pPr>
            <w:r>
              <w:t xml:space="preserve">High</w:t>
            </w:r>
          </w:p>
        </w:tc>
        <w:tc>
          <w:tcPr/>
          <w:p>
            <w:pPr>
              <w:pStyle w:val="Compact"/>
              <w:jc w:val="left"/>
            </w:pPr>
            <w:r>
              <w:t xml:space="preserve">Not suitable</w:t>
            </w:r>
          </w:p>
        </w:tc>
      </w:tr>
      <w:tr>
        <w:tc>
          <w:tcPr/>
          <w:p>
            <w:pPr>
              <w:pStyle w:val="Compact"/>
              <w:jc w:val="left"/>
            </w:pPr>
            <w:r>
              <w:t xml:space="preserve">Cloud-only AI</w:t>
            </w:r>
          </w:p>
        </w:tc>
        <w:tc>
          <w:tcPr/>
          <w:p>
            <w:pPr>
              <w:pStyle w:val="Compact"/>
              <w:jc w:val="left"/>
            </w:pPr>
            <w:r>
              <w:t xml:space="preserve">+30%</w:t>
            </w:r>
          </w:p>
        </w:tc>
        <w:tc>
          <w:tcPr/>
          <w:p>
            <w:pPr>
              <w:pStyle w:val="Compact"/>
              <w:jc w:val="left"/>
            </w:pPr>
            <w:r>
              <w:t xml:space="preserve">-40%</w:t>
            </w:r>
          </w:p>
        </w:tc>
        <w:tc>
          <w:tcPr/>
          <w:p>
            <w:pPr>
              <w:pStyle w:val="Compact"/>
              <w:jc w:val="left"/>
            </w:pPr>
            <w:r>
              <w:t xml:space="preserve">€555/month</w:t>
            </w:r>
          </w:p>
        </w:tc>
        <w:tc>
          <w:tcPr/>
          <w:p>
            <w:pPr>
              <w:pStyle w:val="Compact"/>
              <w:jc w:val="left"/>
            </w:pPr>
            <w:r>
              <w:t xml:space="preserve">Partial</w:t>
            </w:r>
          </w:p>
        </w:tc>
      </w:tr>
      <w:tr>
        <w:tc>
          <w:tcPr/>
          <w:p>
            <w:pPr>
              <w:pStyle w:val="Compact"/>
              <w:jc w:val="left"/>
            </w:pPr>
            <w:r>
              <w:rPr>
                <w:bCs/>
                <w:b/>
              </w:rPr>
              <w:t xml:space="preserve">MCP Hub + Edge AI</w:t>
            </w:r>
          </w:p>
        </w:tc>
        <w:tc>
          <w:tcPr/>
          <w:p>
            <w:pPr>
              <w:pStyle w:val="Compact"/>
              <w:jc w:val="left"/>
            </w:pPr>
            <w:r>
              <w:rPr>
                <w:bCs/>
                <w:b/>
              </w:rPr>
              <w:t xml:space="preserve">+62%</w:t>
            </w:r>
          </w:p>
        </w:tc>
        <w:tc>
          <w:tcPr/>
          <w:p>
            <w:pPr>
              <w:pStyle w:val="Compact"/>
              <w:jc w:val="left"/>
            </w:pPr>
            <w:r>
              <w:rPr>
                <w:bCs/>
                <w:b/>
              </w:rPr>
              <w:t xml:space="preserve">-73%</w:t>
            </w:r>
          </w:p>
        </w:tc>
        <w:tc>
          <w:tcPr/>
          <w:p>
            <w:pPr>
              <w:pStyle w:val="Compact"/>
              <w:jc w:val="left"/>
            </w:pPr>
            <w:r>
              <w:rPr>
                <w:bCs/>
                <w:b/>
              </w:rPr>
              <w:t xml:space="preserve">€25-350/month</w:t>
            </w:r>
          </w:p>
        </w:tc>
        <w:tc>
          <w:tcPr/>
          <w:p>
            <w:pPr>
              <w:pStyle w:val="Compact"/>
              <w:jc w:val="left"/>
            </w:pPr>
            <w:r>
              <w:rPr>
                <w:bCs/>
                <w:b/>
              </w:rPr>
              <w:t xml:space="preserve">Best</w:t>
            </w:r>
          </w:p>
        </w:tc>
      </w:tr>
      <w:tr>
        <w:tc>
          <w:tcPr/>
          <w:p>
            <w:pPr>
              <w:pStyle w:val="Compact"/>
              <w:jc w:val="left"/>
            </w:pPr>
            <w:r>
              <w:rPr>
                <w:bCs/>
                <w:b/>
              </w:rPr>
              <w:t xml:space="preserve">Harness-optimized (v3.26)</w:t>
            </w:r>
          </w:p>
        </w:tc>
        <w:tc>
          <w:tcPr/>
          <w:p>
            <w:pPr>
              <w:pStyle w:val="Compact"/>
              <w:jc w:val="left"/>
            </w:pPr>
            <w:r>
              <w:rPr>
                <w:bCs/>
                <w:b/>
              </w:rPr>
              <w:t xml:space="preserve">+85%</w:t>
            </w:r>
          </w:p>
        </w:tc>
        <w:tc>
          <w:tcPr/>
          <w:p>
            <w:pPr>
              <w:pStyle w:val="Compact"/>
              <w:jc w:val="left"/>
            </w:pPr>
            <w:r>
              <w:rPr>
                <w:bCs/>
                <w:b/>
              </w:rPr>
              <w:t xml:space="preserve">-80%</w:t>
            </w:r>
          </w:p>
        </w:tc>
        <w:tc>
          <w:tcPr/>
          <w:p>
            <w:pPr>
              <w:pStyle w:val="Compact"/>
              <w:jc w:val="left"/>
            </w:pPr>
            <w:r>
              <w:rPr>
                <w:bCs/>
                <w:b/>
              </w:rPr>
              <w:t xml:space="preserve">€25-280/month</w:t>
            </w:r>
          </w:p>
        </w:tc>
        <w:tc>
          <w:tcPr/>
          <w:p>
            <w:pPr>
              <w:pStyle w:val="Compact"/>
              <w:jc w:val="left"/>
            </w:pPr>
            <w:r>
              <w:rPr>
                <w:bCs/>
                <w:b/>
              </w:rPr>
              <w:t xml:space="preserve">Optimal</w:t>
            </w:r>
          </w:p>
        </w:tc>
      </w:tr>
    </w:tbl>
    <w:p>
      <w:pPr>
        <w:pStyle w:val="BodyText"/>
      </w:pPr>
      <w:r>
        <w:rPr>
          <w:bCs/>
          <w:b/>
        </w:rPr>
        <w:t xml:space="preserve">New in v3.26:</w:t>
      </w:r>
      <w:r>
        <w:t xml:space="preserve"> </w:t>
      </w:r>
      <w:r>
        <w:t xml:space="preserve">Harness engineering adds a fourth row — system-level optimization without model changes achieves additional +23% dev velocity and -7% bug reduction vs base MCP Hub approach.</w:t>
      </w:r>
    </w:p>
    <w:bookmarkEnd w:id="119"/>
    <w:bookmarkStart w:id="120" w:name="rq4-enterprise-security-and-compliance"/>
    <w:p>
      <w:pPr>
        <w:pStyle w:val="Heading3"/>
      </w:pPr>
      <w:r>
        <w:t xml:space="preserve">8.5.4 RQ4: Enterprise Security and Compliance</w:t>
      </w:r>
    </w:p>
    <w:tbl>
      <w:tblPr>
        <w:tblStyle w:val="Table"/>
        <w:tblW w:type="pct" w:w="5000"/>
        <w:tblLook w:firstRow="1" w:lastRow="0" w:firstColumn="0" w:lastColumn="0" w:noHBand="0" w:noVBand="0" w:val="0020"/>
        <w:jc w:val="start"/>
      </w:tblPr>
      <w:tblGrid>
        <w:gridCol w:w="1363"/>
        <w:gridCol w:w="2272"/>
        <w:gridCol w:w="2921"/>
        <w:gridCol w:w="1363"/>
      </w:tblGrid>
      <w:tr>
        <w:trPr>
          <w:tblHeader w:val="true"/>
        </w:trPr>
        <w:tc>
          <w:tcPr/>
          <w:p>
            <w:pPr>
              <w:pStyle w:val="Compact"/>
              <w:jc w:val="left"/>
            </w:pPr>
            <w:r>
              <w:t xml:space="preserve">Regulation</w:t>
            </w:r>
          </w:p>
        </w:tc>
        <w:tc>
          <w:tcPr/>
          <w:p>
            <w:pPr>
              <w:pStyle w:val="Compact"/>
              <w:jc w:val="left"/>
            </w:pPr>
            <w:r>
              <w:t xml:space="preserve">Requirement</w:t>
            </w:r>
          </w:p>
        </w:tc>
        <w:tc>
          <w:tcPr/>
          <w:p>
            <w:pPr>
              <w:pStyle w:val="Compact"/>
              <w:jc w:val="left"/>
            </w:pPr>
            <w:r>
              <w:t xml:space="preserve">Implementation</w:t>
            </w:r>
          </w:p>
        </w:tc>
        <w:tc>
          <w:tcPr/>
          <w:p>
            <w:pPr>
              <w:pStyle w:val="Compact"/>
              <w:jc w:val="left"/>
            </w:pPr>
            <w:r>
              <w:t xml:space="preserve">Status</w:t>
            </w:r>
          </w:p>
        </w:tc>
      </w:tr>
      <w:tr>
        <w:tc>
          <w:tcPr/>
          <w:p>
            <w:pPr>
              <w:pStyle w:val="Compact"/>
              <w:jc w:val="left"/>
            </w:pPr>
            <w:r>
              <w:rPr>
                <w:bCs/>
                <w:b/>
              </w:rPr>
              <w:t xml:space="preserve">NIS 2</w:t>
            </w:r>
          </w:p>
        </w:tc>
        <w:tc>
          <w:tcPr/>
          <w:p>
            <w:pPr>
              <w:pStyle w:val="Compact"/>
              <w:jc w:val="left"/>
            </w:pPr>
            <w:r>
              <w:t xml:space="preserve">Cybersecurity risk management</w:t>
            </w:r>
          </w:p>
        </w:tc>
        <w:tc>
          <w:tcPr/>
          <w:p>
            <w:pPr>
              <w:pStyle w:val="Compact"/>
              <w:jc w:val="left"/>
            </w:pPr>
            <w:r>
              <w:t xml:space="preserve">Security Agent + Snyk MCP + RC2-RC4 hardening</w:t>
            </w:r>
          </w:p>
        </w:tc>
        <w:tc>
          <w:tcPr/>
          <w:p>
            <w:pPr>
              <w:pStyle w:val="Compact"/>
              <w:jc w:val="left"/>
            </w:pPr>
            <w:r>
              <w:rPr>
                <w:bCs/>
                <w:b/>
              </w:rPr>
              <w:t xml:space="preserve">Active</w:t>
            </w:r>
          </w:p>
        </w:tc>
      </w:tr>
      <w:tr>
        <w:tc>
          <w:tcPr/>
          <w:p>
            <w:pPr>
              <w:pStyle w:val="Compact"/>
              <w:jc w:val="left"/>
            </w:pPr>
            <w:r>
              <w:rPr>
                <w:bCs/>
                <w:b/>
              </w:rPr>
              <w:t xml:space="preserve">EU AI Act</w:t>
            </w:r>
          </w:p>
        </w:tc>
        <w:tc>
          <w:tcPr/>
          <w:p>
            <w:pPr>
              <w:pStyle w:val="Compact"/>
              <w:jc w:val="left"/>
            </w:pPr>
            <w:r>
              <w:t xml:space="preserve">Transparency, human oversight</w:t>
            </w:r>
          </w:p>
        </w:tc>
        <w:tc>
          <w:tcPr/>
          <w:p>
            <w:pPr>
              <w:pStyle w:val="Compact"/>
              <w:jc w:val="left"/>
            </w:pPr>
            <w:r>
              <w:t xml:space="preserve">Art. 12 logging, SOUL.md, Pantheon agents</w:t>
            </w:r>
          </w:p>
        </w:tc>
        <w:tc>
          <w:tcPr/>
          <w:p>
            <w:pPr>
              <w:pStyle w:val="Compact"/>
              <w:jc w:val="left"/>
            </w:pPr>
            <w:r>
              <w:rPr>
                <w:bCs/>
                <w:b/>
              </w:rPr>
              <w:t xml:space="preserve">Compliant (92%)</w:t>
            </w:r>
          </w:p>
        </w:tc>
      </w:tr>
      <w:tr>
        <w:tc>
          <w:tcPr/>
          <w:p>
            <w:pPr>
              <w:pStyle w:val="Compact"/>
              <w:jc w:val="left"/>
            </w:pPr>
            <w:r>
              <w:rPr>
                <w:bCs/>
                <w:b/>
              </w:rPr>
              <w:t xml:space="preserve">GDPR</w:t>
            </w:r>
          </w:p>
        </w:tc>
        <w:tc>
          <w:tcPr/>
          <w:p>
            <w:pPr>
              <w:pStyle w:val="Compact"/>
              <w:jc w:val="left"/>
            </w:pPr>
            <w:r>
              <w:t xml:space="preserve">Data residency, data subject rights</w:t>
            </w:r>
          </w:p>
        </w:tc>
        <w:tc>
          <w:tcPr/>
          <w:p>
            <w:pPr>
              <w:pStyle w:val="Compact"/>
              <w:jc w:val="left"/>
            </w:pPr>
            <w:r>
              <w:t xml:space="preserve">europe-north1, Supabase RLS, Aiven EU</w:t>
            </w:r>
          </w:p>
        </w:tc>
        <w:tc>
          <w:tcPr/>
          <w:p>
            <w:pPr>
              <w:pStyle w:val="Compact"/>
              <w:jc w:val="left"/>
            </w:pPr>
            <w:r>
              <w:rPr>
                <w:bCs/>
                <w:b/>
              </w:rPr>
              <w:t xml:space="preserve">Compliant</w:t>
            </w:r>
          </w:p>
        </w:tc>
      </w:tr>
      <w:tr>
        <w:tc>
          <w:tcPr/>
          <w:p>
            <w:pPr>
              <w:pStyle w:val="Compact"/>
              <w:jc w:val="left"/>
            </w:pPr>
            <w:r>
              <w:rPr>
                <w:bCs/>
                <w:b/>
              </w:rPr>
              <w:t xml:space="preserve">Cybersecurity Act</w:t>
            </w:r>
          </w:p>
        </w:tc>
        <w:tc>
          <w:tcPr/>
          <w:p>
            <w:pPr>
              <w:pStyle w:val="Compact"/>
              <w:jc w:val="left"/>
            </w:pPr>
            <w:r>
              <w:t xml:space="preserve">Security certification</w:t>
            </w:r>
          </w:p>
        </w:tc>
        <w:tc>
          <w:tcPr/>
          <w:p>
            <w:pPr>
              <w:pStyle w:val="Compact"/>
              <w:jc w:val="left"/>
            </w:pPr>
            <w:r>
              <w:t xml:space="preserve">ISO 27001 target Q3 2026</w:t>
            </w:r>
          </w:p>
        </w:tc>
        <w:tc>
          <w:tcPr/>
          <w:p>
            <w:pPr>
              <w:pStyle w:val="Compact"/>
              <w:jc w:val="left"/>
            </w:pPr>
            <w:r>
              <w:t xml:space="preserve">Planned</w:t>
            </w:r>
          </w:p>
        </w:tc>
      </w:tr>
      <w:tr>
        <w:tc>
          <w:tcPr/>
          <w:p>
            <w:pPr>
              <w:pStyle w:val="Compact"/>
              <w:jc w:val="left"/>
            </w:pPr>
            <w:r>
              <w:rPr>
                <w:bCs/>
                <w:b/>
              </w:rPr>
              <w:t xml:space="preserve">EU Data Act</w:t>
            </w:r>
          </w:p>
        </w:tc>
        <w:tc>
          <w:tcPr/>
          <w:p>
            <w:pPr>
              <w:pStyle w:val="Compact"/>
              <w:jc w:val="left"/>
            </w:pPr>
            <w:r>
              <w:t xml:space="preserve">Data portability, interoperability</w:t>
            </w:r>
          </w:p>
        </w:tc>
        <w:tc>
          <w:tcPr/>
          <w:p>
            <w:pPr>
              <w:pStyle w:val="Compact"/>
              <w:jc w:val="left"/>
            </w:pPr>
            <w:r>
              <w:t xml:space="preserve">DWS Data Standard, HTAP architecture</w:t>
            </w:r>
          </w:p>
        </w:tc>
        <w:tc>
          <w:tcPr/>
          <w:p>
            <w:pPr>
              <w:pStyle w:val="Compact"/>
              <w:jc w:val="left"/>
            </w:pPr>
            <w:r>
              <w:rPr>
                <w:bCs/>
                <w:b/>
              </w:rPr>
              <w:t xml:space="preserve">In progress (80%)</w:t>
            </w:r>
          </w:p>
        </w:tc>
      </w:tr>
    </w:tbl>
    <w:bookmarkEnd w:id="120"/>
    <w:bookmarkEnd w:id="121"/>
    <w:bookmarkStart w:id="126" w:name="swot-analysis-updated-v3.26"/>
    <w:p>
      <w:pPr>
        <w:pStyle w:val="Heading2"/>
      </w:pPr>
      <w:r>
        <w:t xml:space="preserve">8.6 SWOT Analysis (Updated v3.26)</w:t>
      </w:r>
    </w:p>
    <w:bookmarkStart w:id="122" w:name="strengths"/>
    <w:p>
      <w:pPr>
        <w:pStyle w:val="Heading3"/>
      </w:pPr>
      <w:r>
        <w:t xml:space="preserve">Strengths</w:t>
      </w:r>
    </w:p>
    <w:p>
      <w:pPr>
        <w:numPr>
          <w:ilvl w:val="0"/>
          <w:numId w:val="1038"/>
        </w:numPr>
        <w:pStyle w:val="Compact"/>
      </w:pPr>
      <w:r>
        <w:t xml:space="preserve">Complete implementation (live system with €10k MRR)</w:t>
      </w:r>
    </w:p>
    <w:p>
      <w:pPr>
        <w:numPr>
          <w:ilvl w:val="0"/>
          <w:numId w:val="1038"/>
        </w:numPr>
        <w:pStyle w:val="Compact"/>
      </w:pPr>
      <w:r>
        <w:t xml:space="preserve">Novel coordination protocol (Lifetime Scope Signals)</w:t>
      </w:r>
    </w:p>
    <w:p>
      <w:pPr>
        <w:numPr>
          <w:ilvl w:val="0"/>
          <w:numId w:val="1038"/>
        </w:numPr>
        <w:pStyle w:val="Compact"/>
      </w:pPr>
      <w:r>
        <w:t xml:space="preserve">Cost leadership (82% cheaper than competitors)</w:t>
      </w:r>
    </w:p>
    <w:p>
      <w:pPr>
        <w:numPr>
          <w:ilvl w:val="0"/>
          <w:numId w:val="1038"/>
        </w:numPr>
        <w:pStyle w:val="Compact"/>
      </w:pPr>
      <w:r>
        <w:t xml:space="preserve">EU compliance built-in (5 regulations tracked)</w:t>
      </w:r>
    </w:p>
    <w:p>
      <w:pPr>
        <w:numPr>
          <w:ilvl w:val="0"/>
          <w:numId w:val="1038"/>
        </w:numPr>
        <w:pStyle w:val="Compact"/>
      </w:pPr>
      <w:r>
        <w:rPr>
          <w:bCs/>
          <w:b/>
        </w:rPr>
        <w:t xml:space="preserve">13-agent Pantheon system operational</w:t>
      </w:r>
    </w:p>
    <w:p>
      <w:pPr>
        <w:numPr>
          <w:ilvl w:val="0"/>
          <w:numId w:val="1038"/>
        </w:numPr>
        <w:pStyle w:val="Compact"/>
      </w:pPr>
      <w:r>
        <w:rPr>
          <w:bCs/>
          <w:b/>
        </w:rPr>
        <w:t xml:space="preserve">Harness engineering validated (+26% from system alone)</w:t>
      </w:r>
    </w:p>
    <w:p>
      <w:pPr>
        <w:numPr>
          <w:ilvl w:val="0"/>
          <w:numId w:val="1038"/>
        </w:numPr>
        <w:pStyle w:val="Compact"/>
      </w:pPr>
      <w:r>
        <w:rPr>
          <w:bCs/>
          <w:b/>
        </w:rPr>
        <w:t xml:space="preserve">Strategic partnerships: NVIDIA, Siemens, ABB, xAI, Mistral, Red Hat</w:t>
      </w:r>
    </w:p>
    <w:bookmarkEnd w:id="122"/>
    <w:bookmarkStart w:id="123" w:name="weaknesses"/>
    <w:p>
      <w:pPr>
        <w:pStyle w:val="Heading3"/>
      </w:pPr>
      <w:r>
        <w:t xml:space="preserve">Weaknesses</w:t>
      </w:r>
    </w:p>
    <w:p>
      <w:pPr>
        <w:numPr>
          <w:ilvl w:val="0"/>
          <w:numId w:val="1039"/>
        </w:numPr>
        <w:pStyle w:val="Compact"/>
      </w:pPr>
      <w:r>
        <w:t xml:space="preserve">Single developer dependency (mitigated by CEO automation agents)</w:t>
      </w:r>
    </w:p>
    <w:p>
      <w:pPr>
        <w:numPr>
          <w:ilvl w:val="0"/>
          <w:numId w:val="1039"/>
        </w:numPr>
        <w:pStyle w:val="Compact"/>
      </w:pPr>
      <w:r>
        <w:t xml:space="preserve">External validation limited (A/B testing data growing)</w:t>
      </w:r>
    </w:p>
    <w:p>
      <w:pPr>
        <w:numPr>
          <w:ilvl w:val="0"/>
          <w:numId w:val="1039"/>
        </w:numPr>
        <w:pStyle w:val="Compact"/>
      </w:pPr>
      <w:r>
        <w:t xml:space="preserve">Edge hardware dependency (now 2 devices: Jetson + GN100)</w:t>
      </w:r>
    </w:p>
    <w:bookmarkEnd w:id="123"/>
    <w:bookmarkStart w:id="124" w:name="opportunities"/>
    <w:p>
      <w:pPr>
        <w:pStyle w:val="Heading3"/>
      </w:pPr>
      <w:r>
        <w:t xml:space="preserve">Opportunities</w:t>
      </w:r>
    </w:p>
    <w:p>
      <w:pPr>
        <w:numPr>
          <w:ilvl w:val="0"/>
          <w:numId w:val="1040"/>
        </w:numPr>
        <w:pStyle w:val="Compact"/>
      </w:pPr>
      <w:r>
        <w:t xml:space="preserve">EU Fit for 55 mandate (€15-20 billion EU TAM)</w:t>
      </w:r>
    </w:p>
    <w:p>
      <w:pPr>
        <w:numPr>
          <w:ilvl w:val="0"/>
          <w:numId w:val="1040"/>
        </w:numPr>
        <w:pStyle w:val="Compact"/>
      </w:pPr>
      <w:r>
        <w:t xml:space="preserve">Solution Factory replication (8 verticals)</w:t>
      </w:r>
    </w:p>
    <w:p>
      <w:pPr>
        <w:numPr>
          <w:ilvl w:val="0"/>
          <w:numId w:val="1040"/>
        </w:numPr>
        <w:pStyle w:val="Compact"/>
      </w:pPr>
      <w:r>
        <w:t xml:space="preserve">NCC board-level partnership</w:t>
      </w:r>
    </w:p>
    <w:p>
      <w:pPr>
        <w:numPr>
          <w:ilvl w:val="0"/>
          <w:numId w:val="1040"/>
        </w:numPr>
        <w:pStyle w:val="Compact"/>
      </w:pPr>
      <w:r>
        <w:rPr>
          <w:bCs/>
          <w:b/>
        </w:rPr>
        <w:t xml:space="preserve">EU Data Act compliance as differentiator</w:t>
      </w:r>
    </w:p>
    <w:p>
      <w:pPr>
        <w:numPr>
          <w:ilvl w:val="0"/>
          <w:numId w:val="1040"/>
        </w:numPr>
        <w:pStyle w:val="Compact"/>
      </w:pPr>
      <w:r>
        <w:rPr>
          <w:bCs/>
          <w:b/>
        </w:rPr>
        <w:t xml:space="preserve">Harness engineering as IP moat</w:t>
      </w:r>
    </w:p>
    <w:p>
      <w:pPr>
        <w:numPr>
          <w:ilvl w:val="0"/>
          <w:numId w:val="1040"/>
        </w:numPr>
        <w:pStyle w:val="Compact"/>
      </w:pPr>
      <w:r>
        <w:rPr>
          <w:bCs/>
          <w:b/>
        </w:rPr>
        <w:t xml:space="preserve">$644B GenAI market (2025) with 76.4% YoY growth validates enterprise AI demand</w:t>
      </w:r>
    </w:p>
    <w:p>
      <w:pPr>
        <w:numPr>
          <w:ilvl w:val="0"/>
          <w:numId w:val="1040"/>
        </w:numPr>
        <w:pStyle w:val="Compact"/>
      </w:pPr>
      <w:r>
        <w:rPr>
          <w:bCs/>
          <w:b/>
        </w:rPr>
        <w:t xml:space="preserve">Inference shift: 80%+ accelerators for inference by 2028 validates edge-first architecture</w:t>
      </w:r>
    </w:p>
    <w:bookmarkEnd w:id="124"/>
    <w:bookmarkStart w:id="125" w:name="threats"/>
    <w:p>
      <w:pPr>
        <w:pStyle w:val="Heading3"/>
      </w:pPr>
      <w:r>
        <w:t xml:space="preserve">Threats</w:t>
      </w:r>
    </w:p>
    <w:p>
      <w:pPr>
        <w:numPr>
          <w:ilvl w:val="0"/>
          <w:numId w:val="1041"/>
        </w:numPr>
        <w:pStyle w:val="Compact"/>
      </w:pPr>
      <w:r>
        <w:t xml:space="preserve">Big tech market entry</w:t>
      </w:r>
    </w:p>
    <w:p>
      <w:pPr>
        <w:numPr>
          <w:ilvl w:val="0"/>
          <w:numId w:val="1041"/>
        </w:numPr>
        <w:pStyle w:val="Compact"/>
      </w:pPr>
      <w:r>
        <w:t xml:space="preserve">Credit expiration (12 months)</w:t>
      </w:r>
    </w:p>
    <w:p>
      <w:pPr>
        <w:numPr>
          <w:ilvl w:val="0"/>
          <w:numId w:val="1041"/>
        </w:numPr>
        <w:pStyle w:val="Compact"/>
      </w:pPr>
      <w:r>
        <w:t xml:space="preserve">Competition from established players</w:t>
      </w:r>
    </w:p>
    <w:p>
      <w:pPr>
        <w:numPr>
          <w:ilvl w:val="0"/>
          <w:numId w:val="1041"/>
        </w:numPr>
        <w:pStyle w:val="Compact"/>
      </w:pPr>
      <w:r>
        <w:rPr>
          <w:bCs/>
          <w:b/>
        </w:rPr>
        <w:t xml:space="preserve">EU AI Act enforcement timeline (August 2026)</w:t>
      </w:r>
    </w:p>
    <w:bookmarkEnd w:id="125"/>
    <w:bookmarkEnd w:id="126"/>
    <w:bookmarkStart w:id="127" w:name="ab-testing-and-feedback-channel-results"/>
    <w:p>
      <w:pPr>
        <w:pStyle w:val="Heading2"/>
      </w:pPr>
      <w:r>
        <w:t xml:space="preserve">8.7 A/B Testing and Feedback Channel Results</w:t>
      </w:r>
    </w:p>
    <w:p>
      <w:pPr>
        <w:pStyle w:val="FirstParagraph"/>
      </w:pPr>
      <w:r>
        <w:t xml:space="preserve">Product validation through the four-channel feedback pipeline (section 1.6):</w:t>
      </w:r>
    </w:p>
    <w:tbl>
      <w:tblPr>
        <w:tblStyle w:val="Table"/>
        <w:tblW w:type="pct" w:w="5000"/>
        <w:tblLook w:firstRow="1" w:lastRow="0" w:firstColumn="0" w:lastColumn="0" w:noHBand="0" w:noVBand="0" w:val="0020"/>
        <w:jc w:val="start"/>
      </w:tblPr>
      <w:tblGrid>
        <w:gridCol w:w="1343"/>
        <w:gridCol w:w="2404"/>
        <w:gridCol w:w="1272"/>
        <w:gridCol w:w="2121"/>
        <w:gridCol w:w="777"/>
      </w:tblGrid>
      <w:tr>
        <w:trPr>
          <w:tblHeader w:val="true"/>
        </w:trPr>
        <w:tc>
          <w:tcPr/>
          <w:p>
            <w:pPr>
              <w:pStyle w:val="Compact"/>
              <w:jc w:val="left"/>
            </w:pPr>
            <w:r>
              <w:t xml:space="preserve">Channel</w:t>
            </w:r>
          </w:p>
        </w:tc>
        <w:tc>
          <w:tcPr/>
          <w:p>
            <w:pPr>
              <w:pStyle w:val="Compact"/>
              <w:jc w:val="left"/>
            </w:pPr>
            <w:r>
              <w:t xml:space="preserve">Metric</w:t>
            </w:r>
          </w:p>
        </w:tc>
        <w:tc>
          <w:tcPr/>
          <w:p>
            <w:pPr>
              <w:pStyle w:val="Compact"/>
              <w:jc w:val="left"/>
            </w:pPr>
            <w:r>
              <w:t xml:space="preserve">Baseline (v3.15)</w:t>
            </w:r>
          </w:p>
        </w:tc>
        <w:tc>
          <w:tcPr/>
          <w:p>
            <w:pPr>
              <w:pStyle w:val="Compact"/>
              <w:jc w:val="left"/>
            </w:pPr>
            <w:r>
              <w:t xml:space="preserve">Current (v3.26)</w:t>
            </w:r>
          </w:p>
        </w:tc>
        <w:tc>
          <w:tcPr/>
          <w:p>
            <w:pPr>
              <w:pStyle w:val="Compact"/>
              <w:jc w:val="left"/>
            </w:pPr>
            <w:r>
              <w:t xml:space="preserve">Δ</w:t>
            </w:r>
          </w:p>
        </w:tc>
      </w:tr>
      <w:tr>
        <w:tc>
          <w:tcPr/>
          <w:p>
            <w:pPr>
              <w:pStyle w:val="Compact"/>
              <w:jc w:val="left"/>
            </w:pPr>
            <w:r>
              <w:rPr>
                <w:bCs/>
                <w:b/>
              </w:rPr>
              <w:t xml:space="preserve">Google Merchant</w:t>
            </w:r>
          </w:p>
        </w:tc>
        <w:tc>
          <w:tcPr/>
          <w:p>
            <w:pPr>
              <w:pStyle w:val="Compact"/>
              <w:jc w:val="left"/>
            </w:pPr>
            <w:r>
              <w:t xml:space="preserve">Product approval rate</w:t>
            </w:r>
          </w:p>
        </w:tc>
        <w:tc>
          <w:tcPr/>
          <w:p>
            <w:pPr>
              <w:pStyle w:val="Compact"/>
              <w:jc w:val="left"/>
            </w:pPr>
            <w:r>
              <w:t xml:space="preserve">30/30 (100%)</w:t>
            </w:r>
          </w:p>
        </w:tc>
        <w:tc>
          <w:tcPr/>
          <w:p>
            <w:pPr>
              <w:pStyle w:val="Compact"/>
              <w:jc w:val="left"/>
            </w:pPr>
            <w:r>
              <w:t xml:space="preserve">30/30 (100%)</w:t>
            </w:r>
          </w:p>
        </w:tc>
        <w:tc>
          <w:tcPr/>
          <w:p>
            <w:pPr>
              <w:pStyle w:val="Compact"/>
              <w:jc w:val="left"/>
            </w:pPr>
            <w:r>
              <w:t xml:space="preserve">Maintained</w:t>
            </w:r>
          </w:p>
        </w:tc>
      </w:tr>
      <w:tr>
        <w:tc>
          <w:tcPr/>
          <w:p>
            <w:pPr>
              <w:pStyle w:val="Compact"/>
              <w:jc w:val="left"/>
            </w:pPr>
            <w:r>
              <w:rPr>
                <w:bCs/>
                <w:b/>
              </w:rPr>
              <w:t xml:space="preserve">Google Merchant</w:t>
            </w:r>
          </w:p>
        </w:tc>
        <w:tc>
          <w:tcPr/>
          <w:p>
            <w:pPr>
              <w:pStyle w:val="Compact"/>
              <w:jc w:val="left"/>
            </w:pPr>
            <w:r>
              <w:t xml:space="preserve">Average CTR</w:t>
            </w:r>
          </w:p>
        </w:tc>
        <w:tc>
          <w:tcPr/>
          <w:p>
            <w:pPr>
              <w:pStyle w:val="Compact"/>
              <w:jc w:val="left"/>
            </w:pPr>
            <w:r>
              <w:t xml:space="preserve">1.2%</w:t>
            </w:r>
          </w:p>
        </w:tc>
        <w:tc>
          <w:tcPr/>
          <w:p>
            <w:pPr>
              <w:pStyle w:val="Compact"/>
              <w:jc w:val="left"/>
            </w:pPr>
            <w:r>
              <w:t xml:space="preserve">1.8% (A/B tested descriptions)</w:t>
            </w:r>
          </w:p>
        </w:tc>
        <w:tc>
          <w:tcPr/>
          <w:p>
            <w:pPr>
              <w:pStyle w:val="Compact"/>
              <w:jc w:val="left"/>
            </w:pPr>
            <w:r>
              <w:t xml:space="preserve">+50%</w:t>
            </w:r>
          </w:p>
        </w:tc>
      </w:tr>
      <w:tr>
        <w:tc>
          <w:tcPr/>
          <w:p>
            <w:pPr>
              <w:pStyle w:val="Compact"/>
              <w:jc w:val="left"/>
            </w:pPr>
            <w:r>
              <w:rPr>
                <w:bCs/>
                <w:b/>
              </w:rPr>
              <w:t xml:space="preserve">SEO</w:t>
            </w:r>
          </w:p>
        </w:tc>
        <w:tc>
          <w:tcPr/>
          <w:p>
            <w:pPr>
              <w:pStyle w:val="Compact"/>
              <w:jc w:val="left"/>
            </w:pPr>
            <w:r>
              <w:t xml:space="preserve">Organic keywords ranked</w:t>
            </w:r>
          </w:p>
        </w:tc>
        <w:tc>
          <w:tcPr/>
          <w:p>
            <w:pPr>
              <w:pStyle w:val="Compact"/>
              <w:jc w:val="left"/>
            </w:pPr>
            <w:r>
              <w:t xml:space="preserve">45</w:t>
            </w:r>
          </w:p>
        </w:tc>
        <w:tc>
          <w:tcPr/>
          <w:p>
            <w:pPr>
              <w:pStyle w:val="Compact"/>
              <w:jc w:val="left"/>
            </w:pPr>
            <w:r>
              <w:t xml:space="preserve">78</w:t>
            </w:r>
          </w:p>
        </w:tc>
        <w:tc>
          <w:tcPr/>
          <w:p>
            <w:pPr>
              <w:pStyle w:val="Compact"/>
              <w:jc w:val="left"/>
            </w:pPr>
            <w:r>
              <w:t xml:space="preserve">+73%</w:t>
            </w:r>
          </w:p>
        </w:tc>
      </w:tr>
      <w:tr>
        <w:tc>
          <w:tcPr/>
          <w:p>
            <w:pPr>
              <w:pStyle w:val="Compact"/>
              <w:jc w:val="left"/>
            </w:pPr>
            <w:r>
              <w:rPr>
                <w:bCs/>
                <w:b/>
              </w:rPr>
              <w:t xml:space="preserve">SEO</w:t>
            </w:r>
          </w:p>
        </w:tc>
        <w:tc>
          <w:tcPr/>
          <w:p>
            <w:pPr>
              <w:pStyle w:val="Compact"/>
              <w:jc w:val="left"/>
            </w:pPr>
            <w:r>
              <w:t xml:space="preserve">Average position (target keywords)</w:t>
            </w:r>
          </w:p>
        </w:tc>
        <w:tc>
          <w:tcPr/>
          <w:p>
            <w:pPr>
              <w:pStyle w:val="Compact"/>
              <w:jc w:val="left"/>
            </w:pPr>
            <w:r>
              <w:t xml:space="preserve">32</w:t>
            </w:r>
          </w:p>
        </w:tc>
        <w:tc>
          <w:tcPr/>
          <w:p>
            <w:pPr>
              <w:pStyle w:val="Compact"/>
              <w:jc w:val="left"/>
            </w:pPr>
            <w:r>
              <w:t xml:space="preserve">18</w:t>
            </w:r>
          </w:p>
        </w:tc>
        <w:tc>
          <w:tcPr/>
          <w:p>
            <w:pPr>
              <w:pStyle w:val="Compact"/>
              <w:jc w:val="left"/>
            </w:pPr>
            <w:r>
              <w:t xml:space="preserve">+44%</w:t>
            </w:r>
          </w:p>
        </w:tc>
      </w:tr>
      <w:tr>
        <w:tc>
          <w:tcPr/>
          <w:p>
            <w:pPr>
              <w:pStyle w:val="Compact"/>
              <w:jc w:val="left"/>
            </w:pPr>
            <w:r>
              <w:rPr>
                <w:bCs/>
                <w:b/>
              </w:rPr>
              <w:t xml:space="preserve">Sales</w:t>
            </w:r>
          </w:p>
        </w:tc>
        <w:tc>
          <w:tcPr/>
          <w:p>
            <w:pPr>
              <w:pStyle w:val="Compact"/>
              <w:jc w:val="left"/>
            </w:pPr>
            <w:r>
              <w:t xml:space="preserve">MRR</w:t>
            </w:r>
          </w:p>
        </w:tc>
        <w:tc>
          <w:tcPr/>
          <w:p>
            <w:pPr>
              <w:pStyle w:val="Compact"/>
              <w:jc w:val="left"/>
            </w:pPr>
            <w:r>
              <w:t xml:space="preserve">€10k (pilot)</w:t>
            </w:r>
          </w:p>
        </w:tc>
        <w:tc>
          <w:tcPr/>
          <w:p>
            <w:pPr>
              <w:pStyle w:val="Compact"/>
              <w:jc w:val="left"/>
            </w:pPr>
            <w:r>
              <w:t xml:space="preserve">€10k (stable)</w:t>
            </w:r>
          </w:p>
        </w:tc>
        <w:tc>
          <w:tcPr/>
          <w:p>
            <w:pPr>
              <w:pStyle w:val="Compact"/>
              <w:jc w:val="left"/>
            </w:pPr>
            <w:r>
              <w:t xml:space="preserve">Maintained</w:t>
            </w:r>
          </w:p>
        </w:tc>
      </w:tr>
      <w:tr>
        <w:tc>
          <w:tcPr/>
          <w:p>
            <w:pPr>
              <w:pStyle w:val="Compact"/>
              <w:jc w:val="left"/>
            </w:pPr>
            <w:r>
              <w:rPr>
                <w:bCs/>
                <w:b/>
              </w:rPr>
              <w:t xml:space="preserve">Sales</w:t>
            </w:r>
          </w:p>
        </w:tc>
        <w:tc>
          <w:tcPr/>
          <w:p>
            <w:pPr>
              <w:pStyle w:val="Compact"/>
              <w:jc w:val="left"/>
            </w:pPr>
            <w:r>
              <w:t xml:space="preserve">Conversion rate (store)</w:t>
            </w:r>
          </w:p>
        </w:tc>
        <w:tc>
          <w:tcPr/>
          <w:p>
            <w:pPr>
              <w:pStyle w:val="Compact"/>
              <w:jc w:val="left"/>
            </w:pPr>
            <w:r>
              <w:t xml:space="preserve">2.1%</w:t>
            </w:r>
          </w:p>
        </w:tc>
        <w:tc>
          <w:tcPr/>
          <w:p>
            <w:pPr>
              <w:pStyle w:val="Compact"/>
              <w:jc w:val="left"/>
            </w:pPr>
            <w:r>
              <w:t xml:space="preserve">3.4%</w:t>
            </w:r>
          </w:p>
        </w:tc>
        <w:tc>
          <w:tcPr/>
          <w:p>
            <w:pPr>
              <w:pStyle w:val="Compact"/>
              <w:jc w:val="left"/>
            </w:pPr>
            <w:r>
              <w:t xml:space="preserve">+62%</w:t>
            </w:r>
          </w:p>
        </w:tc>
      </w:tr>
      <w:tr>
        <w:tc>
          <w:tcPr/>
          <w:p>
            <w:pPr>
              <w:pStyle w:val="Compact"/>
              <w:jc w:val="left"/>
            </w:pPr>
            <w:r>
              <w:rPr>
                <w:bCs/>
                <w:b/>
              </w:rPr>
              <w:t xml:space="preserve">Investor</w:t>
            </w:r>
          </w:p>
        </w:tc>
        <w:tc>
          <w:tcPr/>
          <w:p>
            <w:pPr>
              <w:pStyle w:val="Compact"/>
              <w:jc w:val="left"/>
            </w:pPr>
            <w:r>
              <w:t xml:space="preserve">InvestEU readiness</w:t>
            </w:r>
          </w:p>
        </w:tc>
        <w:tc>
          <w:tcPr/>
          <w:p>
            <w:pPr>
              <w:pStyle w:val="Compact"/>
              <w:jc w:val="left"/>
            </w:pPr>
            <w:r>
              <w:t xml:space="preserve">Pipeline</w:t>
            </w:r>
          </w:p>
        </w:tc>
        <w:tc>
          <w:tcPr/>
          <w:p>
            <w:pPr>
              <w:pStyle w:val="Compact"/>
              <w:jc w:val="left"/>
            </w:pPr>
            <w:r>
              <w:t xml:space="preserve">Assessment phase</w:t>
            </w:r>
          </w:p>
        </w:tc>
        <w:tc>
          <w:tcPr/>
          <w:p>
            <w:pPr>
              <w:pStyle w:val="Compact"/>
              <w:jc w:val="left"/>
            </w:pPr>
            <w:r>
              <w:t xml:space="preserve">Progressing</w:t>
            </w:r>
          </w:p>
        </w:tc>
      </w:tr>
      <w:tr>
        <w:tc>
          <w:tcPr/>
          <w:p>
            <w:pPr>
              <w:pStyle w:val="Compact"/>
              <w:jc w:val="left"/>
            </w:pPr>
            <w:r>
              <w:rPr>
                <w:bCs/>
                <w:b/>
              </w:rPr>
              <w:t xml:space="preserve">Investor</w:t>
            </w:r>
          </w:p>
        </w:tc>
        <w:tc>
          <w:tcPr/>
          <w:p>
            <w:pPr>
              <w:pStyle w:val="Compact"/>
              <w:jc w:val="left"/>
            </w:pPr>
            <w:r>
              <w:t xml:space="preserve">Product portfolio score</w:t>
            </w:r>
          </w:p>
        </w:tc>
        <w:tc>
          <w:tcPr/>
          <w:p>
            <w:pPr>
              <w:pStyle w:val="Compact"/>
              <w:jc w:val="left"/>
            </w:pPr>
            <w:r>
              <w:t xml:space="preserve">30 products listed</w:t>
            </w:r>
          </w:p>
        </w:tc>
        <w:tc>
          <w:tcPr/>
          <w:p>
            <w:pPr>
              <w:pStyle w:val="Compact"/>
              <w:jc w:val="left"/>
            </w:pPr>
            <w:r>
              <w:t xml:space="preserve">30 products + 3 SaaS features</w:t>
            </w:r>
          </w:p>
        </w:tc>
        <w:tc>
          <w:tcPr/>
          <w:p>
            <w:pPr>
              <w:pStyle w:val="Compact"/>
              <w:jc w:val="left"/>
            </w:pPr>
            <w:r>
              <w:t xml:space="preserve">Enhanced</w:t>
            </w:r>
          </w:p>
        </w:tc>
      </w:tr>
    </w:tbl>
    <w:p>
      <w:pPr>
        <w:pStyle w:val="BodyText"/>
      </w:pPr>
      <w:r>
        <w:rPr>
          <w:bCs/>
          <w:b/>
        </w:rPr>
        <w:t xml:space="preserve">Key A/B test findings:</w:t>
      </w:r>
    </w:p>
    <w:p>
      <w:pPr>
        <w:numPr>
          <w:ilvl w:val="0"/>
          <w:numId w:val="1042"/>
        </w:numPr>
        <w:pStyle w:val="Compact"/>
      </w:pPr>
      <w:r>
        <w:rPr>
          <w:bCs/>
          <w:b/>
        </w:rPr>
        <w:t xml:space="preserve">AI-generated product descriptions</w:t>
      </w:r>
      <w:r>
        <w:t xml:space="preserve"> </w:t>
      </w:r>
      <w:r>
        <w:t xml:space="preserve">outperform manual descriptions by +18% CTR in Google Merchant</w:t>
      </w:r>
    </w:p>
    <w:p>
      <w:pPr>
        <w:numPr>
          <w:ilvl w:val="0"/>
          <w:numId w:val="1042"/>
        </w:numPr>
        <w:pStyle w:val="Compact"/>
      </w:pPr>
      <w:r>
        <w:rPr>
          <w:bCs/>
          <w:b/>
        </w:rPr>
        <w:t xml:space="preserve">Hierarchical category pages</w:t>
      </w:r>
      <w:r>
        <w:t xml:space="preserve"> </w:t>
      </w:r>
      <w:r>
        <w:t xml:space="preserve">reduce bounce rate by 12% vs flat product listing</w:t>
      </w:r>
    </w:p>
    <w:p>
      <w:pPr>
        <w:numPr>
          <w:ilvl w:val="0"/>
          <w:numId w:val="1042"/>
        </w:numPr>
        <w:pStyle w:val="Compact"/>
      </w:pPr>
      <w:r>
        <w:rPr>
          <w:bCs/>
          <w:b/>
        </w:rPr>
        <w:t xml:space="preserve">Dynamic pricing signals</w:t>
      </w:r>
      <w:r>
        <w:t xml:space="preserve"> </w:t>
      </w:r>
      <w:r>
        <w:t xml:space="preserve">(showing competitor comparison) increase conversion by 8%</w:t>
      </w:r>
    </w:p>
    <w:p>
      <w:pPr>
        <w:numPr>
          <w:ilvl w:val="0"/>
          <w:numId w:val="1042"/>
        </w:numPr>
        <w:pStyle w:val="Compact"/>
      </w:pPr>
      <w:r>
        <w:rPr>
          <w:bCs/>
          <w:b/>
        </w:rPr>
        <w:t xml:space="preserve">Investor feedback</w:t>
      </w:r>
      <w:r>
        <w:t xml:space="preserve"> </w:t>
      </w:r>
      <w:r>
        <w:t xml:space="preserve">confirmed product portfolio breadth as a strength; pricing model feedback led to 3-tier billing implementation</w:t>
      </w:r>
    </w:p>
    <w:p>
      <w:r>
        <w:pict>
          <v:rect style="width:0;height:1.5pt" o:hralign="center" o:hrstd="t" o:hr="t"/>
        </w:pict>
      </w:r>
    </w:p>
    <w:bookmarkEnd w:id="127"/>
    <w:bookmarkEnd w:id="128"/>
    <w:bookmarkStart w:id="139" w:name="discussion"/>
    <w:p>
      <w:pPr>
        <w:pStyle w:val="Heading1"/>
      </w:pPr>
      <w:r>
        <w:t xml:space="preserve">9. Discussion</w:t>
      </w:r>
    </w:p>
    <w:bookmarkStart w:id="130" w:name="key-findings-and-implications"/>
    <w:p>
      <w:pPr>
        <w:pStyle w:val="Heading2"/>
      </w:pPr>
      <w:r>
        <w:t xml:space="preserve">9.1 Key Findings and Implications</w:t>
      </w:r>
    </w:p>
    <w:bookmarkStart w:id="129" w:name="Xe1b2c8116099c1064818009868175ce91100a68"/>
    <w:p>
      <w:pPr>
        <w:pStyle w:val="Heading3"/>
      </w:pPr>
      <w:r>
        <w:t xml:space="preserve">9.1.1 Validation of AI-Assisted Development Model</w:t>
      </w:r>
    </w:p>
    <w:p>
      <w:pPr>
        <w:pStyle w:val="FirstParagraph"/>
      </w:pPr>
      <w:r>
        <w:rPr>
          <w:bCs/>
          <w:b/>
        </w:rPr>
        <w:t xml:space="preserve">Finding 1: Cursor Pro + Claude Code Max enabled rapid MVP development</w:t>
      </w:r>
    </w:p>
    <w:p>
      <w:pPr>
        <w:numPr>
          <w:ilvl w:val="0"/>
          <w:numId w:val="1043"/>
        </w:numPr>
        <w:pStyle w:val="Compact"/>
      </w:pPr>
      <w:r>
        <w:t xml:space="preserve">AI-assisted development tools (Cursor Pro, Claude Code Max subscriptions) enabled a complete MVP in 15 weeks</w:t>
      </w:r>
    </w:p>
    <w:p>
      <w:pPr>
        <w:numPr>
          <w:ilvl w:val="0"/>
          <w:numId w:val="1043"/>
        </w:numPr>
        <w:pStyle w:val="Compact"/>
      </w:pPr>
      <w:r>
        <w:t xml:space="preserve">Minimal cloud credits supplemented by targeted tool subscriptions eliminate the need for early-stage venture capital</w:t>
      </w:r>
    </w:p>
    <w:p>
      <w:pPr>
        <w:pStyle w:val="FirstParagraph"/>
      </w:pPr>
      <w:r>
        <w:rPr>
          <w:bCs/>
          <w:b/>
        </w:rPr>
        <w:t xml:space="preserve">Finding 2: Edge AI provides sustainable cost advantage</w:t>
      </w:r>
    </w:p>
    <w:p>
      <w:pPr>
        <w:numPr>
          <w:ilvl w:val="0"/>
          <w:numId w:val="1044"/>
        </w:numPr>
        <w:pStyle w:val="Compact"/>
      </w:pPr>
      <w:r>
        <w:t xml:space="preserve">82% cost reduction vs. cloud-only architecture</w:t>
      </w:r>
    </w:p>
    <w:p>
      <w:pPr>
        <w:numPr>
          <w:ilvl w:val="0"/>
          <w:numId w:val="1044"/>
        </w:numPr>
        <w:pStyle w:val="Compact"/>
      </w:pPr>
      <w:r>
        <w:t xml:space="preserve">1.95-month payback period on hardware investment</w:t>
      </w:r>
    </w:p>
    <w:bookmarkEnd w:id="129"/>
    <w:bookmarkEnd w:id="130"/>
    <w:bookmarkStart w:id="131" w:name="replicability-the-solution-factory-model"/>
    <w:p>
      <w:pPr>
        <w:pStyle w:val="Heading2"/>
      </w:pPr>
      <w:r>
        <w:t xml:space="preserve">9.2 Replicability: The Solution Factory Model</w:t>
      </w:r>
    </w:p>
    <w:p>
      <w:pPr>
        <w:pStyle w:val="FirstParagraph"/>
      </w:pPr>
      <w:r>
        <w:rPr>
          <w:bCs/>
          <w:b/>
        </w:rPr>
        <w:t xml:space="preserve">Phase 1: Bootstrap (6 months, EUR 0-350/month)</w:t>
      </w:r>
      <w:r>
        <w:t xml:space="preserve"> </w:t>
      </w:r>
      <w:r>
        <w:t xml:space="preserve">— Free tiers, 5 pilot customers</w:t>
      </w:r>
    </w:p>
    <w:p>
      <w:pPr>
        <w:pStyle w:val="BodyText"/>
      </w:pPr>
      <w:r>
        <w:rPr>
          <w:bCs/>
          <w:b/>
        </w:rPr>
        <w:t xml:space="preserve">Phase 2: Validate (6 months, EUR 5-15k MRR)</w:t>
      </w:r>
      <w:r>
        <w:t xml:space="preserve"> </w:t>
      </w:r>
      <w:r>
        <w:t xml:space="preserve">— Paying customers, &lt;2 month payback</w:t>
      </w:r>
    </w:p>
    <w:p>
      <w:pPr>
        <w:pStyle w:val="BodyText"/>
      </w:pPr>
      <w:r>
        <w:rPr>
          <w:bCs/>
          <w:b/>
        </w:rPr>
        <w:t xml:space="preserve">Phase 3: Scale (12 months, EUR 50k+ MRR)</w:t>
      </w:r>
      <w:r>
        <w:t xml:space="preserve"> </w:t>
      </w:r>
      <w:r>
        <w:t xml:space="preserve">— 2-3 verticals, Series A</w:t>
      </w:r>
    </w:p>
    <w:bookmarkEnd w:id="131"/>
    <w:bookmarkStart w:id="132" w:name="limitations"/>
    <w:p>
      <w:pPr>
        <w:pStyle w:val="Heading2"/>
      </w:pPr>
      <w:r>
        <w:t xml:space="preserve">9.3 Limitations</w:t>
      </w:r>
    </w:p>
    <w:tbl>
      <w:tblPr>
        <w:tblStyle w:val="Table"/>
        <w:tblW w:type="pct" w:w="5000"/>
        <w:tblLook w:firstRow="1" w:lastRow="0" w:firstColumn="0" w:lastColumn="0" w:noHBand="0" w:noVBand="0" w:val="0020"/>
        <w:jc w:val="start"/>
      </w:tblPr>
      <w:tblGrid>
        <w:gridCol w:w="1959"/>
        <w:gridCol w:w="2041"/>
        <w:gridCol w:w="3919"/>
      </w:tblGrid>
      <w:tr>
        <w:trPr>
          <w:tblHeader w:val="true"/>
        </w:trPr>
        <w:tc>
          <w:tcPr/>
          <w:p>
            <w:pPr>
              <w:pStyle w:val="Compact"/>
              <w:jc w:val="left"/>
            </w:pPr>
            <w:r>
              <w:t xml:space="preserve">Limitation</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Single case study</w:t>
            </w:r>
          </w:p>
        </w:tc>
        <w:tc>
          <w:tcPr/>
          <w:p>
            <w:pPr>
              <w:pStyle w:val="Compact"/>
              <w:jc w:val="left"/>
            </w:pPr>
            <w:r>
              <w:t xml:space="preserve">Limited generalizability</w:t>
            </w:r>
          </w:p>
        </w:tc>
        <w:tc>
          <w:tcPr/>
          <w:p>
            <w:pPr>
              <w:pStyle w:val="Compact"/>
              <w:jc w:val="left"/>
            </w:pPr>
            <w:r>
              <w:t xml:space="preserve">Model provides framework for replication studies</w:t>
            </w:r>
          </w:p>
        </w:tc>
      </w:tr>
      <w:tr>
        <w:tc>
          <w:tcPr/>
          <w:p>
            <w:pPr>
              <w:pStyle w:val="Compact"/>
              <w:jc w:val="left"/>
            </w:pPr>
            <w:r>
              <w:t xml:space="preserve">Self-reported metrics</w:t>
            </w:r>
          </w:p>
        </w:tc>
        <w:tc>
          <w:tcPr/>
          <w:p>
            <w:pPr>
              <w:pStyle w:val="Compact"/>
              <w:jc w:val="left"/>
            </w:pPr>
            <w:r>
              <w:t xml:space="preserve">Potential bias</w:t>
            </w:r>
          </w:p>
        </w:tc>
        <w:tc>
          <w:tcPr/>
          <w:p>
            <w:pPr>
              <w:pStyle w:val="Compact"/>
              <w:jc w:val="left"/>
            </w:pPr>
            <w:r>
              <w:t xml:space="preserve">Third-party validation planned Q2 2026</w:t>
            </w:r>
          </w:p>
        </w:tc>
      </w:tr>
      <w:tr>
        <w:tc>
          <w:tcPr/>
          <w:p>
            <w:pPr>
              <w:pStyle w:val="Compact"/>
              <w:jc w:val="left"/>
            </w:pPr>
            <w:r>
              <w:t xml:space="preserve">Short observation period</w:t>
            </w:r>
          </w:p>
        </w:tc>
        <w:tc>
          <w:tcPr/>
          <w:p>
            <w:pPr>
              <w:pStyle w:val="Compact"/>
              <w:jc w:val="left"/>
            </w:pPr>
            <w:r>
              <w:t xml:space="preserve">Long-term effects unknown</w:t>
            </w:r>
          </w:p>
        </w:tc>
        <w:tc>
          <w:tcPr/>
          <w:p>
            <w:pPr>
              <w:pStyle w:val="Compact"/>
              <w:jc w:val="left"/>
            </w:pPr>
            <w:r>
              <w:t xml:space="preserve">Continuous monitoring</w:t>
            </w:r>
          </w:p>
        </w:tc>
      </w:tr>
    </w:tbl>
    <w:bookmarkEnd w:id="132"/>
    <w:bookmarkStart w:id="133" w:name="recommendations"/>
    <w:p>
      <w:pPr>
        <w:pStyle w:val="Heading2"/>
      </w:pPr>
      <w:r>
        <w:t xml:space="preserve">9.4 Recommendations</w:t>
      </w:r>
    </w:p>
    <w:p>
      <w:pPr>
        <w:numPr>
          <w:ilvl w:val="0"/>
          <w:numId w:val="1045"/>
        </w:numPr>
        <w:pStyle w:val="Compact"/>
      </w:pPr>
      <w:r>
        <w:rPr>
          <w:bCs/>
          <w:b/>
        </w:rPr>
        <w:t xml:space="preserve">Execute V1.0 release (23 February 2026)</w:t>
      </w:r>
    </w:p>
    <w:p>
      <w:pPr>
        <w:numPr>
          <w:ilvl w:val="0"/>
          <w:numId w:val="1045"/>
        </w:numPr>
        <w:pStyle w:val="Compact"/>
      </w:pPr>
      <w:r>
        <w:rPr>
          <w:bCs/>
          <w:b/>
        </w:rPr>
        <w:t xml:space="preserve">Document Solution Factory</w:t>
      </w:r>
      <w:r>
        <w:t xml:space="preserve"> </w:t>
      </w:r>
      <w:r>
        <w:t xml:space="preserve">— public cost calculator, AgentFoundry templates</w:t>
      </w:r>
    </w:p>
    <w:p>
      <w:pPr>
        <w:numPr>
          <w:ilvl w:val="0"/>
          <w:numId w:val="1045"/>
        </w:numPr>
        <w:pStyle w:val="Compact"/>
      </w:pPr>
      <w:r>
        <w:rPr>
          <w:bCs/>
          <w:b/>
        </w:rPr>
        <w:t xml:space="preserve">Validate second vertical</w:t>
      </w:r>
      <w:r>
        <w:t xml:space="preserve"> </w:t>
      </w:r>
      <w:r>
        <w:t xml:space="preserve">— Construction (NCC, T2H)</w:t>
      </w:r>
    </w:p>
    <w:bookmarkEnd w:id="133"/>
    <w:bookmarkStart w:id="138" w:name="X1ed1201d73bbf54458553ea5859fce5dfd771ff"/>
    <w:p>
      <w:pPr>
        <w:pStyle w:val="Heading2"/>
      </w:pPr>
      <w:r>
        <w:t xml:space="preserve">9.5 Learn Thinking — A Reflective Learning Framework for AI-Assisted Development</w:t>
      </w:r>
    </w:p>
    <w:p>
      <w:pPr>
        <w:pStyle w:val="FirstParagraph"/>
      </w:pPr>
      <w:r>
        <w:t xml:space="preserve">A critical innovation of the Firehorse operating model is</w:t>
      </w:r>
      <w:r>
        <w:t xml:space="preserve"> </w:t>
      </w:r>
      <w:r>
        <w:rPr>
          <w:bCs/>
          <w:b/>
        </w:rPr>
        <w:t xml:space="preserve">Learn Thinking</w:t>
      </w:r>
      <w:r>
        <w:t xml:space="preserve"> </w:t>
      </w:r>
      <w:r>
        <w:t xml:space="preserve">— a systematic approach where every AI-assisted development session produces not only code and documentation, but also</w:t>
      </w:r>
      <w:r>
        <w:t xml:space="preserve"> </w:t>
      </w:r>
      <w:r>
        <w:rPr>
          <w:bCs/>
          <w:b/>
        </w:rPr>
        <w:t xml:space="preserve">structural learning</w:t>
      </w:r>
      <w:r>
        <w:t xml:space="preserve"> </w:t>
      </w:r>
      <w:r>
        <w:t xml:space="preserve">that returns to the developer the following morning.</w:t>
      </w:r>
    </w:p>
    <w:bookmarkStart w:id="134" w:name="learn-thinking-principles"/>
    <w:p>
      <w:pPr>
        <w:pStyle w:val="Heading3"/>
      </w:pPr>
      <w:r>
        <w:t xml:space="preserve">Learn Thinking Principles</w:t>
      </w:r>
    </w:p>
    <w:tbl>
      <w:tblPr>
        <w:tblStyle w:val="Table"/>
        <w:tblW w:type="pct" w:w="5000"/>
        <w:tblLook w:firstRow="1" w:lastRow="0" w:firstColumn="0" w:lastColumn="0" w:noHBand="0" w:noVBand="0" w:val="0020"/>
        <w:jc w:val="start"/>
      </w:tblPr>
      <w:tblGrid>
        <w:gridCol w:w="1466"/>
        <w:gridCol w:w="3568"/>
        <w:gridCol w:w="2884"/>
      </w:tblGrid>
      <w:tr>
        <w:trPr>
          <w:tblHeader w:val="true"/>
        </w:trPr>
        <w:tc>
          <w:tcPr/>
          <w:p>
            <w:pPr>
              <w:pStyle w:val="Compact"/>
              <w:jc w:val="left"/>
            </w:pPr>
            <w:r>
              <w:t xml:space="preserve">Principle</w:t>
            </w:r>
          </w:p>
        </w:tc>
        <w:tc>
          <w:tcPr/>
          <w:p>
            <w:pPr>
              <w:pStyle w:val="Compact"/>
              <w:jc w:val="left"/>
            </w:pPr>
            <w:r>
              <w:t xml:space="preserve">Implementation</w:t>
            </w:r>
          </w:p>
        </w:tc>
        <w:tc>
          <w:tcPr/>
          <w:p>
            <w:pPr>
              <w:pStyle w:val="Compact"/>
              <w:jc w:val="left"/>
            </w:pPr>
            <w:r>
              <w:t xml:space="preserve">Impact</w:t>
            </w:r>
          </w:p>
        </w:tc>
      </w:tr>
      <w:tr>
        <w:tc>
          <w:tcPr/>
          <w:p>
            <w:pPr>
              <w:pStyle w:val="Compact"/>
              <w:jc w:val="left"/>
            </w:pPr>
            <w:r>
              <w:rPr>
                <w:bCs/>
                <w:b/>
              </w:rPr>
              <w:t xml:space="preserve">Daily reflection</w:t>
            </w:r>
          </w:p>
        </w:tc>
        <w:tc>
          <w:tcPr/>
          <w:p>
            <w:pPr>
              <w:pStyle w:val="Compact"/>
              <w:jc w:val="left"/>
            </w:pPr>
            <w:r>
              <w:t xml:space="preserve">Learn/ folder HTML output opens in Edge every morning</w:t>
            </w:r>
          </w:p>
        </w:tc>
        <w:tc>
          <w:tcPr/>
          <w:p>
            <w:pPr>
              <w:pStyle w:val="Compact"/>
              <w:jc w:val="left"/>
            </w:pPr>
            <w:r>
              <w:t xml:space="preserve">Developer starts each day with a review of the latest state</w:t>
            </w:r>
          </w:p>
        </w:tc>
      </w:tr>
      <w:tr>
        <w:tc>
          <w:tcPr/>
          <w:p>
            <w:pPr>
              <w:pStyle w:val="Compact"/>
              <w:jc w:val="left"/>
            </w:pPr>
            <w:r>
              <w:rPr>
                <w:bCs/>
                <w:b/>
              </w:rPr>
              <w:t xml:space="preserve">Versioned learning journal</w:t>
            </w:r>
          </w:p>
        </w:tc>
        <w:tc>
          <w:tcPr/>
          <w:p>
            <w:pPr>
              <w:pStyle w:val="Compact"/>
              <w:jc w:val="left"/>
            </w:pPr>
            <w:r>
              <w:t xml:space="preserve">Thesis version history = learning journal</w:t>
            </w:r>
          </w:p>
        </w:tc>
        <w:tc>
          <w:tcPr/>
          <w:p>
            <w:pPr>
              <w:pStyle w:val="Compact"/>
              <w:jc w:val="left"/>
            </w:pPr>
            <w:r>
              <w:t xml:space="preserve">Each version documents what was learned and why</w:t>
            </w:r>
          </w:p>
        </w:tc>
      </w:tr>
      <w:tr>
        <w:tc>
          <w:tcPr/>
          <w:p>
            <w:pPr>
              <w:pStyle w:val="Compact"/>
              <w:jc w:val="left"/>
            </w:pPr>
            <w:r>
              <w:rPr>
                <w:bCs/>
                <w:b/>
              </w:rPr>
              <w:t xml:space="preserve">AI as learning partner</w:t>
            </w:r>
          </w:p>
        </w:tc>
        <w:tc>
          <w:tcPr/>
          <w:p>
            <w:pPr>
              <w:pStyle w:val="Compact"/>
              <w:jc w:val="left"/>
            </w:pPr>
            <w:r>
              <w:t xml:space="preserve">Claude Code / Copilot generates content, human validates</w:t>
            </w:r>
          </w:p>
        </w:tc>
        <w:tc>
          <w:tcPr/>
          <w:p>
            <w:pPr>
              <w:pStyle w:val="Compact"/>
              <w:jc w:val="left"/>
            </w:pPr>
            <w:r>
              <w:t xml:space="preserve">Dual loop: AI proposes → human evaluates → AI corrects</w:t>
            </w:r>
          </w:p>
        </w:tc>
      </w:tr>
      <w:tr>
        <w:tc>
          <w:tcPr/>
          <w:p>
            <w:pPr>
              <w:pStyle w:val="Compact"/>
              <w:jc w:val="left"/>
            </w:pPr>
            <w:r>
              <w:rPr>
                <w:bCs/>
                <w:b/>
              </w:rPr>
              <w:t xml:space="preserve">Three-layer memory</w:t>
            </w:r>
          </w:p>
        </w:tc>
        <w:tc>
          <w:tcPr/>
          <w:p>
            <w:pPr>
              <w:pStyle w:val="Compact"/>
              <w:jc w:val="left"/>
            </w:pPr>
            <w:r>
              <w:t xml:space="preserve">GitHub (version control) + Proton Drive (encrypted) + Supabase (EU cloud)</w:t>
            </w:r>
          </w:p>
        </w:tc>
        <w:tc>
          <w:tcPr/>
          <w:p>
            <w:pPr>
              <w:pStyle w:val="Compact"/>
              <w:jc w:val="left"/>
            </w:pPr>
            <w:r>
              <w:t xml:space="preserve">Learning never gets lost — three independent copies</w:t>
            </w:r>
          </w:p>
        </w:tc>
      </w:tr>
      <w:tr>
        <w:tc>
          <w:tcPr/>
          <w:p>
            <w:pPr>
              <w:pStyle w:val="Compact"/>
              <w:jc w:val="left"/>
            </w:pPr>
            <w:r>
              <w:rPr>
                <w:bCs/>
                <w:b/>
              </w:rPr>
              <w:t xml:space="preserve">Research-production bridge</w:t>
            </w:r>
          </w:p>
        </w:tc>
        <w:tc>
          <w:tcPr/>
          <w:p>
            <w:pPr>
              <w:pStyle w:val="Compact"/>
              <w:jc w:val="left"/>
            </w:pPr>
            <w:r>
              <w:t xml:space="preserve">Thesis guides product development, product development validates theory</w:t>
            </w:r>
          </w:p>
        </w:tc>
        <w:tc>
          <w:tcPr/>
          <w:p>
            <w:pPr>
              <w:pStyle w:val="Compact"/>
              <w:jc w:val="left"/>
            </w:pPr>
            <w:r>
              <w:t xml:space="preserve">No separate research and production — same loop</w:t>
            </w:r>
          </w:p>
        </w:tc>
      </w:tr>
    </w:tbl>
    <w:bookmarkEnd w:id="134"/>
    <w:bookmarkStart w:id="135" w:name="learning-loop-structure"/>
    <w:p>
      <w:pPr>
        <w:pStyle w:val="Heading3"/>
      </w:pPr>
      <w:r>
        <w:t xml:space="preserve">Learning Loop Structure</w:t>
      </w:r>
    </w:p>
    <w:p>
      <w:pPr>
        <w:pStyle w:val="SourceCode"/>
      </w:pPr>
      <w:r>
        <w:rPr>
          <w:rStyle w:val="VerbatimChar"/>
        </w:rPr>
        <w:t xml:space="preserve">┌─────────────────────────────────────────────────────────────┐</w:t>
      </w:r>
      <w:r>
        <w:br/>
      </w:r>
      <w:r>
        <w:rPr>
          <w:rStyle w:val="VerbatimChar"/>
        </w:rPr>
        <w:t xml:space="preserve">│                    LEARN THINKING LOOP                       │</w:t>
      </w:r>
      <w:r>
        <w:br/>
      </w:r>
      <w:r>
        <w:rPr>
          <w:rStyle w:val="VerbatimChar"/>
        </w:rPr>
        <w:t xml:space="preserve">├─────────────────────────────────────────────────────────────┤</w:t>
      </w:r>
      <w:r>
        <w:br/>
      </w:r>
      <w:r>
        <w:rPr>
          <w:rStyle w:val="VerbatimChar"/>
        </w:rPr>
        <w:t xml:space="preserve">│                                                             │</w:t>
      </w:r>
      <w:r>
        <w:br/>
      </w:r>
      <w:r>
        <w:rPr>
          <w:rStyle w:val="VerbatimChar"/>
        </w:rPr>
        <w:t xml:space="preserve">│  1. MORNING REVIEW (Windows startup)                       │</w:t>
      </w:r>
      <w:r>
        <w:br/>
      </w:r>
      <w:r>
        <w:rPr>
          <w:rStyle w:val="VerbatimChar"/>
        </w:rPr>
        <w:t xml:space="preserve">│     └─ Startup-DailySync.bat                               │</w:t>
      </w:r>
      <w:r>
        <w:br/>
      </w:r>
      <w:r>
        <w:rPr>
          <w:rStyle w:val="VerbatimChar"/>
        </w:rPr>
        <w:t xml:space="preserve">│        ├─ git pull origin main                             │</w:t>
      </w:r>
      <w:r>
        <w:br/>
      </w:r>
      <w:r>
        <w:rPr>
          <w:rStyle w:val="VerbatimChar"/>
        </w:rPr>
        <w:t xml:space="preserve">│        ├─ Sync-ToProton.ps1 -GeneratePDFs -OpenNewPDFs     │</w:t>
      </w:r>
      <w:r>
        <w:br/>
      </w:r>
      <w:r>
        <w:rPr>
          <w:rStyle w:val="VerbatimChar"/>
        </w:rPr>
        <w:t xml:space="preserve">│        └─ Edge opens changed HTML files                    │</w:t>
      </w:r>
      <w:r>
        <w:br/>
      </w:r>
      <w:r>
        <w:rPr>
          <w:rStyle w:val="VerbatimChar"/>
        </w:rPr>
        <w:t xml:space="preserve">│                                                             │</w:t>
      </w:r>
      <w:r>
        <w:br/>
      </w:r>
      <w:r>
        <w:rPr>
          <w:rStyle w:val="VerbatimChar"/>
        </w:rPr>
        <w:t xml:space="preserve">│  2. REFLECTION (human reads Learn/ folder content)         │</w:t>
      </w:r>
      <w:r>
        <w:br/>
      </w:r>
      <w:r>
        <w:rPr>
          <w:rStyle w:val="VerbatimChar"/>
        </w:rPr>
        <w:t xml:space="preserve">│     └─ Identifies gaps, errors, new opportunities          │</w:t>
      </w:r>
      <w:r>
        <w:br/>
      </w:r>
      <w:r>
        <w:rPr>
          <w:rStyle w:val="VerbatimChar"/>
        </w:rPr>
        <w:t xml:space="preserve">│                                                             │</w:t>
      </w:r>
      <w:r>
        <w:br/>
      </w:r>
      <w:r>
        <w:rPr>
          <w:rStyle w:val="VerbatimChar"/>
        </w:rPr>
        <w:t xml:space="preserve">│  3. DEVELOPMENT SESSION (Claude Code / Copilot / Cursor)   │</w:t>
      </w:r>
      <w:r>
        <w:br/>
      </w:r>
      <w:r>
        <w:rPr>
          <w:rStyle w:val="VerbatimChar"/>
        </w:rPr>
        <w:t xml:space="preserve">│     └─ Fixes, adds, improves code and documentation        │</w:t>
      </w:r>
      <w:r>
        <w:br/>
      </w:r>
      <w:r>
        <w:rPr>
          <w:rStyle w:val="VerbatimChar"/>
        </w:rPr>
        <w:t xml:space="preserve">│                                                             │</w:t>
      </w:r>
      <w:r>
        <w:br/>
      </w:r>
      <w:r>
        <w:rPr>
          <w:rStyle w:val="VerbatimChar"/>
        </w:rPr>
        <w:t xml:space="preserve">│  4. VERSIONING (git commit + push)                         │</w:t>
      </w:r>
      <w:r>
        <w:br/>
      </w:r>
      <w:r>
        <w:rPr>
          <w:rStyle w:val="VerbatimChar"/>
        </w:rPr>
        <w:t xml:space="preserve">│     └─ Thesis version increments, learning journal         │</w:t>
      </w:r>
      <w:r>
        <w:br/>
      </w:r>
      <w:r>
        <w:rPr>
          <w:rStyle w:val="VerbatimChar"/>
        </w:rPr>
        <w:t xml:space="preserve">│        updates automatically                                │</w:t>
      </w:r>
      <w:r>
        <w:br/>
      </w:r>
      <w:r>
        <w:rPr>
          <w:rStyle w:val="VerbatimChar"/>
        </w:rPr>
        <w:t xml:space="preserve">│                                                             │</w:t>
      </w:r>
      <w:r>
        <w:br/>
      </w:r>
      <w:r>
        <w:rPr>
          <w:rStyle w:val="VerbatimChar"/>
        </w:rPr>
        <w:t xml:space="preserve">│  5. NEXT MORNING → return to step 1                        │</w:t>
      </w:r>
      <w:r>
        <w:br/>
      </w:r>
      <w:r>
        <w:rPr>
          <w:rStyle w:val="VerbatimChar"/>
        </w:rPr>
        <w:t xml:space="preserve">│                                                             │</w:t>
      </w:r>
      <w:r>
        <w:br/>
      </w:r>
      <w:r>
        <w:rPr>
          <w:rStyle w:val="VerbatimChar"/>
        </w:rPr>
        <w:t xml:space="preserve">└─────────────────────────────────────────────────────────────┘</w:t>
      </w:r>
    </w:p>
    <w:bookmarkEnd w:id="135"/>
    <w:bookmarkStart w:id="136" w:name="X54b373059c34066dbb6b5f78c91e5e06f603df8"/>
    <w:p>
      <w:pPr>
        <w:pStyle w:val="Heading3"/>
      </w:pPr>
      <w:r>
        <w:t xml:space="preserve">Why Learn Thinking Matters for Thesis Work</w:t>
      </w:r>
    </w:p>
    <w:p>
      <w:pPr>
        <w:pStyle w:val="FirstParagraph"/>
      </w:pPr>
      <w:r>
        <w:t xml:space="preserve">In a traditional thesis process, the researcher writes a document once and submits it. In the Learn Thinking model:</w:t>
      </w:r>
    </w:p>
    <w:p>
      <w:pPr>
        <w:numPr>
          <w:ilvl w:val="0"/>
          <w:numId w:val="1046"/>
        </w:numPr>
        <w:pStyle w:val="Compact"/>
      </w:pPr>
      <w:r>
        <w:rPr>
          <w:bCs/>
          <w:b/>
        </w:rPr>
        <w:t xml:space="preserve">The thesis is a living document</w:t>
      </w:r>
      <w:r>
        <w:t xml:space="preserve"> </w:t>
      </w:r>
      <w:r>
        <w:t xml:space="preserve">— 30+ versions over 3 months, each documenting a concrete learning contribution</w:t>
      </w:r>
    </w:p>
    <w:p>
      <w:pPr>
        <w:numPr>
          <w:ilvl w:val="0"/>
          <w:numId w:val="1046"/>
        </w:numPr>
        <w:pStyle w:val="Compact"/>
      </w:pPr>
      <w:r>
        <w:rPr>
          <w:bCs/>
          <w:b/>
        </w:rPr>
        <w:t xml:space="preserve">AI tools are learning partners</w:t>
      </w:r>
      <w:r>
        <w:t xml:space="preserve"> </w:t>
      </w:r>
      <w:r>
        <w:t xml:space="preserve">— Claude Code, Copilot, and Cursor don’t just generate code, they produce structural reflection via version history</w:t>
      </w:r>
    </w:p>
    <w:p>
      <w:pPr>
        <w:numPr>
          <w:ilvl w:val="0"/>
          <w:numId w:val="1046"/>
        </w:numPr>
        <w:pStyle w:val="Compact"/>
      </w:pPr>
      <w:r>
        <w:rPr>
          <w:bCs/>
          <w:b/>
        </w:rPr>
        <w:t xml:space="preserve">The Learn/ folder is proof of learning</w:t>
      </w:r>
      <w:r>
        <w:t xml:space="preserve"> </w:t>
      </w:r>
      <w:r>
        <w:t xml:space="preserve">— a concrete, daily-updating portfolio of thesis progress</w:t>
      </w:r>
    </w:p>
    <w:p>
      <w:pPr>
        <w:numPr>
          <w:ilvl w:val="0"/>
          <w:numId w:val="1046"/>
        </w:numPr>
        <w:pStyle w:val="Compact"/>
      </w:pPr>
      <w:r>
        <w:rPr>
          <w:bCs/>
          <w:b/>
        </w:rPr>
        <w:t xml:space="preserve">Research and production converge</w:t>
      </w:r>
      <w:r>
        <w:t xml:space="preserve"> </w:t>
      </w:r>
      <w:r>
        <w:t xml:space="preserve">— thesis findings directly guide DWS product development and vice versa</w:t>
      </w:r>
    </w:p>
    <w:bookmarkEnd w:id="136"/>
    <w:bookmarkStart w:id="137" w:name="connection-to-build-measure-learn-cycle"/>
    <w:p>
      <w:pPr>
        <w:pStyle w:val="Heading3"/>
      </w:pPr>
      <w:r>
        <w:t xml:space="preserve">Connection to Build-Measure-Learn Cycle</w:t>
      </w:r>
    </w:p>
    <w:p>
      <w:pPr>
        <w:pStyle w:val="FirstParagraph"/>
      </w:pPr>
      <w:r>
        <w:t xml:space="preserve">Learn Thinking extends the Lean Startup Build-Measure-Learn cycle:</w:t>
      </w:r>
    </w:p>
    <w:tbl>
      <w:tblPr>
        <w:tblStyle w:val="Table"/>
        <w:tblW w:type="pct" w:w="5000"/>
        <w:tblLook w:firstRow="1" w:lastRow="0" w:firstColumn="0" w:lastColumn="0" w:noHBand="0" w:noVBand="0" w:val="0020"/>
        <w:jc w:val="start"/>
      </w:tblPr>
      <w:tblGrid>
        <w:gridCol w:w="1080"/>
        <w:gridCol w:w="3780"/>
        <w:gridCol w:w="3060"/>
      </w:tblGrid>
      <w:tr>
        <w:trPr>
          <w:tblHeader w:val="true"/>
        </w:trPr>
        <w:tc>
          <w:tcPr/>
          <w:p>
            <w:pPr>
              <w:pStyle w:val="Compact"/>
              <w:jc w:val="left"/>
            </w:pPr>
            <w:r>
              <w:t xml:space="preserve">Lean Startup</w:t>
            </w:r>
          </w:p>
        </w:tc>
        <w:tc>
          <w:tcPr/>
          <w:p>
            <w:pPr>
              <w:pStyle w:val="Compact"/>
              <w:jc w:val="left"/>
            </w:pPr>
            <w:r>
              <w:t xml:space="preserve">Learn Thinking</w:t>
            </w:r>
          </w:p>
        </w:tc>
        <w:tc>
          <w:tcPr/>
          <w:p>
            <w:pPr>
              <w:pStyle w:val="Compact"/>
              <w:jc w:val="left"/>
            </w:pPr>
            <w:r>
              <w:t xml:space="preserve">DWS Implementation</w:t>
            </w:r>
          </w:p>
        </w:tc>
      </w:tr>
      <w:tr>
        <w:tc>
          <w:tcPr/>
          <w:p>
            <w:pPr>
              <w:pStyle w:val="Compact"/>
              <w:jc w:val="left"/>
            </w:pPr>
            <w:r>
              <w:t xml:space="preserve">Build</w:t>
            </w:r>
          </w:p>
        </w:tc>
        <w:tc>
          <w:tcPr/>
          <w:p>
            <w:pPr>
              <w:pStyle w:val="Compact"/>
              <w:jc w:val="left"/>
            </w:pPr>
            <w:r>
              <w:t xml:space="preserve">Development session (code + documentation)</w:t>
            </w:r>
          </w:p>
        </w:tc>
        <w:tc>
          <w:tcPr/>
          <w:p>
            <w:pPr>
              <w:pStyle w:val="Compact"/>
              <w:jc w:val="left"/>
            </w:pPr>
            <w:r>
              <w:t xml:space="preserve">Claude Code + git commit</w:t>
            </w:r>
          </w:p>
        </w:tc>
      </w:tr>
      <w:tr>
        <w:tc>
          <w:tcPr/>
          <w:p>
            <w:pPr>
              <w:pStyle w:val="Compact"/>
              <w:jc w:val="left"/>
            </w:pPr>
            <w:r>
              <w:t xml:space="preserve">Measure</w:t>
            </w:r>
          </w:p>
        </w:tc>
        <w:tc>
          <w:tcPr/>
          <w:p>
            <w:pPr>
              <w:pStyle w:val="Compact"/>
              <w:jc w:val="left"/>
            </w:pPr>
            <w:r>
              <w:t xml:space="preserve">Morning review (changes in Edge browser)</w:t>
            </w:r>
          </w:p>
        </w:tc>
        <w:tc>
          <w:tcPr/>
          <w:p>
            <w:pPr>
              <w:pStyle w:val="Compact"/>
              <w:jc w:val="left"/>
            </w:pPr>
            <w:r>
              <w:t xml:space="preserve">Generate-PDFs.ps1 → Learn/</w:t>
            </w:r>
          </w:p>
        </w:tc>
      </w:tr>
      <w:tr>
        <w:tc>
          <w:tcPr/>
          <w:p>
            <w:pPr>
              <w:pStyle w:val="Compact"/>
              <w:jc w:val="left"/>
            </w:pPr>
            <w:r>
              <w:t xml:space="preserve">Learn</w:t>
            </w:r>
          </w:p>
        </w:tc>
        <w:tc>
          <w:tcPr/>
          <w:p>
            <w:pPr>
              <w:pStyle w:val="Compact"/>
              <w:jc w:val="left"/>
            </w:pPr>
            <w:r>
              <w:t xml:space="preserve">Reflection and next action</w:t>
            </w:r>
          </w:p>
        </w:tc>
        <w:tc>
          <w:tcPr/>
          <w:p>
            <w:pPr>
              <w:pStyle w:val="Compact"/>
              <w:jc w:val="left"/>
            </w:pPr>
            <w:r>
              <w:t xml:space="preserve">Version history = learning journal</w:t>
            </w:r>
          </w:p>
        </w:tc>
      </w:tr>
    </w:tbl>
    <w:p>
      <w:r>
        <w:pict>
          <v:rect style="width:0;height:1.5pt" o:hralign="center" o:hrstd="t" o:hr="t"/>
        </w:pict>
      </w:r>
    </w:p>
    <w:bookmarkEnd w:id="137"/>
    <w:bookmarkEnd w:id="138"/>
    <w:bookmarkEnd w:id="139"/>
    <w:bookmarkStart w:id="191" w:name="conclusions"/>
    <w:p>
      <w:pPr>
        <w:pStyle w:val="Heading1"/>
      </w:pPr>
      <w:r>
        <w:t xml:space="preserve">10. Conclusions</w:t>
      </w:r>
    </w:p>
    <w:bookmarkStart w:id="140" w:name="summary"/>
    <w:p>
      <w:pPr>
        <w:pStyle w:val="Heading2"/>
      </w:pPr>
      <w:r>
        <w:t xml:space="preserve">10.1 Summary</w:t>
      </w:r>
    </w:p>
    <w:p>
      <w:pPr>
        <w:pStyle w:val="FirstParagraph"/>
      </w:pPr>
      <w:r>
        <w:t xml:space="preserve">The Firehorse operating model demonstrates that AI-assisted e-commerce management can:</w:t>
      </w:r>
    </w:p>
    <w:p>
      <w:pPr>
        <w:numPr>
          <w:ilvl w:val="0"/>
          <w:numId w:val="1047"/>
        </w:numPr>
        <w:pStyle w:val="Compact"/>
      </w:pPr>
      <w:r>
        <w:rPr>
          <w:bCs/>
          <w:b/>
        </w:rPr>
        <w:t xml:space="preserve">Reduce operational overhead</w:t>
      </w:r>
      <w:r>
        <w:t xml:space="preserve"> </w:t>
      </w:r>
      <w:r>
        <w:t xml:space="preserve">by over 90% with automated product management</w:t>
      </w:r>
    </w:p>
    <w:p>
      <w:pPr>
        <w:numPr>
          <w:ilvl w:val="0"/>
          <w:numId w:val="1047"/>
        </w:numPr>
        <w:pStyle w:val="Compact"/>
      </w:pPr>
      <w:r>
        <w:rPr>
          <w:bCs/>
          <w:b/>
        </w:rPr>
        <w:t xml:space="preserve">Ensure compliance</w:t>
      </w:r>
      <w:r>
        <w:t xml:space="preserve"> </w:t>
      </w:r>
      <w:r>
        <w:t xml:space="preserve">with EU regulations through documented audit trails</w:t>
      </w:r>
    </w:p>
    <w:p>
      <w:pPr>
        <w:numPr>
          <w:ilvl w:val="0"/>
          <w:numId w:val="1047"/>
        </w:numPr>
        <w:pStyle w:val="Compact"/>
      </w:pPr>
      <w:r>
        <w:rPr>
          <w:bCs/>
          <w:b/>
        </w:rPr>
        <w:t xml:space="preserve">Enable rapid iteration</w:t>
      </w:r>
      <w:r>
        <w:t xml:space="preserve"> </w:t>
      </w:r>
      <w:r>
        <w:t xml:space="preserve">on product offerings through natural language interfaces</w:t>
      </w:r>
    </w:p>
    <w:p>
      <w:pPr>
        <w:numPr>
          <w:ilvl w:val="0"/>
          <w:numId w:val="1047"/>
        </w:numPr>
        <w:pStyle w:val="Compact"/>
      </w:pPr>
      <w:r>
        <w:rPr>
          <w:bCs/>
          <w:b/>
        </w:rPr>
        <w:t xml:space="preserve">Prepare infrastructure</w:t>
      </w:r>
      <w:r>
        <w:t xml:space="preserve"> </w:t>
      </w:r>
      <w:r>
        <w:t xml:space="preserve">for voice-based customer interaction</w:t>
      </w:r>
    </w:p>
    <w:p>
      <w:pPr>
        <w:numPr>
          <w:ilvl w:val="0"/>
          <w:numId w:val="1047"/>
        </w:numPr>
        <w:pStyle w:val="Compact"/>
      </w:pPr>
      <w:r>
        <w:rPr>
          <w:bCs/>
          <w:b/>
        </w:rPr>
        <w:t xml:space="preserve">Validate product-market fit</w:t>
      </w:r>
      <w:r>
        <w:t xml:space="preserve"> </w:t>
      </w:r>
      <w:r>
        <w:t xml:space="preserve">through Google Merchant Center integration</w:t>
      </w:r>
    </w:p>
    <w:bookmarkEnd w:id="140"/>
    <w:bookmarkStart w:id="141" w:name="key-contributions"/>
    <w:p>
      <w:pPr>
        <w:pStyle w:val="Heading2"/>
      </w:pPr>
      <w:r>
        <w:t xml:space="preserve">10.2 Key Contributions</w:t>
      </w:r>
    </w:p>
    <w:p>
      <w:pPr>
        <w:numPr>
          <w:ilvl w:val="0"/>
          <w:numId w:val="1048"/>
        </w:numPr>
        <w:pStyle w:val="Compact"/>
      </w:pPr>
      <w:r>
        <w:t xml:space="preserve">Documented framework for AI-assisted store operations (Firehorse model)</w:t>
      </w:r>
    </w:p>
    <w:p>
      <w:pPr>
        <w:numPr>
          <w:ilvl w:val="0"/>
          <w:numId w:val="1048"/>
        </w:numPr>
        <w:pStyle w:val="Compact"/>
      </w:pPr>
      <w:r>
        <w:t xml:space="preserve">Integration patterns for Google Merchant Center and Revolut Business</w:t>
      </w:r>
    </w:p>
    <w:p>
      <w:pPr>
        <w:numPr>
          <w:ilvl w:val="0"/>
          <w:numId w:val="1048"/>
        </w:numPr>
        <w:pStyle w:val="Compact"/>
      </w:pPr>
      <w:r>
        <w:t xml:space="preserve">Roadmap for audio chat with carbon footprint calculator integration (4 phases)</w:t>
      </w:r>
    </w:p>
    <w:p>
      <w:pPr>
        <w:numPr>
          <w:ilvl w:val="0"/>
          <w:numId w:val="1048"/>
        </w:numPr>
        <w:pStyle w:val="Compact"/>
      </w:pPr>
      <w:r>
        <w:t xml:space="preserve">EU compliance mapping for industrial software products</w:t>
      </w:r>
    </w:p>
    <w:p>
      <w:pPr>
        <w:numPr>
          <w:ilvl w:val="0"/>
          <w:numId w:val="1048"/>
        </w:numPr>
        <w:pStyle w:val="Compact"/>
      </w:pPr>
      <w:r>
        <w:t xml:space="preserve">Product recommendation engine architecture for 25+ EU industries</w:t>
      </w:r>
    </w:p>
    <w:p>
      <w:pPr>
        <w:numPr>
          <w:ilvl w:val="0"/>
          <w:numId w:val="1048"/>
        </w:numPr>
        <w:pStyle w:val="Compact"/>
      </w:pPr>
      <w:r>
        <w:t xml:space="preserve">Proton security products strategy for GDPR/NIS2 compliance</w:t>
      </w:r>
    </w:p>
    <w:bookmarkEnd w:id="141"/>
    <w:bookmarkStart w:id="144" w:name="contribution-to-theory"/>
    <w:p>
      <w:pPr>
        <w:pStyle w:val="Heading2"/>
      </w:pPr>
      <w:r>
        <w:t xml:space="preserve">10.3 Contribution to Theory</w:t>
      </w:r>
    </w:p>
    <w:bookmarkStart w:id="142" w:name="lifetime-scope-signals-protocol-2"/>
    <w:p>
      <w:pPr>
        <w:pStyle w:val="Heading3"/>
      </w:pPr>
      <w:r>
        <w:t xml:space="preserve">Lifetime Scope Signals Protocol</w:t>
      </w:r>
    </w:p>
    <w:p>
      <w:pPr>
        <w:pStyle w:val="FirstParagraph"/>
      </w:pPr>
      <w:r>
        <w:t xml:space="preserve">A novel contribution to multi-agent systems theory — declarative coordination, deterministic dependencies, and bootstrap optimization.</w:t>
      </w:r>
    </w:p>
    <w:bookmarkEnd w:id="142"/>
    <w:bookmarkStart w:id="143" w:name="solution-factory-model"/>
    <w:p>
      <w:pPr>
        <w:pStyle w:val="Heading3"/>
      </w:pPr>
      <w:r>
        <w:t xml:space="preserve">Solution Factory Model</w:t>
      </w:r>
    </w:p>
    <w:p>
      <w:pPr>
        <w:pStyle w:val="FirstParagraph"/>
      </w:pPr>
      <w:r>
        <w:t xml:space="preserve">Synthesizes Lean Startup, Platform Economics, Industry 5.0, and Edge Computing Economics into a unified framework.</w:t>
      </w:r>
    </w:p>
    <w:bookmarkEnd w:id="143"/>
    <w:bookmarkEnd w:id="144"/>
    <w:bookmarkStart w:id="145" w:name="X1634afecad3c2e46b7145515217828f4989cf64"/>
    <w:p>
      <w:pPr>
        <w:pStyle w:val="Heading2"/>
      </w:pPr>
      <w:r>
        <w:t xml:space="preserve">10.4 Impact of Regulatory Changes: Omnibus Package</w:t>
      </w:r>
    </w:p>
    <w:p>
      <w:pPr>
        <w:pStyle w:val="FirstParagraph"/>
      </w:pPr>
      <w:r>
        <w:t xml:space="preserve">The Omnibus package</w:t>
      </w:r>
      <w:r>
        <w:t xml:space="preserve"> </w:t>
      </w:r>
      <w:r>
        <w:rPr>
          <w:bCs/>
          <w:b/>
        </w:rPr>
        <w:t xml:space="preserve">strengthens</w:t>
      </w:r>
      <w:r>
        <w:t xml:space="preserve"> </w:t>
      </w:r>
      <w:r>
        <w:t xml:space="preserve">the Firehorse model’s competitiveness: climate emission targets are not compromised — only administrative burden is reduced. This creates a new market segment for voluntary reporting, where the EUR 0-350/month price point is particularly competitive.</w:t>
      </w:r>
    </w:p>
    <w:bookmarkEnd w:id="145"/>
    <w:bookmarkStart w:id="146" w:name="future-work"/>
    <w:p>
      <w:pPr>
        <w:pStyle w:val="Heading2"/>
      </w:pPr>
      <w:r>
        <w:t xml:space="preserve">10.5 Future Work</w:t>
      </w:r>
    </w:p>
    <w:p>
      <w:pPr>
        <w:numPr>
          <w:ilvl w:val="0"/>
          <w:numId w:val="1049"/>
        </w:numPr>
        <w:pStyle w:val="Compact"/>
      </w:pPr>
      <w:r>
        <w:rPr>
          <w:bCs/>
          <w:b/>
        </w:rPr>
        <w:t xml:space="preserve">Q1 2026:</w:t>
      </w:r>
      <w:r>
        <w:t xml:space="preserve"> </w:t>
      </w:r>
      <w:r>
        <w:t xml:space="preserve">Deploy audio chat Phase 1 with Groq/Llama models</w:t>
      </w:r>
    </w:p>
    <w:p>
      <w:pPr>
        <w:numPr>
          <w:ilvl w:val="0"/>
          <w:numId w:val="1049"/>
        </w:numPr>
        <w:pStyle w:val="Compact"/>
      </w:pPr>
      <w:r>
        <w:rPr>
          <w:bCs/>
          <w:b/>
        </w:rPr>
        <w:t xml:space="preserve">Q2 2026:</w:t>
      </w:r>
      <w:r>
        <w:t xml:space="preserve"> </w:t>
      </w:r>
      <w:r>
        <w:t xml:space="preserve">Implement industry carbon footprint calculator with Scope 1/2/3</w:t>
      </w:r>
    </w:p>
    <w:p>
      <w:pPr>
        <w:numPr>
          <w:ilvl w:val="0"/>
          <w:numId w:val="1049"/>
        </w:numPr>
        <w:pStyle w:val="Compact"/>
      </w:pPr>
      <w:r>
        <w:rPr>
          <w:bCs/>
          <w:b/>
        </w:rPr>
        <w:t xml:space="preserve">Q3 2026:</w:t>
      </w:r>
      <w:r>
        <w:t xml:space="preserve"> </w:t>
      </w:r>
      <w:r>
        <w:t xml:space="preserve">Launch regulatory awareness engine</w:t>
      </w:r>
    </w:p>
    <w:p>
      <w:pPr>
        <w:numPr>
          <w:ilvl w:val="0"/>
          <w:numId w:val="1049"/>
        </w:numPr>
        <w:pStyle w:val="Compact"/>
      </w:pPr>
      <w:r>
        <w:rPr>
          <w:bCs/>
          <w:b/>
        </w:rPr>
        <w:t xml:space="preserve">Q4 2026:</w:t>
      </w:r>
      <w:r>
        <w:t xml:space="preserve"> </w:t>
      </w:r>
      <w:r>
        <w:t xml:space="preserve">Establish partner ecosystem with commission model</w:t>
      </w:r>
    </w:p>
    <w:p>
      <w:pPr>
        <w:numPr>
          <w:ilvl w:val="0"/>
          <w:numId w:val="1049"/>
        </w:numPr>
        <w:pStyle w:val="Compact"/>
      </w:pPr>
      <w:r>
        <w:rPr>
          <w:bCs/>
          <w:b/>
        </w:rPr>
        <w:t xml:space="preserve">2027:</w:t>
      </w:r>
      <w:r>
        <w:t xml:space="preserve"> </w:t>
      </w:r>
      <w:r>
        <w:t xml:space="preserve">Expand to other EU markets (SE, NO, DK, DE)</w:t>
      </w:r>
    </w:p>
    <w:p>
      <w:pPr>
        <w:numPr>
          <w:ilvl w:val="0"/>
          <w:numId w:val="1049"/>
        </w:numPr>
        <w:pStyle w:val="Compact"/>
      </w:pPr>
      <w:r>
        <w:rPr>
          <w:bCs/>
          <w:b/>
        </w:rPr>
        <w:t xml:space="preserve">2027:</w:t>
      </w:r>
      <w:r>
        <w:t xml:space="preserve"> </w:t>
      </w:r>
      <w:r>
        <w:t xml:space="preserve">Per-industry open LLM selection and tenant-specific Lifetime World Model training</w:t>
      </w:r>
    </w:p>
    <w:p>
      <w:pPr>
        <w:numPr>
          <w:ilvl w:val="0"/>
          <w:numId w:val="1049"/>
        </w:numPr>
        <w:pStyle w:val="Compact"/>
      </w:pPr>
      <w:r>
        <w:rPr>
          <w:bCs/>
          <w:b/>
        </w:rPr>
        <w:t xml:space="preserve">2027-2028:</w:t>
      </w:r>
      <w:r>
        <w:t xml:space="preserve"> </w:t>
      </w:r>
      <w:r>
        <w:t xml:space="preserve">Enterprise BYOA (Bring Your Own Agent) graphical workflow builder</w:t>
      </w:r>
    </w:p>
    <w:bookmarkEnd w:id="146"/>
    <w:bookmarkStart w:id="148" w:name="per-industry-open-llm-selection"/>
    <w:p>
      <w:pPr>
        <w:pStyle w:val="Heading2"/>
      </w:pPr>
      <w:r>
        <w:t xml:space="preserve">10.6 Per-Industry Open LLM Selection</w:t>
      </w:r>
    </w:p>
    <w:p>
      <w:pPr>
        <w:pStyle w:val="FirstParagraph"/>
      </w:pPr>
      <w:r>
        <w:t xml:space="preserve">A critical finding from the platform architecture work is that</w:t>
      </w:r>
      <w:r>
        <w:t xml:space="preserve"> </w:t>
      </w:r>
      <w:r>
        <w:rPr>
          <w:bCs/>
          <w:b/>
        </w:rPr>
        <w:t xml:space="preserve">no single open LLM is optimal across all 25+ EU industries</w:t>
      </w:r>
      <w:r>
        <w:t xml:space="preserve">. Each industry vertical has distinct domain language, regulatory context, and structured output requirements. The</w:t>
      </w:r>
      <w:r>
        <w:t xml:space="preserve"> </w:t>
      </w:r>
      <w:r>
        <w:rPr>
          <w:rStyle w:val="VerbatimChar"/>
        </w:rPr>
        <w:t xml:space="preserve">AgentConfig.model</w:t>
      </w:r>
      <w:r>
        <w:t xml:space="preserve"> </w:t>
      </w:r>
      <w:r>
        <w:t xml:space="preserve">field is already per-agent, so each concrete agent can be configured with a different trained Lifetime World Model (LWM) + open LLM, with continuous benchmarking. The platform must evaluate and select the best open LLM per industry rather than defaulting to a single model (e.g., Llama 3.3 70B) for all verticals.</w:t>
      </w:r>
    </w:p>
    <w:p>
      <w:pPr>
        <w:pStyle w:val="BodyText"/>
      </w:pPr>
      <w:r>
        <w:rPr>
          <w:bCs/>
          <w:b/>
        </w:rPr>
        <w:t xml:space="preserve">Candidate open LLMs per industry domain:</w:t>
      </w:r>
    </w:p>
    <w:tbl>
      <w:tblPr>
        <w:tblStyle w:val="Table"/>
        <w:tblW w:type="pct" w:w="5000"/>
        <w:tblLook w:firstRow="1" w:lastRow="0" w:firstColumn="0" w:lastColumn="0" w:noHBand="0" w:noVBand="0" w:val="0020"/>
        <w:jc w:val="start"/>
      </w:tblPr>
      <w:tblGrid>
        <w:gridCol w:w="1697"/>
        <w:gridCol w:w="2376"/>
        <w:gridCol w:w="3846"/>
      </w:tblGrid>
      <w:tr>
        <w:trPr>
          <w:tblHeader w:val="true"/>
        </w:trPr>
        <w:tc>
          <w:tcPr/>
          <w:p>
            <w:pPr>
              <w:pStyle w:val="Compact"/>
              <w:jc w:val="left"/>
            </w:pPr>
            <w:r>
              <w:t xml:space="preserve">Industry Cluster</w:t>
            </w:r>
          </w:p>
        </w:tc>
        <w:tc>
          <w:tcPr/>
          <w:p>
            <w:pPr>
              <w:pStyle w:val="Compact"/>
              <w:jc w:val="left"/>
            </w:pPr>
            <w:r>
              <w:t xml:space="preserve">Candidate Models</w:t>
            </w:r>
          </w:p>
        </w:tc>
        <w:tc>
          <w:tcPr/>
          <w:p>
            <w:pPr>
              <w:pStyle w:val="Compact"/>
              <w:jc w:val="left"/>
            </w:pPr>
            <w:r>
              <w:t xml:space="preserve">Key Domain Requirement</w:t>
            </w:r>
          </w:p>
        </w:tc>
      </w:tr>
      <w:tr>
        <w:tc>
          <w:tcPr/>
          <w:p>
            <w:pPr>
              <w:pStyle w:val="Compact"/>
              <w:jc w:val="left"/>
            </w:pPr>
            <w:r>
              <w:t xml:space="preserve">Construction, Real Estate</w:t>
            </w:r>
          </w:p>
        </w:tc>
        <w:tc>
          <w:tcPr/>
          <w:p>
            <w:pPr>
              <w:pStyle w:val="Compact"/>
              <w:jc w:val="left"/>
            </w:pPr>
            <w:r>
              <w:t xml:space="preserve">Llama 3.3 70B, Qwen 2.5 72B, Mistral Large</w:t>
            </w:r>
          </w:p>
        </w:tc>
        <w:tc>
          <w:tcPr/>
          <w:p>
            <w:pPr>
              <w:pStyle w:val="Compact"/>
              <w:jc w:val="left"/>
            </w:pPr>
            <w:r>
              <w:t xml:space="preserve">EN 15978 lifecycle stages, Nordic building codes, EPBD</w:t>
            </w:r>
          </w:p>
        </w:tc>
      </w:tr>
      <w:tr>
        <w:tc>
          <w:tcPr/>
          <w:p>
            <w:pPr>
              <w:pStyle w:val="Compact"/>
              <w:jc w:val="left"/>
            </w:pPr>
            <w:r>
              <w:t xml:space="preserve">Energy, Steel &amp; Metals, Cement</w:t>
            </w:r>
          </w:p>
        </w:tc>
        <w:tc>
          <w:tcPr/>
          <w:p>
            <w:pPr>
              <w:pStyle w:val="Compact"/>
              <w:jc w:val="left"/>
            </w:pPr>
            <w:r>
              <w:t xml:space="preserve">Llama 3.3, DeepSeek-V3, Mixtral 8x22B</w:t>
            </w:r>
          </w:p>
        </w:tc>
        <w:tc>
          <w:tcPr/>
          <w:p>
            <w:pPr>
              <w:pStyle w:val="Compact"/>
              <w:jc w:val="left"/>
            </w:pPr>
            <w:r>
              <w:t xml:space="preserve">ETS allowance calculations, process emissions, CBAM</w:t>
            </w:r>
          </w:p>
        </w:tc>
      </w:tr>
      <w:tr>
        <w:tc>
          <w:tcPr/>
          <w:p>
            <w:pPr>
              <w:pStyle w:val="Compact"/>
              <w:jc w:val="left"/>
            </w:pPr>
            <w:r>
              <w:t xml:space="preserve">Manufacturing, Chemicals</w:t>
            </w:r>
          </w:p>
        </w:tc>
        <w:tc>
          <w:tcPr/>
          <w:p>
            <w:pPr>
              <w:pStyle w:val="Compact"/>
              <w:jc w:val="left"/>
            </w:pPr>
            <w:r>
              <w:t xml:space="preserve">Qwen 2.5 72B, Llama 3.3</w:t>
            </w:r>
          </w:p>
        </w:tc>
        <w:tc>
          <w:tcPr/>
          <w:p>
            <w:pPr>
              <w:pStyle w:val="Compact"/>
              <w:jc w:val="left"/>
            </w:pPr>
            <w:r>
              <w:t xml:space="preserve">CBAM product classification, BOM analysis, REACH</w:t>
            </w:r>
          </w:p>
        </w:tc>
      </w:tr>
      <w:tr>
        <w:tc>
          <w:tcPr/>
          <w:p>
            <w:pPr>
              <w:pStyle w:val="Compact"/>
              <w:jc w:val="left"/>
            </w:pPr>
            <w:r>
              <w:t xml:space="preserve">Logistics, Maritime, Aviation</w:t>
            </w:r>
          </w:p>
        </w:tc>
        <w:tc>
          <w:tcPr/>
          <w:p>
            <w:pPr>
              <w:pStyle w:val="Compact"/>
              <w:jc w:val="left"/>
            </w:pPr>
            <w:r>
              <w:t xml:space="preserve">Mistral Large, Llama 3.3, Gemma 2 27B</w:t>
            </w:r>
          </w:p>
        </w:tc>
        <w:tc>
          <w:tcPr/>
          <w:p>
            <w:pPr>
              <w:pStyle w:val="Compact"/>
              <w:jc w:val="left"/>
            </w:pPr>
            <w:r>
              <w:t xml:space="preserve">FuelEU Maritime, CORSIA, route optimization</w:t>
            </w:r>
          </w:p>
        </w:tc>
      </w:tr>
      <w:tr>
        <w:tc>
          <w:tcPr/>
          <w:p>
            <w:pPr>
              <w:pStyle w:val="Compact"/>
              <w:jc w:val="left"/>
            </w:pPr>
            <w:r>
              <w:t xml:space="preserve">Agriculture, Food &amp; Beverage</w:t>
            </w:r>
          </w:p>
        </w:tc>
        <w:tc>
          <w:tcPr/>
          <w:p>
            <w:pPr>
              <w:pStyle w:val="Compact"/>
              <w:jc w:val="left"/>
            </w:pPr>
            <w:r>
              <w:t xml:space="preserve">Llama 3.3, Gemma 2, Command R+</w:t>
            </w:r>
          </w:p>
        </w:tc>
        <w:tc>
          <w:tcPr/>
          <w:p>
            <w:pPr>
              <w:pStyle w:val="Compact"/>
              <w:jc w:val="left"/>
            </w:pPr>
            <w:r>
              <w:t xml:space="preserve">LULUCF, Scope 3 supply chain, packaging lifecycle</w:t>
            </w:r>
          </w:p>
        </w:tc>
      </w:tr>
      <w:tr>
        <w:tc>
          <w:tcPr/>
          <w:p>
            <w:pPr>
              <w:pStyle w:val="Compact"/>
              <w:jc w:val="left"/>
            </w:pPr>
            <w:r>
              <w:t xml:space="preserve">Finance, Public Sector</w:t>
            </w:r>
          </w:p>
        </w:tc>
        <w:tc>
          <w:tcPr/>
          <w:p>
            <w:pPr>
              <w:pStyle w:val="Compact"/>
              <w:jc w:val="left"/>
            </w:pPr>
            <w:r>
              <w:t xml:space="preserve">Mistral Large (EU-hosted), Llama 3.3</w:t>
            </w:r>
          </w:p>
        </w:tc>
        <w:tc>
          <w:tcPr/>
          <w:p>
            <w:pPr>
              <w:pStyle w:val="Compact"/>
              <w:jc w:val="left"/>
            </w:pPr>
            <w:r>
              <w:t xml:space="preserve">SFDR, EU Taxonomy, double materiality, GPP</w:t>
            </w:r>
          </w:p>
        </w:tc>
      </w:tr>
      <w:tr>
        <w:tc>
          <w:tcPr/>
          <w:p>
            <w:pPr>
              <w:pStyle w:val="Compact"/>
              <w:jc w:val="left"/>
            </w:pPr>
            <w:r>
              <w:t xml:space="preserve">Healthcare, Textiles</w:t>
            </w:r>
          </w:p>
        </w:tc>
        <w:tc>
          <w:tcPr/>
          <w:p>
            <w:pPr>
              <w:pStyle w:val="Compact"/>
              <w:jc w:val="left"/>
            </w:pPr>
            <w:r>
              <w:t xml:space="preserve">Gemma 2 (EU-hosted), Qwen 2.5</w:t>
            </w:r>
          </w:p>
        </w:tc>
        <w:tc>
          <w:tcPr/>
          <w:p>
            <w:pPr>
              <w:pStyle w:val="Compact"/>
              <w:jc w:val="left"/>
            </w:pPr>
            <w:r>
              <w:t xml:space="preserve">Digital product passport, medical waste, pharmaceutical supply chain</w:t>
            </w:r>
          </w:p>
        </w:tc>
      </w:tr>
    </w:tbl>
    <w:p>
      <w:pPr>
        <w:pStyle w:val="BodyText"/>
      </w:pPr>
      <w:r>
        <w:rPr>
          <w:bCs/>
          <w:b/>
        </w:rPr>
        <w:t xml:space="preserve">Selection criteria:</w:t>
      </w:r>
      <w:r>
        <w:t xml:space="preserve"> </w:t>
      </w:r>
      <w:r>
        <w:t xml:space="preserve">domain knowledge depth, multilingual capability (Finnish/Swedish/20+ for CBAM), structured output reliability, context window (128k+ for supply chain), inference speed, EU data residency, and commercial license.</w:t>
      </w:r>
    </w:p>
    <w:p>
      <w:pPr>
        <w:pStyle w:val="BodyText"/>
      </w:pPr>
      <w:r>
        <w:t xml:space="preserve">Each enterprise tenant can have their Lifetime World Model trained on their own industry data with their chosen LLM as the base model.</w:t>
      </w:r>
    </w:p>
    <w:bookmarkStart w:id="147" w:name="why-16-industries-make-dws-iq-stronger"/>
    <w:p>
      <w:pPr>
        <w:pStyle w:val="Heading3"/>
      </w:pPr>
      <w:r>
        <w:t xml:space="preserve">10.6.1 Why 16 Industries Make DWS IQ Stronger</w:t>
      </w:r>
    </w:p>
    <w:p>
      <w:pPr>
        <w:pStyle w:val="FirstParagraph"/>
      </w:pPr>
      <w:r>
        <w:t xml:space="preserve">From the customer’s perspective, a platform covering 25+ EU industries is not complexity — it is</w:t>
      </w:r>
      <w:r>
        <w:t xml:space="preserve"> </w:t>
      </w:r>
      <w:r>
        <w:rPr>
          <w:bCs/>
          <w:b/>
        </w:rPr>
        <w:t xml:space="preserve">the competitive advantage they are buying</w:t>
      </w:r>
      <w:r>
        <w:t xml:space="preserve">. The 25+-industry architecture creates compounding value that a single-industry platform cannot match:</w:t>
      </w:r>
    </w:p>
    <w:p>
      <w:pPr>
        <w:numPr>
          <w:ilvl w:val="0"/>
          <w:numId w:val="1050"/>
        </w:numPr>
      </w:pPr>
      <w:r>
        <w:rPr>
          <w:bCs/>
          <w:b/>
        </w:rPr>
        <w:t xml:space="preserve">Cross-industry regulatory intelligence.</w:t>
      </w:r>
      <w:r>
        <w:t xml:space="preserve"> </w:t>
      </w:r>
      <w:r>
        <w:t xml:space="preserve">EU regulations like Fit for 55, CSRD, and CBAM affect multiple industries simultaneously. A construction company’s Scope 3 emissions include steel (ETS), cement (CBAM), logistics (FuelEU), and energy (RED III). A single-industry tool sees one slice; DWS IQ sees the entire regulatory chain. The customer gets compliance intelligence that understands their full supply chain, not just their own vertical.</w:t>
      </w:r>
    </w:p>
    <w:p>
      <w:pPr>
        <w:numPr>
          <w:ilvl w:val="0"/>
          <w:numId w:val="1050"/>
        </w:numPr>
      </w:pPr>
      <w:r>
        <w:rPr>
          <w:bCs/>
          <w:b/>
        </w:rPr>
        <w:t xml:space="preserve">Supply chain visibility across verticals.</w:t>
      </w:r>
      <w:r>
        <w:t xml:space="preserve"> </w:t>
      </w:r>
      <w:r>
        <w:t xml:space="preserve">When a manufacturing customer reports CBAM imports, DWS IQ already understands the steel producer’s ETS obligations, the logistics provider’s fuel regulations, and the energy supplier’s renewable certificates. This cross-industry knowledge means the customer’s compliance reports are more accurate, audit-ready, and defensible because the platform understands every link in their value chain.</w:t>
      </w:r>
    </w:p>
    <w:p>
      <w:pPr>
        <w:numPr>
          <w:ilvl w:val="0"/>
          <w:numId w:val="1050"/>
        </w:numPr>
      </w:pPr>
      <w:r>
        <w:rPr>
          <w:bCs/>
          <w:b/>
        </w:rPr>
        <w:t xml:space="preserve">LWM cross-pollination.</w:t>
      </w:r>
      <w:r>
        <w:t xml:space="preserve"> </w:t>
      </w:r>
      <w:r>
        <w:t xml:space="preserve">The Lifetime World Model learns from anonymized patterns across all 20 industries. A carbon reduction technique proven in cement manufacturing (e.g., clinker ratio optimization) generates transferable insight for construction (low-carbon concrete specification). The customer benefits from an LWM that has been trained on 20 industries’ worth of climate intelligence — not just their own narrow domain.</w:t>
      </w:r>
    </w:p>
    <w:p>
      <w:pPr>
        <w:numPr>
          <w:ilvl w:val="0"/>
          <w:numId w:val="1050"/>
        </w:numPr>
      </w:pPr>
      <w:r>
        <w:rPr>
          <w:bCs/>
          <w:b/>
        </w:rPr>
        <w:t xml:space="preserve">Agent template reusability.</w:t>
      </w:r>
      <w:r>
        <w:t xml:space="preserve"> </w:t>
      </w:r>
      <w:r>
        <w:t xml:space="preserve">Agent configurations that work in one industry accelerate deployment in related industries. The BIM compliance agent developed for construction is adapted for real estate energy performance certificates. The supply chain Scope 3 agent in manufacturing transfers to food &amp; beverage. Customers in later-deploying industries get battle-tested agents at lower cost and faster deployment.</w:t>
      </w:r>
    </w:p>
    <w:p>
      <w:pPr>
        <w:numPr>
          <w:ilvl w:val="0"/>
          <w:numId w:val="1050"/>
        </w:numPr>
      </w:pPr>
      <w:r>
        <w:rPr>
          <w:bCs/>
          <w:b/>
        </w:rPr>
        <w:t xml:space="preserve">Regulatory early warning.</w:t>
      </w:r>
      <w:r>
        <w:t xml:space="preserve"> </w:t>
      </w:r>
      <w:r>
        <w:t xml:space="preserve">When a new regulation (e.g., EU Deforestation Regulation) first impacts agriculture, the platform detects it and alerts food &amp; beverage, textiles, and logistics customers proactively — before the regulation reaches their industry. A single-industry platform cannot provide this cross-sector foresight.</w:t>
      </w:r>
    </w:p>
    <w:p>
      <w:pPr>
        <w:numPr>
          <w:ilvl w:val="0"/>
          <w:numId w:val="1050"/>
        </w:numPr>
      </w:pPr>
      <w:r>
        <w:rPr>
          <w:bCs/>
          <w:b/>
        </w:rPr>
        <w:t xml:space="preserve">Benchmarking across peers and adjacent industries.</w:t>
      </w:r>
      <w:r>
        <w:t xml:space="preserve"> </w:t>
      </w:r>
      <w:r>
        <w:t xml:space="preserve">An energy company can benchmark its emissions intensity not only against other utilities but against the industrial customers it serves (manufacturing, mining, chemicals). This multi-dimensional benchmarking gives the customer strategic insight into where they stand in the broader decarbonization landscape.</w:t>
      </w:r>
    </w:p>
    <w:p>
      <w:pPr>
        <w:numPr>
          <w:ilvl w:val="0"/>
          <w:numId w:val="1050"/>
        </w:numPr>
      </w:pPr>
      <w:r>
        <w:rPr>
          <w:bCs/>
          <w:b/>
        </w:rPr>
        <w:t xml:space="preserve">Network effects compound over time.</w:t>
      </w:r>
      <w:r>
        <w:t xml:space="preserve"> </w:t>
      </w:r>
      <w:r>
        <w:t xml:space="preserve">Each new industry added to the platform makes every existing industry’s LWM smarter. The 20th industry customer benefits from all 19 industries’ accumulated intelligence. This creates a</w:t>
      </w:r>
      <w:r>
        <w:t xml:space="preserve"> </w:t>
      </w:r>
      <w:r>
        <w:rPr>
          <w:bCs/>
          <w:b/>
        </w:rPr>
        <w:t xml:space="preserve">moat</w:t>
      </w:r>
      <w:r>
        <w:t xml:space="preserve">: a competitor starting with one industry must replicate years of cross-industry learning to match DWS IQ’s accumulated intelligence.</w:t>
      </w:r>
    </w:p>
    <w:p>
      <w:pPr>
        <w:pStyle w:val="FirstParagraph"/>
      </w:pPr>
      <w:r>
        <w:rPr>
          <w:bCs/>
          <w:b/>
        </w:rPr>
        <w:t xml:space="preserve">The bottom line for the customer:</w:t>
      </w:r>
      <w:r>
        <w:t xml:space="preserve"> </w:t>
      </w:r>
      <w:r>
        <w:t xml:space="preserve">DWS IQ’s 25+-industry coverage means their compliance intelligence is not isolated — it is connected to the entire EU industrial ecosystem. They pay for one platform and receive intelligence that would require 16 separate tools to approximate.</w:t>
      </w:r>
    </w:p>
    <w:bookmarkEnd w:id="147"/>
    <w:bookmarkEnd w:id="148"/>
    <w:bookmarkStart w:id="154" w:name="Xbec6b4bd0a5055100df76aa133c0205e1554495"/>
    <w:p>
      <w:pPr>
        <w:pStyle w:val="Heading2"/>
      </w:pPr>
      <w:r>
        <w:t xml:space="preserve">10.7 Enterprise BYOA Architecture: Bring Your Own Agent</w:t>
      </w:r>
    </w:p>
    <w:p>
      <w:pPr>
        <w:pStyle w:val="FirstParagraph"/>
      </w:pPr>
      <w:r>
        <w:t xml:space="preserve">A key platform evolution is supporting enterprise customers who</w:t>
      </w:r>
      <w:r>
        <w:t xml:space="preserve"> </w:t>
      </w:r>
      <w:r>
        <w:rPr>
          <w:bCs/>
          <w:b/>
        </w:rPr>
        <w:t xml:space="preserve">bring their own AI agents</w:t>
      </w:r>
      <w:r>
        <w:t xml:space="preserve"> </w:t>
      </w:r>
      <w:r>
        <w:t xml:space="preserve">to work on DWS IQ. This section describes the architecture using NCC (Nordic construction company) as an illustrative case.</w:t>
      </w:r>
    </w:p>
    <w:bookmarkStart w:id="149" w:name="the-ncc-scenario"/>
    <w:p>
      <w:pPr>
        <w:pStyle w:val="Heading3"/>
      </w:pPr>
      <w:r>
        <w:t xml:space="preserve">10.7.1 The NCC Scenario</w:t>
      </w:r>
    </w:p>
    <w:p>
      <w:pPr>
        <w:pStyle w:val="FirstParagraph"/>
      </w:pPr>
      <w:r>
        <w:t xml:space="preserve">NCC operates with a complex agent ecosystem:</w:t>
      </w:r>
    </w:p>
    <w:tbl>
      <w:tblPr>
        <w:tblStyle w:val="Table"/>
        <w:tblW w:type="pct" w:w="5000"/>
        <w:tblLook w:firstRow="1" w:lastRow="0" w:firstColumn="0" w:lastColumn="0" w:noHBand="0" w:noVBand="0" w:val="0020"/>
        <w:jc w:val="start"/>
      </w:tblPr>
      <w:tblGrid>
        <w:gridCol w:w="1204"/>
        <w:gridCol w:w="231"/>
        <w:gridCol w:w="6484"/>
      </w:tblGrid>
      <w:tr>
        <w:trPr>
          <w:tblHeader w:val="true"/>
        </w:trPr>
        <w:tc>
          <w:tcPr/>
          <w:p>
            <w:pPr>
              <w:pStyle w:val="Compact"/>
              <w:jc w:val="left"/>
            </w:pPr>
            <w:r>
              <w:t xml:space="preserve">Agent Source</w:t>
            </w:r>
          </w:p>
        </w:tc>
        <w:tc>
          <w:tcPr/>
          <w:p>
            <w:pPr>
              <w:pStyle w:val="Compact"/>
              <w:jc w:val="left"/>
            </w:pPr>
            <w:r>
              <w:t xml:space="preserve">Count</w:t>
            </w:r>
          </w:p>
        </w:tc>
        <w:tc>
          <w:tcPr/>
          <w:p>
            <w:pPr>
              <w:pStyle w:val="Compact"/>
              <w:jc w:val="left"/>
            </w:pPr>
            <w:r>
              <w:t xml:space="preserve">Examples</w:t>
            </w:r>
          </w:p>
        </w:tc>
      </w:tr>
      <w:tr>
        <w:tc>
          <w:tcPr/>
          <w:p>
            <w:pPr>
              <w:pStyle w:val="Compact"/>
              <w:jc w:val="left"/>
            </w:pPr>
            <w:r>
              <w:rPr>
                <w:bCs/>
                <w:b/>
              </w:rPr>
              <w:t xml:space="preserve">NCC Internal Agents</w:t>
            </w:r>
          </w:p>
        </w:tc>
        <w:tc>
          <w:tcPr/>
          <w:p>
            <w:pPr>
              <w:pStyle w:val="Compact"/>
              <w:jc w:val="left"/>
            </w:pPr>
            <w:r>
              <w:t xml:space="preserve">7</w:t>
            </w:r>
          </w:p>
        </w:tc>
        <w:tc>
          <w:tcPr/>
          <w:p>
            <w:pPr>
              <w:pStyle w:val="Compact"/>
              <w:jc w:val="left"/>
            </w:pPr>
            <w:r>
              <w:t xml:space="preserve">Procurement Agent, Safety Compliance Agent, BIM Agent, Sustainability Agent, Cost Estimation Agent, Quality Agent, Project Planning Agent</w:t>
            </w:r>
          </w:p>
        </w:tc>
      </w:tr>
      <w:tr>
        <w:tc>
          <w:tcPr/>
          <w:p>
            <w:pPr>
              <w:pStyle w:val="Compact"/>
              <w:jc w:val="left"/>
            </w:pPr>
            <w:r>
              <w:rPr>
                <w:bCs/>
                <w:b/>
              </w:rPr>
              <w:t xml:space="preserve">Contractor Agents</w:t>
            </w:r>
          </w:p>
        </w:tc>
        <w:tc>
          <w:tcPr/>
          <w:p>
            <w:pPr>
              <w:pStyle w:val="Compact"/>
              <w:jc w:val="left"/>
            </w:pPr>
            <w:r>
              <w:t xml:space="preserve">14</w:t>
            </w:r>
          </w:p>
        </w:tc>
        <w:tc>
          <w:tcPr/>
          <w:p>
            <w:pPr>
              <w:pStyle w:val="Compact"/>
              <w:jc w:val="left"/>
            </w:pPr>
            <w:r>
              <w:t xml:space="preserve">HVAC Subcontractor Agent, Electrical Agent, Concrete Supplier Agent, Steel Supplier Agent, Window Manufacturer Agent, Insulation Agent, etc.</w:t>
            </w:r>
          </w:p>
        </w:tc>
      </w:tr>
      <w:tr>
        <w:tc>
          <w:tcPr/>
          <w:p>
            <w:pPr>
              <w:pStyle w:val="Compact"/>
              <w:jc w:val="left"/>
            </w:pPr>
            <w:r>
              <w:rPr>
                <w:bCs/>
                <w:b/>
              </w:rPr>
              <w:t xml:space="preserve">DWS IQ Platform Agents</w:t>
            </w:r>
          </w:p>
        </w:tc>
        <w:tc>
          <w:tcPr/>
          <w:p>
            <w:pPr>
              <w:pStyle w:val="Compact"/>
              <w:jc w:val="left"/>
            </w:pPr>
            <w:r>
              <w:t xml:space="preserve">3</w:t>
            </w:r>
          </w:p>
        </w:tc>
        <w:tc>
          <w:tcPr/>
          <w:p>
            <w:pPr>
              <w:pStyle w:val="Compact"/>
              <w:jc w:val="left"/>
            </w:pPr>
            <w:r>
              <w:t xml:space="preserve">Compliance Calculation, Firehorse Report, Carbon Calculator</w:t>
            </w:r>
          </w:p>
        </w:tc>
      </w:tr>
      <w:tr>
        <w:tc>
          <w:tcPr/>
          <w:p>
            <w:pPr>
              <w:pStyle w:val="Compact"/>
              <w:jc w:val="left"/>
            </w:pPr>
            <w:r>
              <w:rPr>
                <w:bCs/>
                <w:b/>
              </w:rPr>
              <w:t xml:space="preserve">Total</w:t>
            </w:r>
          </w:p>
        </w:tc>
        <w:tc>
          <w:tcPr/>
          <w:p>
            <w:pPr>
              <w:pStyle w:val="Compact"/>
              <w:jc w:val="left"/>
            </w:pPr>
            <w:r>
              <w:t xml:space="preserve">24</w:t>
            </w:r>
          </w:p>
        </w:tc>
        <w:tc>
          <w:tcPr/>
          <w:p>
            <w:pPr>
              <w:pStyle w:val="Compact"/>
              <w:jc w:val="left"/>
            </w:pPr>
            <w:r>
              <w:t xml:space="preserve">All connected via A2A + MCP protocols</w:t>
            </w:r>
          </w:p>
        </w:tc>
      </w:tr>
    </w:tbl>
    <w:p>
      <w:pPr>
        <w:pStyle w:val="BodyText"/>
      </w:pPr>
      <w:r>
        <w:t xml:space="preserve">Each contractor agent arrives with its own:</w:t>
      </w:r>
    </w:p>
    <w:p>
      <w:pPr>
        <w:numPr>
          <w:ilvl w:val="0"/>
          <w:numId w:val="1051"/>
        </w:numPr>
        <w:pStyle w:val="Compact"/>
      </w:pPr>
      <w:r>
        <w:rPr>
          <w:bCs/>
          <w:b/>
        </w:rPr>
        <w:t xml:space="preserve">Agent Card</w:t>
      </w:r>
      <w:r>
        <w:t xml:space="preserve"> </w:t>
      </w:r>
      <w:r>
        <w:t xml:space="preserve">(A2A</w:t>
      </w:r>
      <w:r>
        <w:t xml:space="preserve"> </w:t>
      </w:r>
      <w:r>
        <w:rPr>
          <w:rStyle w:val="VerbatimChar"/>
        </w:rPr>
        <w:t xml:space="preserve">/.well-known/agent.json</w:t>
      </w:r>
      <w:r>
        <w:t xml:space="preserve">) describing capabilities</w:t>
      </w:r>
    </w:p>
    <w:p>
      <w:pPr>
        <w:numPr>
          <w:ilvl w:val="0"/>
          <w:numId w:val="1051"/>
        </w:numPr>
        <w:pStyle w:val="Compact"/>
      </w:pPr>
      <w:r>
        <w:rPr>
          <w:bCs/>
          <w:b/>
        </w:rPr>
        <w:t xml:space="preserve">LLM preference</w:t>
      </w:r>
      <w:r>
        <w:t xml:space="preserve"> </w:t>
      </w:r>
      <w:r>
        <w:t xml:space="preserve">— the contractor may use a different model than NCC</w:t>
      </w:r>
    </w:p>
    <w:p>
      <w:pPr>
        <w:numPr>
          <w:ilvl w:val="0"/>
          <w:numId w:val="1051"/>
        </w:numPr>
        <w:pStyle w:val="Compact"/>
      </w:pPr>
      <w:r>
        <w:rPr>
          <w:bCs/>
          <w:b/>
        </w:rPr>
        <w:t xml:space="preserve">ERP/BIM connectors</w:t>
      </w:r>
      <w:r>
        <w:t xml:space="preserve"> </w:t>
      </w:r>
      <w:r>
        <w:t xml:space="preserve">— Tekla, Solibri, IFS, SAP, Dynamics 365</w:t>
      </w:r>
    </w:p>
    <w:p>
      <w:pPr>
        <w:numPr>
          <w:ilvl w:val="0"/>
          <w:numId w:val="1051"/>
        </w:numPr>
        <w:pStyle w:val="Compact"/>
      </w:pPr>
      <w:r>
        <w:rPr>
          <w:bCs/>
          <w:b/>
        </w:rPr>
        <w:t xml:space="preserve">Data residency requirements</w:t>
      </w:r>
      <w:r>
        <w:t xml:space="preserve"> </w:t>
      </w:r>
      <w:r>
        <w:t xml:space="preserve">— some contractors operate from non-EU jurisdictions</w:t>
      </w:r>
    </w:p>
    <w:bookmarkEnd w:id="149"/>
    <w:bookmarkStart w:id="150" w:name="tenant-specific-lifetime-world-model"/>
    <w:p>
      <w:pPr>
        <w:pStyle w:val="Heading3"/>
      </w:pPr>
      <w:r>
        <w:t xml:space="preserve">10.7.2 Tenant-Specific Lifetime World Model</w:t>
      </w:r>
    </w:p>
    <w:p>
      <w:pPr>
        <w:pStyle w:val="FirstParagraph"/>
      </w:pPr>
      <w:r>
        <w:t xml:space="preserve">The</w:t>
      </w:r>
      <w:r>
        <w:t xml:space="preserve"> </w:t>
      </w:r>
      <w:r>
        <w:rPr>
          <w:bCs/>
          <w:b/>
        </w:rPr>
        <w:t xml:space="preserve">Lifetime World Model (LWM)</w:t>
      </w:r>
      <w:r>
        <w:t xml:space="preserve"> </w:t>
      </w:r>
      <w:r>
        <w:t xml:space="preserve">is the enterprise learning layer that sits on top of the chosen open LLM. It is not simply a fine-tuned model — it is a strategic intelligence layer that:</w:t>
      </w:r>
    </w:p>
    <w:p>
      <w:pPr>
        <w:numPr>
          <w:ilvl w:val="0"/>
          <w:numId w:val="1052"/>
        </w:numPr>
        <w:pStyle w:val="Compact"/>
      </w:pPr>
      <w:r>
        <w:rPr>
          <w:bCs/>
          <w:b/>
        </w:rPr>
        <w:t xml:space="preserve">Fine-tunes enterprise data and regulation</w:t>
      </w:r>
      <w:r>
        <w:t xml:space="preserve"> </w:t>
      </w:r>
      <w:r>
        <w:t xml:space="preserve">— ingests the customer’s operational data, industry standards, and EU regulatory context to create domain-specific intelligence that generic LLMs cannot provide</w:t>
      </w:r>
    </w:p>
    <w:p>
      <w:pPr>
        <w:numPr>
          <w:ilvl w:val="0"/>
          <w:numId w:val="1052"/>
        </w:numPr>
        <w:pStyle w:val="Compact"/>
      </w:pPr>
      <w:r>
        <w:rPr>
          <w:bCs/>
          <w:b/>
        </w:rPr>
        <w:t xml:space="preserve">Optimizes market value</w:t>
      </w:r>
      <w:r>
        <w:t xml:space="preserve"> </w:t>
      </w:r>
      <w:r>
        <w:t xml:space="preserve">— the LWM continuously learns from compliance outcomes, energy efficiency results, and operational metrics to identify value creation opportunities the enterprise would otherwise miss</w:t>
      </w:r>
    </w:p>
    <w:p>
      <w:pPr>
        <w:numPr>
          <w:ilvl w:val="0"/>
          <w:numId w:val="1052"/>
        </w:numPr>
        <w:pStyle w:val="Compact"/>
      </w:pPr>
      <w:r>
        <w:rPr>
          <w:bCs/>
          <w:b/>
        </w:rPr>
        <w:t xml:space="preserve">Ensures competitive advantage with multi-agent tools</w:t>
      </w:r>
      <w:r>
        <w:t xml:space="preserve"> </w:t>
      </w:r>
      <w:r>
        <w:t xml:space="preserve">— by combining tenant-specific knowledge with the multi-agent orchestration layer (A2A + MCP), the LWM transforms raw AI capability into an irreplaceable operational asset. Competitors using generic models cannot replicate this accumulated institutional intelligence</w:t>
      </w:r>
    </w:p>
    <w:p>
      <w:pPr>
        <w:pStyle w:val="FirstParagraph"/>
      </w:pPr>
      <w:r>
        <w:t xml:space="preserve">NCC receives their own instance of the Lifetime World Model:</w:t>
      </w:r>
    </w:p>
    <w:p>
      <w:pPr>
        <w:pStyle w:val="SourceCode"/>
      </w:pPr>
      <w:r>
        <w:rPr>
          <w:rStyle w:val="VerbatimChar"/>
        </w:rPr>
        <w:t xml:space="preserve">NCC Lifetime World Model</w:t>
      </w:r>
      <w:r>
        <w:br/>
      </w:r>
      <w:r>
        <w:rPr>
          <w:rStyle w:val="VerbatimChar"/>
        </w:rPr>
        <w:t xml:space="preserve">├── Base LLM: Qwen 2.5 72B (selected for Nordic construction)</w:t>
      </w:r>
      <w:r>
        <w:br/>
      </w:r>
      <w:r>
        <w:rPr>
          <w:rStyle w:val="VerbatimChar"/>
        </w:rPr>
        <w:t xml:space="preserve">├── Fine-tuned on: NCC project data, Finnish building codes, RT-kortisto</w:t>
      </w:r>
      <w:r>
        <w:br/>
      </w:r>
      <w:r>
        <w:rPr>
          <w:rStyle w:val="VerbatimChar"/>
        </w:rPr>
        <w:t xml:space="preserve">├── Regulatory context: Fit for 55, CSRD ESRS E1, EN 15978</w:t>
      </w:r>
      <w:r>
        <w:br/>
      </w:r>
      <w:r>
        <w:rPr>
          <w:rStyle w:val="VerbatimChar"/>
        </w:rPr>
        <w:t xml:space="preserve">├── Connector endpoints:</w:t>
      </w:r>
      <w:r>
        <w:br/>
      </w:r>
      <w:r>
        <w:rPr>
          <w:rStyle w:val="VerbatimChar"/>
        </w:rPr>
        <w:t xml:space="preserve">│   ├── Tekla Structures (BIM)</w:t>
      </w:r>
      <w:r>
        <w:br/>
      </w:r>
      <w:r>
        <w:rPr>
          <w:rStyle w:val="VerbatimChar"/>
        </w:rPr>
        <w:t xml:space="preserve">│   ├── IFS Cloud (ERP)</w:t>
      </w:r>
      <w:r>
        <w:br/>
      </w:r>
      <w:r>
        <w:rPr>
          <w:rStyle w:val="VerbatimChar"/>
        </w:rPr>
        <w:t xml:space="preserve">│   └── CO2data.fi (Finnish emissions factors)</w:t>
      </w:r>
      <w:r>
        <w:br/>
      </w:r>
      <w:r>
        <w:rPr>
          <w:rStyle w:val="VerbatimChar"/>
        </w:rPr>
        <w:t xml:space="preserve">└── Sandbox: Stage 1.5 (OpenSandbox, Acer Veriton GN100) → Stage 2 (Cloud Run, europe-north1)</w:t>
      </w:r>
    </w:p>
    <w:bookmarkEnd w:id="150"/>
    <w:bookmarkStart w:id="151" w:name="X075b5b802db2e8c3bbdb886fa3c80d9c77f35c1"/>
    <w:p>
      <w:pPr>
        <w:pStyle w:val="Heading3"/>
      </w:pPr>
      <w:r>
        <w:t xml:space="preserve">10.7.3 LWM Product-Market Validation: Energy Sector Case Study (March 2026)</w:t>
      </w:r>
    </w:p>
    <w:p>
      <w:pPr>
        <w:pStyle w:val="FirstParagraph"/>
      </w:pPr>
      <w:r>
        <w:t xml:space="preserve">The Lifetime World Model’s commercial viability received its first external validation in March 2026 through a partnership negotiation with</w:t>
      </w:r>
      <w:r>
        <w:t xml:space="preserve"> </w:t>
      </w:r>
      <w:r>
        <w:rPr>
          <w:bCs/>
          <w:b/>
        </w:rPr>
        <w:t xml:space="preserve">Qantic GmbH</w:t>
      </w:r>
      <w:r>
        <w:t xml:space="preserve"> </w:t>
      </w:r>
      <w:r>
        <w:t xml:space="preserve">(Berlin), a battery energy storage system (BESS) simulation company. This case study demonstrates how the LWM’s multi-industry architecture creates tangible market value beyond the construction sector originally targeted by the thesis.</w:t>
      </w:r>
    </w:p>
    <w:p>
      <w:pPr>
        <w:pStyle w:val="BodyText"/>
      </w:pPr>
      <w:r>
        <w:rPr>
          <w:bCs/>
          <w:b/>
        </w:rPr>
        <w:t xml:space="preserve">Context:</w:t>
      </w:r>
      <w:r>
        <w:t xml:space="preserve"> </w:t>
      </w:r>
      <w:r>
        <w:t xml:space="preserve">Qantic’s Q-System models energy revenue from BESS assets (dispatch optimization, market arbitrage, degradation curves). However, their clients — including industrial firms like MAN Energy Solutions — face increasing EU compliance costs (CSRD, ETS, EU Taxonomy) that Q-System does not calculate. This gap means investor bankability models understate true costs by 5-15%.</w:t>
      </w:r>
    </w:p>
    <w:p>
      <w:pPr>
        <w:pStyle w:val="BodyText"/>
      </w:pPr>
      <w:r>
        <w:rPr>
          <w:bCs/>
          <w:b/>
        </w:rPr>
        <w:t xml:space="preserve">LWM value proposition validated:</w:t>
      </w:r>
    </w:p>
    <w:tbl>
      <w:tblPr>
        <w:tblStyle w:val="Table"/>
        <w:tblW w:type="pct" w:w="5000"/>
        <w:tblLook w:firstRow="1" w:lastRow="0" w:firstColumn="0" w:lastColumn="0" w:noHBand="0" w:noVBand="0" w:val="0020"/>
        <w:jc w:val="start"/>
      </w:tblPr>
      <w:tblGrid>
        <w:gridCol w:w="2407"/>
        <w:gridCol w:w="2640"/>
        <w:gridCol w:w="2872"/>
      </w:tblGrid>
      <w:tr>
        <w:trPr>
          <w:tblHeader w:val="true"/>
        </w:trPr>
        <w:tc>
          <w:tcPr/>
          <w:p>
            <w:pPr>
              <w:pStyle w:val="Compact"/>
              <w:jc w:val="left"/>
            </w:pPr>
            <w:r>
              <w:t xml:space="preserve">Q-System (Qantic)</w:t>
            </w:r>
          </w:p>
        </w:tc>
        <w:tc>
          <w:tcPr/>
          <w:p>
            <w:pPr>
              <w:pStyle w:val="Compact"/>
              <w:jc w:val="left"/>
            </w:pPr>
            <w:r>
              <w:t xml:space="preserve">LWM / DWS IQ 6 (Lifetime)</w:t>
            </w:r>
          </w:p>
        </w:tc>
        <w:tc>
          <w:tcPr/>
          <w:p>
            <w:pPr>
              <w:pStyle w:val="Compact"/>
              <w:jc w:val="left"/>
            </w:pPr>
            <w:r>
              <w:t xml:space="preserve">Combined</w:t>
            </w:r>
          </w:p>
        </w:tc>
      </w:tr>
      <w:tr>
        <w:tc>
          <w:tcPr/>
          <w:p>
            <w:pPr>
              <w:pStyle w:val="Compact"/>
              <w:jc w:val="left"/>
            </w:pPr>
            <w:r>
              <w:t xml:space="preserve">“</w:t>
            </w:r>
            <w:r>
              <w:t xml:space="preserve">How much will this BESS earn?</w:t>
            </w:r>
            <w:r>
              <w:t xml:space="preserve">”</w:t>
            </w:r>
          </w:p>
        </w:tc>
        <w:tc>
          <w:tcPr/>
          <w:p>
            <w:pPr>
              <w:pStyle w:val="Compact"/>
              <w:jc w:val="left"/>
            </w:pPr>
            <w:r>
              <w:t xml:space="preserve">“</w:t>
            </w:r>
            <w:r>
              <w:t xml:space="preserve">What will compliance cost?</w:t>
            </w:r>
            <w:r>
              <w:t xml:space="preserve">”</w:t>
            </w:r>
          </w:p>
        </w:tc>
        <w:tc>
          <w:tcPr/>
          <w:p>
            <w:pPr>
              <w:pStyle w:val="Compact"/>
              <w:jc w:val="left"/>
            </w:pPr>
            <w:r>
              <w:t xml:space="preserve">“</w:t>
            </w:r>
            <w:r>
              <w:t xml:space="preserve">What is the true net return?</w:t>
            </w:r>
            <w:r>
              <w:t xml:space="preserve">”</w:t>
            </w:r>
          </w:p>
        </w:tc>
      </w:tr>
      <w:tr>
        <w:tc>
          <w:tcPr/>
          <w:p>
            <w:pPr>
              <w:pStyle w:val="Compact"/>
              <w:jc w:val="left"/>
            </w:pPr>
            <w:r>
              <w:t xml:space="preserve">Dispatch revenue per market</w:t>
            </w:r>
          </w:p>
        </w:tc>
        <w:tc>
          <w:tcPr/>
          <w:p>
            <w:pPr>
              <w:pStyle w:val="Compact"/>
              <w:jc w:val="left"/>
            </w:pPr>
            <w:r>
              <w:t xml:space="preserve">Scope 2 carbon cost per MWh</w:t>
            </w:r>
          </w:p>
        </w:tc>
        <w:tc>
          <w:tcPr/>
          <w:p>
            <w:pPr>
              <w:pStyle w:val="Compact"/>
              <w:jc w:val="left"/>
            </w:pPr>
            <w:r>
              <w:t xml:space="preserve">Full P&amp;L including regulatory costs</w:t>
            </w:r>
          </w:p>
        </w:tc>
      </w:tr>
      <w:tr>
        <w:tc>
          <w:tcPr/>
          <w:p>
            <w:pPr>
              <w:pStyle w:val="Compact"/>
              <w:jc w:val="left"/>
            </w:pPr>
            <w:r>
              <w:t xml:space="preserve">Battery degradation curve</w:t>
            </w:r>
          </w:p>
        </w:tc>
        <w:tc>
          <w:tcPr/>
          <w:p>
            <w:pPr>
              <w:pStyle w:val="Compact"/>
              <w:jc w:val="left"/>
            </w:pPr>
            <w:r>
              <w:t xml:space="preserve">Asset impairment disclosure (CSRD)</w:t>
            </w:r>
          </w:p>
        </w:tc>
        <w:tc>
          <w:tcPr/>
          <w:p>
            <w:pPr>
              <w:pStyle w:val="Compact"/>
              <w:jc w:val="left"/>
            </w:pPr>
            <w:r>
              <w:t xml:space="preserve">Lifecycle financial + compliance view</w:t>
            </w:r>
          </w:p>
        </w:tc>
      </w:tr>
    </w:tbl>
    <w:p>
      <w:pPr>
        <w:pStyle w:val="BodyText"/>
      </w:pPr>
      <w:r>
        <w:rPr>
          <w:bCs/>
          <w:b/>
        </w:rPr>
        <w:t xml:space="preserve">Quantified output example (50MW/200MWh BESS, Germany):</w:t>
      </w:r>
    </w:p>
    <w:tbl>
      <w:tblPr>
        <w:tblStyle w:val="Table"/>
        <w:tblW w:type="pct" w:w="5000"/>
        <w:tblLook w:firstRow="1" w:lastRow="0" w:firstColumn="0" w:lastColumn="0" w:noHBand="0" w:noVBand="0" w:val="0020"/>
        <w:jc w:val="start"/>
      </w:tblPr>
      <w:tblGrid>
        <w:gridCol w:w="2862"/>
        <w:gridCol w:w="1049"/>
        <w:gridCol w:w="4007"/>
      </w:tblGrid>
      <w:tr>
        <w:trPr>
          <w:tblHeader w:val="true"/>
        </w:trPr>
        <w:tc>
          <w:tcPr/>
          <w:p>
            <w:pPr>
              <w:pStyle w:val="Compact"/>
              <w:jc w:val="left"/>
            </w:pPr>
            <w:r>
              <w:t xml:space="preserve">Compliance cost component</w:t>
            </w:r>
          </w:p>
        </w:tc>
        <w:tc>
          <w:tcPr/>
          <w:p>
            <w:pPr>
              <w:pStyle w:val="Compact"/>
              <w:jc w:val="left"/>
            </w:pPr>
            <w:r>
              <w:t xml:space="preserve">EUR/year</w:t>
            </w:r>
          </w:p>
        </w:tc>
        <w:tc>
          <w:tcPr/>
          <w:p>
            <w:pPr>
              <w:pStyle w:val="Compact"/>
              <w:jc w:val="left"/>
            </w:pPr>
            <w:r>
              <w:t xml:space="preserve">Source</w:t>
            </w:r>
          </w:p>
        </w:tc>
      </w:tr>
      <w:tr>
        <w:tc>
          <w:tcPr/>
          <w:p>
            <w:pPr>
              <w:pStyle w:val="Compact"/>
              <w:jc w:val="left"/>
            </w:pPr>
            <w:r>
              <w:t xml:space="preserve">Scope 2 carbon cost</w:t>
            </w:r>
          </w:p>
        </w:tc>
        <w:tc>
          <w:tcPr/>
          <w:p>
            <w:pPr>
              <w:pStyle w:val="Compact"/>
              <w:jc w:val="left"/>
            </w:pPr>
            <w:r>
              <w:t xml:space="preserve">€5,005</w:t>
            </w:r>
          </w:p>
        </w:tc>
        <w:tc>
          <w:tcPr/>
          <w:p>
            <w:pPr>
              <w:pStyle w:val="Compact"/>
              <w:jc w:val="left"/>
            </w:pPr>
            <w:r>
              <w:t xml:space="preserve">ETS Phase 4 calculator (ets-calculator.ts)</w:t>
            </w:r>
          </w:p>
        </w:tc>
      </w:tr>
      <w:tr>
        <w:tc>
          <w:tcPr/>
          <w:p>
            <w:pPr>
              <w:pStyle w:val="Compact"/>
              <w:jc w:val="left"/>
            </w:pPr>
            <w:r>
              <w:t xml:space="preserve">Roundtrip efficiency loss cost</w:t>
            </w:r>
          </w:p>
        </w:tc>
        <w:tc>
          <w:tcPr/>
          <w:p>
            <w:pPr>
              <w:pStyle w:val="Compact"/>
              <w:jc w:val="left"/>
            </w:pPr>
            <w:r>
              <w:t xml:space="preserve">€488</w:t>
            </w:r>
          </w:p>
        </w:tc>
        <w:tc>
          <w:tcPr/>
          <w:p>
            <w:pPr>
              <w:pStyle w:val="Compact"/>
              <w:jc w:val="left"/>
            </w:pPr>
            <w:r>
              <w:t xml:space="preserve">Grid emission factors (18 EU countries)</w:t>
            </w:r>
          </w:p>
        </w:tc>
      </w:tr>
      <w:tr>
        <w:tc>
          <w:tcPr/>
          <w:p>
            <w:pPr>
              <w:pStyle w:val="Compact"/>
              <w:jc w:val="left"/>
            </w:pPr>
            <w:r>
              <w:t xml:space="preserve">CSRD reporting cost</w:t>
            </w:r>
          </w:p>
        </w:tc>
        <w:tc>
          <w:tcPr/>
          <w:p>
            <w:pPr>
              <w:pStyle w:val="Compact"/>
              <w:jc w:val="left"/>
            </w:pPr>
            <w:r>
              <w:t xml:space="preserve">€12,000</w:t>
            </w:r>
          </w:p>
        </w:tc>
        <w:tc>
          <w:tcPr/>
          <w:p>
            <w:pPr>
              <w:pStyle w:val="Compact"/>
              <w:jc w:val="left"/>
            </w:pPr>
            <w:r>
              <w:t xml:space="preserve">Firehorse Reports estimate</w:t>
            </w:r>
          </w:p>
        </w:tc>
      </w:tr>
      <w:tr>
        <w:tc>
          <w:tcPr/>
          <w:p>
            <w:pPr>
              <w:pStyle w:val="Compact"/>
              <w:jc w:val="left"/>
            </w:pPr>
            <w:r>
              <w:t xml:space="preserve">EU Taxonomy certification cost</w:t>
            </w:r>
          </w:p>
        </w:tc>
        <w:tc>
          <w:tcPr/>
          <w:p>
            <w:pPr>
              <w:pStyle w:val="Compact"/>
              <w:jc w:val="left"/>
            </w:pPr>
            <w:r>
              <w:t xml:space="preserve">€4,200</w:t>
            </w:r>
          </w:p>
        </w:tc>
        <w:tc>
          <w:tcPr/>
          <w:p>
            <w:pPr>
              <w:pStyle w:val="Compact"/>
              <w:jc w:val="left"/>
            </w:pPr>
            <w:r>
              <w:t xml:space="preserve">Taxonomy alignment engine</w:t>
            </w:r>
          </w:p>
        </w:tc>
      </w:tr>
      <w:tr>
        <w:tc>
          <w:tcPr/>
          <w:p>
            <w:pPr>
              <w:pStyle w:val="Compact"/>
              <w:jc w:val="left"/>
            </w:pPr>
            <w:r>
              <w:rPr>
                <w:bCs/>
                <w:b/>
              </w:rPr>
              <w:t xml:space="preserve">Total compliance cost</w:t>
            </w:r>
          </w:p>
        </w:tc>
        <w:tc>
          <w:tcPr/>
          <w:p>
            <w:pPr>
              <w:pStyle w:val="Compact"/>
              <w:jc w:val="left"/>
            </w:pPr>
            <w:r>
              <w:rPr>
                <w:bCs/>
                <w:b/>
              </w:rPr>
              <w:t xml:space="preserve">€21,693</w:t>
            </w:r>
          </w:p>
        </w:tc>
        <w:tc>
          <w:tcPr/>
          <w:p>
            <w:pPr>
              <w:pStyle w:val="Compact"/>
              <w:jc w:val="left"/>
            </w:pPr>
            <w:r>
              <w:t xml:space="preserve">BESS Compliance API</w:t>
            </w:r>
          </w:p>
        </w:tc>
      </w:tr>
    </w:tbl>
    <w:p>
      <w:pPr>
        <w:pStyle w:val="BodyText"/>
      </w:pPr>
      <w:r>
        <w:t xml:space="preserve">These numbers come from the existing DWS IQ 6 codebase (19 unit tests passing), not from a roadmap. The BESS Compliance API endpoint (</w:t>
      </w:r>
      <w:r>
        <w:rPr>
          <w:rStyle w:val="VerbatimChar"/>
        </w:rPr>
        <w:t xml:space="preserve">POST /api/v1/agents/bess/execute</w:t>
      </w:r>
      <w:r>
        <w:t xml:space="preserve">) was built and tested before the partnership discussion began — validating the Solution Factory approach of building products before seeking customers.</w:t>
      </w:r>
    </w:p>
    <w:p>
      <w:pPr>
        <w:pStyle w:val="BodyText"/>
      </w:pPr>
      <w:r>
        <w:rPr>
          <w:bCs/>
          <w:b/>
        </w:rPr>
        <w:t xml:space="preserve">Multi-industry moat demonstrated:</w:t>
      </w:r>
      <w:r>
        <w:t xml:space="preserve"> </w:t>
      </w:r>
      <w:r>
        <w:t xml:space="preserve">Qantic’s enterprise clients (e.g., MAN Energy Solutions) span six EU-regulated industries simultaneously: Power &amp; Heat (ETS), Iron &amp; Steel (ETS + CBAM), Maritime Shipping (ETS from 2024), Road Transport (ETS2 from 2027), Construction (EPBD), and Chemicals (ETS + REACH). A single-industry compliance tool addresses one of these; DWS IQ’s 20-industry LWM addresses all six from the same platform. This validates the cross-industry network effects hypothesis described in Section 10.6.</w:t>
      </w:r>
    </w:p>
    <w:p>
      <w:pPr>
        <w:pStyle w:val="BodyText"/>
      </w:pPr>
      <w:r>
        <w:rPr>
          <w:bCs/>
          <w:b/>
        </w:rPr>
        <w:t xml:space="preserve">Product-market fit signal:</w:t>
      </w:r>
      <w:r>
        <w:t xml:space="preserve"> </w:t>
      </w:r>
      <w:r>
        <w:t xml:space="preserve">The partnership structure (€15,990 setup + €99/asset/month API + 30% reseller commission for referred clients) was developed from build-vs-buy analysis showing enterprise alternatives cost €200k+/year. The 10x price advantage makes the LWM commercially viable at the SME and Mittelstand level — a market segment underserved by Big 4 consultancies.</w:t>
      </w:r>
    </w:p>
    <w:p>
      <w:pPr>
        <w:pStyle w:val="BodyText"/>
      </w:pPr>
      <w:r>
        <w:rPr>
          <w:bCs/>
          <w:b/>
        </w:rPr>
        <w:t xml:space="preserve">Thesis relevance:</w:t>
      </w:r>
      <w:r>
        <w:t xml:space="preserve"> </w:t>
      </w:r>
      <w:r>
        <w:t xml:space="preserve">This case study provides empirical evidence for three thesis claims: (1) the LWM’s regulatory intelligence graph has commercial value outside construction; (2) the 20-industry architecture creates defensible competitive advantage through cross-sector coverage; (3) the Solution Factory model (build product → find customer) produces faster market validation than the traditional consulting model (find customer → build custom solution).</w:t>
      </w:r>
    </w:p>
    <w:bookmarkEnd w:id="151"/>
    <w:bookmarkStart w:id="152" w:name="X0195c593a8634eeea53cb4c919ee3de3ae255a9"/>
    <w:p>
      <w:pPr>
        <w:pStyle w:val="Heading3"/>
      </w:pPr>
      <w:r>
        <w:t xml:space="preserve">10.7.4 Graphical Workflow Builder: Agent Orchestration Studio</w:t>
      </w:r>
    </w:p>
    <w:p>
      <w:pPr>
        <w:pStyle w:val="FirstParagraph"/>
      </w:pPr>
      <w:r>
        <w:t xml:space="preserve">To enable NCC (and similar enterprise customers) to build connections and workflows between 24+ agents, the platform requires a</w:t>
      </w:r>
      <w:r>
        <w:t xml:space="preserve"> </w:t>
      </w:r>
      <w:r>
        <w:rPr>
          <w:bCs/>
          <w:b/>
        </w:rPr>
        <w:t xml:space="preserve">visual workflow builder</w:t>
      </w:r>
      <w:r>
        <w:t xml:space="preserve">. After evaluating six open-source candidates, the recommended architecture is:</w:t>
      </w:r>
    </w:p>
    <w:p>
      <w:pPr>
        <w:pStyle w:val="BodyText"/>
      </w:pPr>
      <w:r>
        <w:rPr>
          <w:bCs/>
          <w:b/>
        </w:rPr>
        <w:t xml:space="preserve">Evaluation of graphical workflow tools:</w:t>
      </w:r>
    </w:p>
    <w:tbl>
      <w:tblPr>
        <w:tblStyle w:val="Table"/>
        <w:tblW w:type="pct" w:w="5000"/>
        <w:tblLook w:firstRow="1" w:lastRow="0" w:firstColumn="0" w:lastColumn="0" w:noHBand="0" w:noVBand="0" w:val="0020"/>
        <w:jc w:val="start"/>
      </w:tblPr>
      <w:tblGrid>
        <w:gridCol w:w="771"/>
        <w:gridCol w:w="1388"/>
        <w:gridCol w:w="1234"/>
        <w:gridCol w:w="1080"/>
        <w:gridCol w:w="720"/>
        <w:gridCol w:w="977"/>
        <w:gridCol w:w="1748"/>
      </w:tblGrid>
      <w:tr>
        <w:trPr>
          <w:tblHeader w:val="true"/>
        </w:trPr>
        <w:tc>
          <w:tcPr/>
          <w:p>
            <w:pPr>
              <w:pStyle w:val="Compact"/>
              <w:jc w:val="left"/>
            </w:pPr>
            <w:r>
              <w:t xml:space="preserve">Tool</w:t>
            </w:r>
          </w:p>
        </w:tc>
        <w:tc>
          <w:tcPr/>
          <w:p>
            <w:pPr>
              <w:pStyle w:val="Compact"/>
              <w:jc w:val="left"/>
            </w:pPr>
            <w:r>
              <w:t xml:space="preserve">License</w:t>
            </w:r>
          </w:p>
        </w:tc>
        <w:tc>
          <w:tcPr/>
          <w:p>
            <w:pPr>
              <w:pStyle w:val="Compact"/>
              <w:jc w:val="left"/>
            </w:pPr>
            <w:r>
              <w:t xml:space="preserve">MCP Support</w:t>
            </w:r>
          </w:p>
        </w:tc>
        <w:tc>
          <w:tcPr/>
          <w:p>
            <w:pPr>
              <w:pStyle w:val="Compact"/>
              <w:jc w:val="left"/>
            </w:pPr>
            <w:r>
              <w:t xml:space="preserve">A2A Support</w:t>
            </w:r>
          </w:p>
        </w:tc>
        <w:tc>
          <w:tcPr/>
          <w:p>
            <w:pPr>
              <w:pStyle w:val="Compact"/>
              <w:jc w:val="left"/>
            </w:pPr>
            <w:r>
              <w:t xml:space="preserve">Self-Hosted EU</w:t>
            </w:r>
          </w:p>
        </w:tc>
        <w:tc>
          <w:tcPr/>
          <w:p>
            <w:pPr>
              <w:pStyle w:val="Compact"/>
              <w:jc w:val="left"/>
            </w:pPr>
            <w:r>
              <w:t xml:space="preserve">Embeddable in React</w:t>
            </w:r>
          </w:p>
        </w:tc>
        <w:tc>
          <w:tcPr/>
          <w:p>
            <w:pPr>
              <w:pStyle w:val="Compact"/>
              <w:jc w:val="left"/>
            </w:pPr>
            <w:r>
              <w:t xml:space="preserve">Best For</w:t>
            </w:r>
          </w:p>
        </w:tc>
      </w:tr>
      <w:tr>
        <w:tc>
          <w:tcPr/>
          <w:p>
            <w:pPr>
              <w:pStyle w:val="Compact"/>
              <w:jc w:val="left"/>
            </w:pPr>
            <w:r>
              <w:rPr>
                <w:bCs/>
                <w:b/>
              </w:rPr>
              <w:t xml:space="preserve">Langflow</w:t>
            </w:r>
          </w:p>
        </w:tc>
        <w:tc>
          <w:tcPr/>
          <w:p>
            <w:pPr>
              <w:pStyle w:val="Compact"/>
              <w:jc w:val="left"/>
            </w:pPr>
            <w:r>
              <w:t xml:space="preserve">Apache 2.0</w:t>
            </w:r>
          </w:p>
        </w:tc>
        <w:tc>
          <w:tcPr/>
          <w:p>
            <w:pPr>
              <w:pStyle w:val="Compact"/>
              <w:jc w:val="left"/>
            </w:pPr>
            <w:r>
              <w:t xml:space="preserve">Native (client + server)</w:t>
            </w:r>
          </w:p>
        </w:tc>
        <w:tc>
          <w:tcPr/>
          <w:p>
            <w:pPr>
              <w:pStyle w:val="Compact"/>
              <w:jc w:val="left"/>
            </w:pPr>
            <w:r>
              <w:t xml:space="preserve">Via custom nodes</w:t>
            </w:r>
          </w:p>
        </w:tc>
        <w:tc>
          <w:tcPr/>
          <w:p>
            <w:pPr>
              <w:pStyle w:val="Compact"/>
              <w:jc w:val="left"/>
            </w:pPr>
            <w:r>
              <w:t xml:space="preserve">Yes</w:t>
            </w:r>
          </w:p>
        </w:tc>
        <w:tc>
          <w:tcPr/>
          <w:p>
            <w:pPr>
              <w:pStyle w:val="Compact"/>
              <w:jc w:val="left"/>
            </w:pPr>
            <w:r>
              <w:t xml:space="preserve">Via API/iframe</w:t>
            </w:r>
          </w:p>
        </w:tc>
        <w:tc>
          <w:tcPr/>
          <w:p>
            <w:pPr>
              <w:pStyle w:val="Compact"/>
              <w:jc w:val="left"/>
            </w:pPr>
            <w:r>
              <w:t xml:space="preserve">Agent orchestration, LLM workflows</w:t>
            </w:r>
          </w:p>
        </w:tc>
      </w:tr>
      <w:tr>
        <w:tc>
          <w:tcPr/>
          <w:p>
            <w:pPr>
              <w:pStyle w:val="Compact"/>
              <w:jc w:val="left"/>
            </w:pPr>
            <w:r>
              <w:rPr>
                <w:bCs/>
                <w:b/>
              </w:rPr>
              <w:t xml:space="preserve">n8n</w:t>
            </w:r>
          </w:p>
        </w:tc>
        <w:tc>
          <w:tcPr/>
          <w:p>
            <w:pPr>
              <w:pStyle w:val="Compact"/>
              <w:jc w:val="left"/>
            </w:pPr>
            <w:r>
              <w:t xml:space="preserve">Fair Code (sustainable-use)</w:t>
            </w:r>
          </w:p>
        </w:tc>
        <w:tc>
          <w:tcPr/>
          <w:p>
            <w:pPr>
              <w:pStyle w:val="Compact"/>
              <w:jc w:val="left"/>
            </w:pPr>
            <w:r>
              <w:t xml:space="preserve">Via community nodes</w:t>
            </w:r>
          </w:p>
        </w:tc>
        <w:tc>
          <w:tcPr/>
          <w:p>
            <w:pPr>
              <w:pStyle w:val="Compact"/>
              <w:jc w:val="left"/>
            </w:pPr>
            <w:r>
              <w:t xml:space="preserve">Via HTTP nodes</w:t>
            </w:r>
          </w:p>
        </w:tc>
        <w:tc>
          <w:tcPr/>
          <w:p>
            <w:pPr>
              <w:pStyle w:val="Compact"/>
              <w:jc w:val="left"/>
            </w:pPr>
            <w:r>
              <w:t xml:space="preserve">Yes</w:t>
            </w:r>
          </w:p>
        </w:tc>
        <w:tc>
          <w:tcPr/>
          <w:p>
            <w:pPr>
              <w:pStyle w:val="Compact"/>
              <w:jc w:val="left"/>
            </w:pPr>
            <w:r>
              <w:t xml:space="preserve">Via API/iframe</w:t>
            </w:r>
          </w:p>
        </w:tc>
        <w:tc>
          <w:tcPr/>
          <w:p>
            <w:pPr>
              <w:pStyle w:val="Compact"/>
              <w:jc w:val="left"/>
            </w:pPr>
            <w:r>
              <w:t xml:space="preserve">ERP/BIM connectors, data pipelines</w:t>
            </w:r>
          </w:p>
        </w:tc>
      </w:tr>
      <w:tr>
        <w:tc>
          <w:tcPr/>
          <w:p>
            <w:pPr>
              <w:pStyle w:val="Compact"/>
              <w:jc w:val="left"/>
            </w:pPr>
            <w:r>
              <w:rPr>
                <w:bCs/>
                <w:b/>
              </w:rPr>
              <w:t xml:space="preserve">React Flow</w:t>
            </w:r>
          </w:p>
        </w:tc>
        <w:tc>
          <w:tcPr/>
          <w:p>
            <w:pPr>
              <w:pStyle w:val="Compact"/>
              <w:jc w:val="left"/>
            </w:pPr>
            <w:r>
              <w:t xml:space="preserve">MIT</w:t>
            </w:r>
          </w:p>
        </w:tc>
        <w:tc>
          <w:tcPr/>
          <w:p>
            <w:pPr>
              <w:pStyle w:val="Compact"/>
              <w:jc w:val="left"/>
            </w:pPr>
            <w:r>
              <w:t xml:space="preserve">Custom implementation</w:t>
            </w:r>
          </w:p>
        </w:tc>
        <w:tc>
          <w:tcPr/>
          <w:p>
            <w:pPr>
              <w:pStyle w:val="Compact"/>
              <w:jc w:val="left"/>
            </w:pPr>
            <w:r>
              <w:t xml:space="preserve">Custom implementation</w:t>
            </w:r>
          </w:p>
        </w:tc>
        <w:tc>
          <w:tcPr/>
          <w:p>
            <w:pPr>
              <w:pStyle w:val="Compact"/>
              <w:jc w:val="left"/>
            </w:pPr>
            <w:r>
              <w:t xml:space="preserve">N/A (library)</w:t>
            </w:r>
          </w:p>
        </w:tc>
        <w:tc>
          <w:tcPr/>
          <w:p>
            <w:pPr>
              <w:pStyle w:val="Compact"/>
              <w:jc w:val="left"/>
            </w:pPr>
            <w:r>
              <w:t xml:space="preserve">Native React</w:t>
            </w:r>
          </w:p>
        </w:tc>
        <w:tc>
          <w:tcPr/>
          <w:p>
            <w:pPr>
              <w:pStyle w:val="Compact"/>
              <w:jc w:val="left"/>
            </w:pPr>
            <w:r>
              <w:t xml:space="preserve">Custom visual builder UI</w:t>
            </w:r>
          </w:p>
        </w:tc>
      </w:tr>
      <w:tr>
        <w:tc>
          <w:tcPr/>
          <w:p>
            <w:pPr>
              <w:pStyle w:val="Compact"/>
              <w:jc w:val="left"/>
            </w:pPr>
            <w:r>
              <w:rPr>
                <w:bCs/>
                <w:b/>
              </w:rPr>
              <w:t xml:space="preserve">Flowise</w:t>
            </w:r>
          </w:p>
        </w:tc>
        <w:tc>
          <w:tcPr/>
          <w:p>
            <w:pPr>
              <w:pStyle w:val="Compact"/>
              <w:jc w:val="left"/>
            </w:pPr>
            <w:r>
              <w:t xml:space="preserve">Apache 2.0</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Yes</w:t>
            </w:r>
          </w:p>
        </w:tc>
        <w:tc>
          <w:tcPr/>
          <w:p>
            <w:pPr>
              <w:pStyle w:val="Compact"/>
              <w:jc w:val="left"/>
            </w:pPr>
            <w:r>
              <w:t xml:space="preserve">Via API/iframe</w:t>
            </w:r>
          </w:p>
        </w:tc>
        <w:tc>
          <w:tcPr/>
          <w:p>
            <w:pPr>
              <w:pStyle w:val="Compact"/>
              <w:jc w:val="left"/>
            </w:pPr>
            <w:r>
              <w:t xml:space="preserve">Chatbot-focused RAG workflows</w:t>
            </w:r>
          </w:p>
        </w:tc>
      </w:tr>
      <w:tr>
        <w:tc>
          <w:tcPr/>
          <w:p>
            <w:pPr>
              <w:pStyle w:val="Compact"/>
              <w:jc w:val="left"/>
            </w:pPr>
            <w:r>
              <w:rPr>
                <w:bCs/>
                <w:b/>
              </w:rPr>
              <w:t xml:space="preserve">Node-RED</w:t>
            </w:r>
          </w:p>
        </w:tc>
        <w:tc>
          <w:tcPr/>
          <w:p>
            <w:pPr>
              <w:pStyle w:val="Compact"/>
              <w:jc w:val="left"/>
            </w:pPr>
            <w:r>
              <w:t xml:space="preserve">Apache 2.0</w:t>
            </w:r>
          </w:p>
        </w:tc>
        <w:tc>
          <w:tcPr/>
          <w:p>
            <w:pPr>
              <w:pStyle w:val="Compact"/>
              <w:jc w:val="left"/>
            </w:pPr>
            <w:r>
              <w:t xml:space="preserve">Via FlowFuse</w:t>
            </w:r>
          </w:p>
        </w:tc>
        <w:tc>
          <w:tcPr/>
          <w:p>
            <w:pPr>
              <w:pStyle w:val="Compact"/>
              <w:jc w:val="left"/>
            </w:pPr>
            <w:r>
              <w:t xml:space="preserve">Via HTTP nodes</w:t>
            </w:r>
          </w:p>
        </w:tc>
        <w:tc>
          <w:tcPr/>
          <w:p>
            <w:pPr>
              <w:pStyle w:val="Compact"/>
              <w:jc w:val="left"/>
            </w:pPr>
            <w:r>
              <w:t xml:space="preserve">Yes</w:t>
            </w:r>
          </w:p>
        </w:tc>
        <w:tc>
          <w:tcPr/>
          <w:p>
            <w:pPr>
              <w:pStyle w:val="Compact"/>
              <w:jc w:val="left"/>
            </w:pPr>
            <w:r>
              <w:t xml:space="preserve">Via iframe</w:t>
            </w:r>
          </w:p>
        </w:tc>
        <w:tc>
          <w:tcPr/>
          <w:p>
            <w:pPr>
              <w:pStyle w:val="Compact"/>
              <w:jc w:val="left"/>
            </w:pPr>
            <w:r>
              <w:t xml:space="preserve">IoT/edge, industrial automation</w:t>
            </w:r>
          </w:p>
        </w:tc>
      </w:tr>
      <w:tr>
        <w:tc>
          <w:tcPr/>
          <w:p>
            <w:pPr>
              <w:pStyle w:val="Compact"/>
              <w:jc w:val="left"/>
            </w:pPr>
            <w:r>
              <w:rPr>
                <w:bCs/>
                <w:b/>
              </w:rPr>
              <w:t xml:space="preserve">Temporal UI</w:t>
            </w:r>
          </w:p>
        </w:tc>
        <w:tc>
          <w:tcPr/>
          <w:p>
            <w:pPr>
              <w:pStyle w:val="Compact"/>
              <w:jc w:val="left"/>
            </w:pPr>
            <w:r>
              <w:t xml:space="preserve">MIT</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Via API</w:t>
            </w:r>
          </w:p>
        </w:tc>
        <w:tc>
          <w:tcPr/>
          <w:p>
            <w:pPr>
              <w:pStyle w:val="Compact"/>
              <w:jc w:val="left"/>
            </w:pPr>
            <w:r>
              <w:t xml:space="preserve">Workflow execution monitoring</w:t>
            </w:r>
          </w:p>
        </w:tc>
      </w:tr>
    </w:tbl>
    <w:p>
      <w:pPr>
        <w:pStyle w:val="BodyText"/>
      </w:pPr>
      <w:r>
        <w:rPr>
          <w:bCs/>
          <w:b/>
        </w:rPr>
        <w:t xml:space="preserve">Recommended architecture: Langflow + React Flow + Temporal.io</w:t>
      </w:r>
    </w:p>
    <w:p>
      <w:pPr>
        <w:pStyle w:val="SourceCode"/>
      </w:pPr>
      <w:r>
        <w:rPr>
          <w:rStyle w:val="VerbatimChar"/>
        </w:rPr>
        <w:t xml:space="preserve">┌─────────────────────────────────────────────────────────┐</w:t>
      </w:r>
      <w:r>
        <w:br/>
      </w:r>
      <w:r>
        <w:rPr>
          <w:rStyle w:val="VerbatimChar"/>
        </w:rPr>
        <w:t xml:space="preserve">│  DWS IQ Agent Orchestration Studio (React)              │</w:t>
      </w:r>
      <w:r>
        <w:br/>
      </w:r>
      <w:r>
        <w:rPr>
          <w:rStyle w:val="VerbatimChar"/>
        </w:rPr>
        <w:t xml:space="preserve">│  ┌───────────────────────────────────────────────────┐  │</w:t>
      </w:r>
      <w:r>
        <w:br/>
      </w:r>
      <w:r>
        <w:rPr>
          <w:rStyle w:val="VerbatimChar"/>
        </w:rPr>
        <w:t xml:space="preserve">│  │  React Flow Visual Canvas                         │  │</w:t>
      </w:r>
      <w:r>
        <w:br/>
      </w:r>
      <w:r>
        <w:rPr>
          <w:rStyle w:val="VerbatimChar"/>
        </w:rPr>
        <w:t xml:space="preserve">│  │  ┌──────┐  ┌──────┐  ┌──────┐  ┌──────┐         │  │</w:t>
      </w:r>
      <w:r>
        <w:br/>
      </w:r>
      <w:r>
        <w:rPr>
          <w:rStyle w:val="VerbatimChar"/>
        </w:rPr>
        <w:t xml:space="preserve">│  │  │ NCC  │→│Safety│→│ DWS  │→│Report│         │  │</w:t>
      </w:r>
      <w:r>
        <w:br/>
      </w:r>
      <w:r>
        <w:rPr>
          <w:rStyle w:val="VerbatimChar"/>
        </w:rPr>
        <w:t xml:space="preserve">│  │  │ BIM  │  │Agent │  │Carbon│  │ Gen  │         │  │</w:t>
      </w:r>
      <w:r>
        <w:br/>
      </w:r>
      <w:r>
        <w:rPr>
          <w:rStyle w:val="VerbatimChar"/>
        </w:rPr>
        <w:t xml:space="preserve">│  │  └──────┘  └──────┘  └──────┘  └──────┘         │  │</w:t>
      </w:r>
      <w:r>
        <w:br/>
      </w:r>
      <w:r>
        <w:rPr>
          <w:rStyle w:val="VerbatimChar"/>
        </w:rPr>
        <w:t xml:space="preserve">│  │       ↑                   ↑                       │  │</w:t>
      </w:r>
      <w:r>
        <w:br/>
      </w:r>
      <w:r>
        <w:rPr>
          <w:rStyle w:val="VerbatimChar"/>
        </w:rPr>
        <w:t xml:space="preserve">│  │  ┌──────┐            ┌──────┐                     │  │</w:t>
      </w:r>
      <w:r>
        <w:br/>
      </w:r>
      <w:r>
        <w:rPr>
          <w:rStyle w:val="VerbatimChar"/>
        </w:rPr>
        <w:t xml:space="preserve">│  │  │Tekla │            │HVAC  │ (contractor)        │  │</w:t>
      </w:r>
      <w:r>
        <w:br/>
      </w:r>
      <w:r>
        <w:rPr>
          <w:rStyle w:val="VerbatimChar"/>
        </w:rPr>
        <w:t xml:space="preserve">│  │  │Conn. │            │Agent │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Langflow Engine (MCP + A2A orchestration)        │  │</w:t>
      </w:r>
      <w:r>
        <w:br/>
      </w:r>
      <w:r>
        <w:rPr>
          <w:rStyle w:val="VerbatimChar"/>
        </w:rPr>
        <w:t xml:space="preserve">│  │  - Each agent node = A2A Agent Card               │  │</w:t>
      </w:r>
      <w:r>
        <w:br/>
      </w:r>
      <w:r>
        <w:rPr>
          <w:rStyle w:val="VerbatimChar"/>
        </w:rPr>
        <w:t xml:space="preserve">│  │  - Each connector = MCP tool                      │  │</w:t>
      </w:r>
      <w:r>
        <w:br/>
      </w:r>
      <w:r>
        <w:rPr>
          <w:rStyle w:val="VerbatimChar"/>
        </w:rPr>
        <w:t xml:space="preserve">│  │  - Flows export as Temporal.io workflows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Temporal.io (execution engine, already in stack) │  │</w:t>
      </w:r>
      <w:r>
        <w:br/>
      </w:r>
      <w:r>
        <w:rPr>
          <w:rStyle w:val="VerbatimChar"/>
        </w:rPr>
        <w:t xml:space="preserve">│  │  - Durable workflow execution                     │  │</w:t>
      </w:r>
      <w:r>
        <w:br/>
      </w:r>
      <w:r>
        <w:rPr>
          <w:rStyle w:val="VerbatimChar"/>
        </w:rPr>
        <w:t xml:space="preserve">│  │  - Retry, timeout, compensation                   │  │</w:t>
      </w:r>
      <w:r>
        <w:br/>
      </w:r>
      <w:r>
        <w:rPr>
          <w:rStyle w:val="VerbatimChar"/>
        </w:rPr>
        <w:t xml:space="preserve">│  │  - EU AI Act Article 12 audit trail               │  │</w:t>
      </w:r>
      <w:r>
        <w:br/>
      </w:r>
      <w:r>
        <w:rPr>
          <w:rStyle w:val="VerbatimChar"/>
        </w:rPr>
        <w:t xml:space="preserve">│  └───────────────────────────────────────────────────┘  │</w:t>
      </w:r>
      <w:r>
        <w:br/>
      </w:r>
      <w:r>
        <w:rPr>
          <w:rStyle w:val="VerbatimChar"/>
        </w:rPr>
        <w:t xml:space="preserve">└─────────────────────────────────────────────────────────┘</w:t>
      </w:r>
    </w:p>
    <w:p>
      <w:pPr>
        <w:pStyle w:val="FirstParagraph"/>
      </w:pPr>
      <w:r>
        <w:rPr>
          <w:bCs/>
          <w:b/>
        </w:rPr>
        <w:t xml:space="preserve">Why this combination:</w:t>
      </w:r>
    </w:p>
    <w:p>
      <w:pPr>
        <w:numPr>
          <w:ilvl w:val="0"/>
          <w:numId w:val="1053"/>
        </w:numPr>
      </w:pPr>
      <w:r>
        <w:rPr>
          <w:bCs/>
          <w:b/>
        </w:rPr>
        <w:t xml:space="preserve">React Flow</w:t>
      </w:r>
      <w:r>
        <w:t xml:space="preserve"> </w:t>
      </w:r>
      <w:r>
        <w:t xml:space="preserve">— Custom visual canvas embedded in the DWS IQ React dashboard. NCC users drag-and-drop agent nodes, draw connections, set per-agent LLM models. MIT license, zero vendor lock-in.</w:t>
      </w:r>
    </w:p>
    <w:p>
      <w:pPr>
        <w:numPr>
          <w:ilvl w:val="0"/>
          <w:numId w:val="1053"/>
        </w:numPr>
      </w:pPr>
      <w:r>
        <w:rPr>
          <w:bCs/>
          <w:b/>
        </w:rPr>
        <w:t xml:space="preserve">Langflow</w:t>
      </w:r>
      <w:r>
        <w:t xml:space="preserve"> </w:t>
      </w:r>
      <w:r>
        <w:t xml:space="preserve">— Backend orchestration engine. Native MCP protocol support means every DWS IQ tool (Supabase, Carbon Engine, ERP connectors) is accessible. Native A2A support means contractor agents auto-register via Agent Cards. Apache 2.0, self-hosted in EU (europe-north1). IBM enterprise partnership provides additional validation.</w:t>
      </w:r>
    </w:p>
    <w:p>
      <w:pPr>
        <w:numPr>
          <w:ilvl w:val="0"/>
          <w:numId w:val="1053"/>
        </w:numPr>
      </w:pPr>
      <w:r>
        <w:rPr>
          <w:bCs/>
          <w:b/>
        </w:rPr>
        <w:t xml:space="preserve">Temporal.io</w:t>
      </w:r>
      <w:r>
        <w:t xml:space="preserve"> </w:t>
      </w:r>
      <w:r>
        <w:t xml:space="preserve">— Already in the DWS IQ stack. Executes the workflows defined in the visual builder. Provides durable execution (workflows survive server restarts), automatic retries, timeout handling, and full audit trail for EU AI Act Article 12 compliance.</w:t>
      </w:r>
    </w:p>
    <w:p>
      <w:pPr>
        <w:pStyle w:val="FirstParagraph"/>
      </w:pPr>
      <w:r>
        <w:rPr>
          <w:bCs/>
          <w:b/>
        </w:rPr>
        <w:t xml:space="preserve">n8n</w:t>
      </w:r>
      <w:r>
        <w:t xml:space="preserve"> </w:t>
      </w:r>
      <w:r>
        <w:t xml:space="preserve">serves as a supplementary tool for ERP/BIM connector workflows (Tekla Structures ↔ IFS Cloud data sync) where Langflow’s LLM focus is unnecessary.</w:t>
      </w:r>
    </w:p>
    <w:bookmarkEnd w:id="152"/>
    <w:bookmarkStart w:id="153" w:name="contractor-agent-onboarding-flow"/>
    <w:p>
      <w:pPr>
        <w:pStyle w:val="Heading3"/>
      </w:pPr>
      <w:r>
        <w:t xml:space="preserve">10.7.4 Contractor Agent Onboarding Flow</w:t>
      </w:r>
    </w:p>
    <w:p>
      <w:pPr>
        <w:pStyle w:val="SourceCode"/>
      </w:pPr>
      <w:r>
        <w:rPr>
          <w:rStyle w:val="VerbatimChar"/>
        </w:rPr>
        <w:t xml:space="preserve">1. Contractor publishes Agent Card at /.well-known/agent.json</w:t>
      </w:r>
      <w:r>
        <w:br/>
      </w:r>
      <w:r>
        <w:rPr>
          <w:rStyle w:val="VerbatimChar"/>
        </w:rPr>
        <w:t xml:space="preserve">2. NCC admin opens Agent Orchestration Studio</w:t>
      </w:r>
      <w:r>
        <w:br/>
      </w:r>
      <w:r>
        <w:rPr>
          <w:rStyle w:val="VerbatimChar"/>
        </w:rPr>
        <w:t xml:space="preserve">3. Studio discovers contractor agent via A2A protocol</w:t>
      </w:r>
      <w:r>
        <w:br/>
      </w:r>
      <w:r>
        <w:rPr>
          <w:rStyle w:val="VerbatimChar"/>
        </w:rPr>
        <w:t xml:space="preserve">4. NCC admin drags contractor agent onto canvas</w:t>
      </w:r>
      <w:r>
        <w:br/>
      </w:r>
      <w:r>
        <w:rPr>
          <w:rStyle w:val="VerbatimChar"/>
        </w:rPr>
        <w:t xml:space="preserve">5. NCC admin connects contractor to relevant workflows</w:t>
      </w:r>
      <w:r>
        <w:br/>
      </w:r>
      <w:r>
        <w:rPr>
          <w:rStyle w:val="VerbatimChar"/>
        </w:rPr>
        <w:t xml:space="preserve">6. Studio validates connectivity (A2A health check)</w:t>
      </w:r>
      <w:r>
        <w:br/>
      </w:r>
      <w:r>
        <w:rPr>
          <w:rStyle w:val="VerbatimChar"/>
        </w:rPr>
        <w:t xml:space="preserve">7. Workflow deploys to Temporal.io for execution</w:t>
      </w:r>
      <w:r>
        <w:br/>
      </w:r>
      <w:r>
        <w:rPr>
          <w:rStyle w:val="VerbatimChar"/>
        </w:rPr>
        <w:t xml:space="preserve">8. All agent interactions logged per EU AI Act Article 12</w:t>
      </w:r>
    </w:p>
    <w:p>
      <w:pPr>
        <w:pStyle w:val="FirstParagraph"/>
      </w:pPr>
      <w:r>
        <w:t xml:space="preserve">This architecture enables NCC to manage 24+ agents visually without writing code, while maintaining full EU data residency, audit compliance, and per-agent LLM flexibility.</w:t>
      </w:r>
    </w:p>
    <w:bookmarkEnd w:id="153"/>
    <w:bookmarkEnd w:id="154"/>
    <w:bookmarkStart w:id="158" w:name="X92f5601af86c3975dc71a1d632564a2dec4821d"/>
    <w:p>
      <w:pPr>
        <w:pStyle w:val="Heading2"/>
      </w:pPr>
      <w:r>
        <w:t xml:space="preserve">10.6 DWS Product Standard — Resolving Enterprise Product Chaos</w:t>
      </w:r>
    </w:p>
    <w:bookmarkStart w:id="155" w:name="problem-statement"/>
    <w:p>
      <w:pPr>
        <w:pStyle w:val="Heading3"/>
      </w:pPr>
      <w:r>
        <w:t xml:space="preserve">Problem Statement</w:t>
      </w:r>
    </w:p>
    <w:p>
      <w:pPr>
        <w:pStyle w:val="FirstParagraph"/>
      </w:pPr>
      <w:r>
        <w:t xml:space="preserve">As the Firehorse product catalog grew to 30 unique products duplicated across 5 catalog files, pricing inconsistencies emerged that threatened commercial credibility. The same product appeared with different prices depending on which file a sales agent, investor, or customer consulted:</w:t>
      </w:r>
    </w:p>
    <w:tbl>
      <w:tblPr>
        <w:tblStyle w:val="Table"/>
        <w:tblW w:type="pct" w:w="5000"/>
        <w:tblLook w:firstRow="1" w:lastRow="0" w:firstColumn="0" w:lastColumn="0" w:noHBand="0" w:noVBand="0" w:val="0020"/>
        <w:jc w:val="start"/>
      </w:tblPr>
      <w:tblGrid>
        <w:gridCol w:w="2520"/>
        <w:gridCol w:w="2160"/>
        <w:gridCol w:w="2280"/>
        <w:gridCol w:w="960"/>
      </w:tblGrid>
      <w:tr>
        <w:trPr>
          <w:tblHeader w:val="true"/>
        </w:trPr>
        <w:tc>
          <w:tcPr/>
          <w:p>
            <w:pPr>
              <w:pStyle w:val="Compact"/>
              <w:jc w:val="left"/>
            </w:pPr>
            <w:r>
              <w:t xml:space="preserve">Product</w:t>
            </w:r>
          </w:p>
        </w:tc>
        <w:tc>
          <w:tcPr/>
          <w:p>
            <w:pPr>
              <w:pStyle w:val="Compact"/>
              <w:jc w:val="left"/>
            </w:pPr>
            <w:r>
              <w:t xml:space="preserve">Lowest Price Found</w:t>
            </w:r>
          </w:p>
        </w:tc>
        <w:tc>
          <w:tcPr/>
          <w:p>
            <w:pPr>
              <w:pStyle w:val="Compact"/>
              <w:jc w:val="left"/>
            </w:pPr>
            <w:r>
              <w:t xml:space="preserve">Highest Price Found</w:t>
            </w:r>
          </w:p>
        </w:tc>
        <w:tc>
          <w:tcPr/>
          <w:p>
            <w:pPr>
              <w:pStyle w:val="Compact"/>
              <w:jc w:val="left"/>
            </w:pPr>
            <w:r>
              <w:t xml:space="preserve">Variance</w:t>
            </w:r>
          </w:p>
        </w:tc>
      </w:tr>
      <w:tr>
        <w:tc>
          <w:tcPr/>
          <w:p>
            <w:pPr>
              <w:pStyle w:val="Compact"/>
              <w:jc w:val="left"/>
            </w:pPr>
            <w:r>
              <w:t xml:space="preserve">DWS IQ Platform</w:t>
            </w:r>
          </w:p>
        </w:tc>
        <w:tc>
          <w:tcPr/>
          <w:p>
            <w:pPr>
              <w:pStyle w:val="Compact"/>
              <w:jc w:val="left"/>
            </w:pPr>
            <w:r>
              <w:t xml:space="preserve">€4,999</w:t>
            </w:r>
          </w:p>
        </w:tc>
        <w:tc>
          <w:tcPr/>
          <w:p>
            <w:pPr>
              <w:pStyle w:val="Compact"/>
              <w:jc w:val="left"/>
            </w:pPr>
            <w:r>
              <w:t xml:space="preserve">€12,500</w:t>
            </w:r>
          </w:p>
        </w:tc>
        <w:tc>
          <w:tcPr/>
          <w:p>
            <w:pPr>
              <w:pStyle w:val="Compact"/>
              <w:jc w:val="left"/>
            </w:pPr>
            <w:r>
              <w:t xml:space="preserve">2.5×</w:t>
            </w:r>
          </w:p>
        </w:tc>
      </w:tr>
      <w:tr>
        <w:tc>
          <w:tcPr/>
          <w:p>
            <w:pPr>
              <w:pStyle w:val="Compact"/>
              <w:jc w:val="left"/>
            </w:pPr>
            <w:r>
              <w:t xml:space="preserve">Consulting Hourly</w:t>
            </w:r>
          </w:p>
        </w:tc>
        <w:tc>
          <w:tcPr/>
          <w:p>
            <w:pPr>
              <w:pStyle w:val="Compact"/>
              <w:jc w:val="left"/>
            </w:pPr>
            <w:r>
              <w:t xml:space="preserve">€98/hr</w:t>
            </w:r>
          </w:p>
        </w:tc>
        <w:tc>
          <w:tcPr/>
          <w:p>
            <w:pPr>
              <w:pStyle w:val="Compact"/>
              <w:jc w:val="left"/>
            </w:pPr>
            <w:r>
              <w:t xml:space="preserve">€350/hr</w:t>
            </w:r>
          </w:p>
        </w:tc>
        <w:tc>
          <w:tcPr/>
          <w:p>
            <w:pPr>
              <w:pStyle w:val="Compact"/>
              <w:jc w:val="left"/>
            </w:pPr>
            <w:r>
              <w:t xml:space="preserve">3.6×</w:t>
            </w:r>
          </w:p>
        </w:tc>
      </w:tr>
      <w:tr>
        <w:tc>
          <w:tcPr/>
          <w:p>
            <w:pPr>
              <w:pStyle w:val="Compact"/>
              <w:jc w:val="left"/>
            </w:pPr>
            <w:r>
              <w:t xml:space="preserve">Workshop 3 Days</w:t>
            </w:r>
          </w:p>
        </w:tc>
        <w:tc>
          <w:tcPr/>
          <w:p>
            <w:pPr>
              <w:pStyle w:val="Compact"/>
              <w:jc w:val="left"/>
            </w:pPr>
            <w:r>
              <w:t xml:space="preserve">€4,500</w:t>
            </w:r>
          </w:p>
        </w:tc>
        <w:tc>
          <w:tcPr/>
          <w:p>
            <w:pPr>
              <w:pStyle w:val="Compact"/>
              <w:jc w:val="left"/>
            </w:pPr>
            <w:r>
              <w:t xml:space="preserve">€15,000</w:t>
            </w:r>
          </w:p>
        </w:tc>
        <w:tc>
          <w:tcPr/>
          <w:p>
            <w:pPr>
              <w:pStyle w:val="Compact"/>
              <w:jc w:val="left"/>
            </w:pPr>
            <w:r>
              <w:t xml:space="preserve">3.3×</w:t>
            </w:r>
          </w:p>
        </w:tc>
      </w:tr>
      <w:tr>
        <w:tc>
          <w:tcPr/>
          <w:p>
            <w:pPr>
              <w:pStyle w:val="Compact"/>
              <w:jc w:val="left"/>
            </w:pPr>
            <w:r>
              <w:t xml:space="preserve">Firehorse Omnichannel</w:t>
            </w:r>
          </w:p>
        </w:tc>
        <w:tc>
          <w:tcPr/>
          <w:p>
            <w:pPr>
              <w:pStyle w:val="Compact"/>
              <w:jc w:val="left"/>
            </w:pPr>
            <w:r>
              <w:t xml:space="preserve">€499</w:t>
            </w:r>
          </w:p>
        </w:tc>
        <w:tc>
          <w:tcPr/>
          <w:p>
            <w:pPr>
              <w:pStyle w:val="Compact"/>
              <w:jc w:val="left"/>
            </w:pPr>
            <w:r>
              <w:t xml:space="preserve">€8,000</w:t>
            </w:r>
          </w:p>
        </w:tc>
        <w:tc>
          <w:tcPr/>
          <w:p>
            <w:pPr>
              <w:pStyle w:val="Compact"/>
              <w:jc w:val="left"/>
            </w:pPr>
            <w:r>
              <w:t xml:space="preserve">16.0×</w:t>
            </w:r>
          </w:p>
        </w:tc>
      </w:tr>
    </w:tbl>
    <w:p>
      <w:pPr>
        <w:pStyle w:val="BodyText"/>
      </w:pPr>
      <w:r>
        <w:t xml:space="preserve">This is not a technical problem. It is a</w:t>
      </w:r>
      <w:r>
        <w:t xml:space="preserve"> </w:t>
      </w:r>
      <w:r>
        <w:rPr>
          <w:bCs/>
          <w:b/>
        </w:rPr>
        <w:t xml:space="preserve">trust problem.</w:t>
      </w:r>
      <w:r>
        <w:t xml:space="preserve"> </w:t>
      </w:r>
      <w:r>
        <w:t xml:space="preserve">In Nordic B2B markets where transparency is a cultural requirement, inconsistent pricing destroys credibility faster than any competitor.</w:t>
      </w:r>
    </w:p>
    <w:bookmarkEnd w:id="155"/>
    <w:bookmarkStart w:id="156" w:name="solution-dws-product-standard-v1.0"/>
    <w:p>
      <w:pPr>
        <w:pStyle w:val="Heading3"/>
      </w:pPr>
      <w:r>
        <w:t xml:space="preserve">Solution: DWS Product Standard v1.0</w:t>
      </w:r>
    </w:p>
    <w:p>
      <w:pPr>
        <w:pStyle w:val="FirstParagraph"/>
      </w:pPr>
      <w:r>
        <w:t xml:space="preserve">The DWS Product Standard (</w:t>
      </w:r>
      <w:r>
        <w:rPr>
          <w:rStyle w:val="VerbatimChar"/>
        </w:rPr>
        <w:t xml:space="preserve">DWS_PRODUCT_STANDARD.md</w:t>
      </w:r>
      <w:r>
        <w:t xml:space="preserve">) was created as the single source of truth for all product definitions, resolving conflicts through a</w:t>
      </w:r>
      <w:r>
        <w:t xml:space="preserve"> </w:t>
      </w:r>
      <w:r>
        <w:rPr>
          <w:bCs/>
          <w:b/>
        </w:rPr>
        <w:t xml:space="preserve">two-channel pricing model:</w:t>
      </w:r>
    </w:p>
    <w:p>
      <w:pPr>
        <w:numPr>
          <w:ilvl w:val="0"/>
          <w:numId w:val="1054"/>
        </w:numPr>
        <w:pStyle w:val="Compact"/>
      </w:pPr>
      <w:r>
        <w:rPr>
          <w:bCs/>
          <w:b/>
        </w:rPr>
        <w:t xml:space="preserve">Self-Service Store</w:t>
      </w:r>
      <w:r>
        <w:t xml:space="preserve"> </w:t>
      </w:r>
      <w:r>
        <w:t xml:space="preserve">(dws10.com): Published prices for SMEs and self-serve buyers, powered by Revolut/Stripe checkout</w:t>
      </w:r>
    </w:p>
    <w:p>
      <w:pPr>
        <w:numPr>
          <w:ilvl w:val="0"/>
          <w:numId w:val="1054"/>
        </w:numPr>
        <w:pStyle w:val="Compact"/>
      </w:pPr>
      <w:r>
        <w:rPr>
          <w:bCs/>
          <w:b/>
        </w:rPr>
        <w:t xml:space="preserve">Enterprise Direct</w:t>
      </w:r>
      <w:r>
        <w:t xml:space="preserve">: Subscription tiers (€5,990-€10,950/month) for large organizations, with full Firehorse Suite included</w:t>
      </w:r>
    </w:p>
    <w:p>
      <w:pPr>
        <w:pStyle w:val="FirstParagraph"/>
      </w:pPr>
      <w:r>
        <w:t xml:space="preserve">The standard establishes:</w:t>
      </w:r>
    </w:p>
    <w:p>
      <w:pPr>
        <w:numPr>
          <w:ilvl w:val="0"/>
          <w:numId w:val="1055"/>
        </w:numPr>
        <w:pStyle w:val="Compact"/>
      </w:pPr>
      <w:r>
        <w:t xml:space="preserve">Product taxonomy across 6 product families</w:t>
      </w:r>
    </w:p>
    <w:p>
      <w:pPr>
        <w:numPr>
          <w:ilvl w:val="0"/>
          <w:numId w:val="1055"/>
        </w:numPr>
        <w:pStyle w:val="Compact"/>
      </w:pPr>
      <w:r>
        <w:t xml:space="preserve">Mandatory two-number pricing rule (</w:t>
      </w:r>
      <w:r>
        <w:t xml:space="preserve">“</w:t>
      </w:r>
      <w:r>
        <w:t xml:space="preserve">Buy now: €XX / Monthly: €YY</w:t>
      </w:r>
      <w:r>
        <w:t xml:space="preserve">”</w:t>
      </w:r>
      <w:r>
        <w:t xml:space="preserve">)</w:t>
      </w:r>
    </w:p>
    <w:p>
      <w:pPr>
        <w:numPr>
          <w:ilvl w:val="0"/>
          <w:numId w:val="1055"/>
        </w:numPr>
        <w:pStyle w:val="Compact"/>
      </w:pPr>
      <w:r>
        <w:t xml:space="preserve">Price floor enforcement (minimum €150/hr for consulting, €499 for software modules)</w:t>
      </w:r>
    </w:p>
    <w:p>
      <w:pPr>
        <w:numPr>
          <w:ilvl w:val="0"/>
          <w:numId w:val="1055"/>
        </w:numPr>
        <w:pStyle w:val="Compact"/>
      </w:pPr>
      <w:r>
        <w:t xml:space="preserve">Google Merchant Center compliance for all 67 products</w:t>
      </w:r>
    </w:p>
    <w:p>
      <w:pPr>
        <w:numPr>
          <w:ilvl w:val="0"/>
          <w:numId w:val="1055"/>
        </w:numPr>
        <w:pStyle w:val="Compact"/>
      </w:pPr>
      <w:r>
        <w:t xml:space="preserve">Price conflict resolution protocol with change propagation checklist</w:t>
      </w:r>
    </w:p>
    <w:p>
      <w:pPr>
        <w:numPr>
          <w:ilvl w:val="0"/>
          <w:numId w:val="1055"/>
        </w:numPr>
        <w:pStyle w:val="Compact"/>
      </w:pPr>
      <w:r>
        <w:t xml:space="preserve">Product lifecycle management (Alpha → Active → Sunset → Retired)</w:t>
      </w:r>
    </w:p>
    <w:bookmarkEnd w:id="156"/>
    <w:bookmarkStart w:id="157" w:name="research-contribution"/>
    <w:p>
      <w:pPr>
        <w:pStyle w:val="Heading3"/>
      </w:pPr>
      <w:r>
        <w:t xml:space="preserve">Research Contribution</w:t>
      </w:r>
    </w:p>
    <w:p>
      <w:pPr>
        <w:pStyle w:val="FirstParagraph"/>
      </w:pPr>
      <w:r>
        <w:t xml:space="preserve">This represents a novel contribution to</w:t>
      </w:r>
      <w:r>
        <w:t xml:space="preserve"> </w:t>
      </w:r>
      <w:r>
        <w:rPr>
          <w:bCs/>
          <w:b/>
        </w:rPr>
        <w:t xml:space="preserve">AI-assisted product management</w:t>
      </w:r>
      <w:r>
        <w:t xml:space="preserve">: the Product Standard was generated through systematic AI analysis of the entire codebase, identifying conflicts that manual review missed over 3 months. The audit methodology — multi-file price extraction, cross-reference, and conflict resolution — is reproducible for any SaaS company scaling from single-product to multi-product catalog.</w:t>
      </w:r>
    </w:p>
    <w:bookmarkEnd w:id="157"/>
    <w:bookmarkEnd w:id="158"/>
    <w:bookmarkStart w:id="162" w:name="Xef2723201df77e81f58f313eda8a217af1eb9cc"/>
    <w:p>
      <w:pPr>
        <w:pStyle w:val="Heading2"/>
      </w:pPr>
      <w:r>
        <w:t xml:space="preserve">10.7 Brand Standard Product Clarity — One-Click Industrial Buy</w:t>
      </w:r>
    </w:p>
    <w:bookmarkStart w:id="159" w:name="the-one-click-hypothesis"/>
    <w:p>
      <w:pPr>
        <w:pStyle w:val="Heading3"/>
      </w:pPr>
      <w:r>
        <w:t xml:space="preserve">The One-Click Hypothesis</w:t>
      </w:r>
    </w:p>
    <w:p>
      <w:pPr>
        <w:pStyle w:val="FirstParagraph"/>
      </w:pPr>
      <w:r>
        <w:t xml:space="preserve">Industrial B2B SaaS products are traditionally sold through 45-90 day consultative cycles. The Nordic Sales Strategy (Section 11) challenges this assumption: if pricing is transparent, the demo is self-service, and the agreement is digital, the actual decision takes one day. The remaining 44-89 days are friction.</w:t>
      </w:r>
    </w:p>
    <w:p>
      <w:pPr>
        <w:pStyle w:val="BodyText"/>
      </w:pPr>
      <w:r>
        <w:t xml:space="preserve">The DWS Brand Standard v1.1 was updated to codify this insight into product card UI components:</w:t>
      </w:r>
    </w:p>
    <w:p>
      <w:pPr>
        <w:numPr>
          <w:ilvl w:val="0"/>
          <w:numId w:val="1056"/>
        </w:numPr>
        <w:pStyle w:val="Compact"/>
      </w:pPr>
      <w:r>
        <w:rPr>
          <w:bCs/>
          <w:b/>
        </w:rPr>
        <w:t xml:space="preserve">Product Pricing Clarity (Section 7):</w:t>
      </w:r>
      <w:r>
        <w:t xml:space="preserve"> </w:t>
      </w:r>
      <w:r>
        <w:t xml:space="preserve">New CSS tokens for price display, enterprise tier card variants, and the mandatory two-number rule as a UI standard</w:t>
      </w:r>
    </w:p>
    <w:p>
      <w:pPr>
        <w:numPr>
          <w:ilvl w:val="0"/>
          <w:numId w:val="1056"/>
        </w:numPr>
        <w:pStyle w:val="Compact"/>
      </w:pPr>
      <w:r>
        <w:rPr>
          <w:bCs/>
          <w:b/>
        </w:rPr>
        <w:t xml:space="preserve">Intelligent Decision Helper:</w:t>
      </w:r>
      <w:r>
        <w:t xml:space="preserve"> </w:t>
      </w:r>
      <w:r>
        <w:t xml:space="preserve">A 2-question recommender that tells the buyer which tier is right, based on portfolio size and CSRD deadline pressure</w:t>
      </w:r>
    </w:p>
    <w:p>
      <w:pPr>
        <w:numPr>
          <w:ilvl w:val="0"/>
          <w:numId w:val="1056"/>
        </w:numPr>
        <w:pStyle w:val="Compact"/>
      </w:pPr>
      <w:r>
        <w:rPr>
          <w:bCs/>
          <w:b/>
        </w:rPr>
        <w:t xml:space="preserve">Tier Badge System:</w:t>
      </w:r>
      <w:r>
        <w:t xml:space="preserve"> </w:t>
      </w:r>
      <w:r>
        <w:t xml:space="preserve">Visual hierarchy (Pilot = blue, Alpha = purple, Production = green) that communicates progression without requiring sales explanation</w:t>
      </w:r>
    </w:p>
    <w:bookmarkEnd w:id="159"/>
    <w:bookmarkStart w:id="160" w:name="cultural-design-pattern-the-13.70-buffet"/>
    <w:p>
      <w:pPr>
        <w:pStyle w:val="Heading3"/>
      </w:pPr>
      <w:r>
        <w:t xml:space="preserve">Cultural Design Pattern: The €13.70 Buffet</w:t>
      </w:r>
    </w:p>
    <w:p>
      <w:pPr>
        <w:pStyle w:val="FirstParagraph"/>
      </w:pPr>
      <w:r>
        <w:t xml:space="preserve">The brand standard now explicitly encodes a Nordic cultural design principle: the Finnish lunch buffet model. At €13.70, the buffet works because the price is visible before you commit, the value is visible before you pay, the risk is low, and the exit is clean. The updated brand standard applies this same anxiety-reduction pattern to €5,990/month enterprise software:</w:t>
      </w:r>
    </w:p>
    <w:p>
      <w:pPr>
        <w:numPr>
          <w:ilvl w:val="0"/>
          <w:numId w:val="1057"/>
        </w:numPr>
        <w:pStyle w:val="Compact"/>
      </w:pPr>
      <w:r>
        <w:t xml:space="preserve">Published pricing (no</w:t>
      </w:r>
      <w:r>
        <w:t xml:space="preserve"> </w:t>
      </w:r>
      <w:r>
        <w:t xml:space="preserve">“</w:t>
      </w:r>
      <w:r>
        <w:t xml:space="preserve">contact us</w:t>
      </w:r>
      <w:r>
        <w:t xml:space="preserve">”</w:t>
      </w:r>
      <w:r>
        <w:t xml:space="preserve">)</w:t>
      </w:r>
    </w:p>
    <w:p>
      <w:pPr>
        <w:numPr>
          <w:ilvl w:val="0"/>
          <w:numId w:val="1057"/>
        </w:numPr>
        <w:pStyle w:val="Compact"/>
      </w:pPr>
      <w:r>
        <w:t xml:space="preserve">Live demo accessible with email only (no sales qualification)</w:t>
      </w:r>
    </w:p>
    <w:p>
      <w:pPr>
        <w:numPr>
          <w:ilvl w:val="0"/>
          <w:numId w:val="1057"/>
        </w:numPr>
        <w:pStyle w:val="Compact"/>
      </w:pPr>
      <w:r>
        <w:t xml:space="preserve">Standard agreement (no custom negotiation)</w:t>
      </w:r>
    </w:p>
    <w:p>
      <w:pPr>
        <w:numPr>
          <w:ilvl w:val="0"/>
          <w:numId w:val="1057"/>
        </w:numPr>
        <w:pStyle w:val="Compact"/>
      </w:pPr>
      <w:r>
        <w:t xml:space="preserve">5-month pilot with clean exit</w:t>
      </w:r>
    </w:p>
    <w:bookmarkEnd w:id="160"/>
    <w:bookmarkStart w:id="161" w:name="research-contribution-1"/>
    <w:p>
      <w:pPr>
        <w:pStyle w:val="Heading3"/>
      </w:pPr>
      <w:r>
        <w:t xml:space="preserve">Research Contribution</w:t>
      </w:r>
    </w:p>
    <w:p>
      <w:pPr>
        <w:pStyle w:val="FirstParagraph"/>
      </w:pPr>
      <w:r>
        <w:t xml:space="preserve">The connection between cultural psychology (Nordic equality, anxiety reduction) and B2B product design is understudied in existing literature. This work proposes that</w:t>
      </w:r>
      <w:r>
        <w:t xml:space="preserve"> </w:t>
      </w:r>
      <w:r>
        <w:rPr>
          <w:bCs/>
          <w:b/>
        </w:rPr>
        <w:t xml:space="preserve">cultural UX patterns</w:t>
      </w:r>
      <w:r>
        <w:t xml:space="preserve"> </w:t>
      </w:r>
      <w:r>
        <w:t xml:space="preserve">— not just feature completeness — are a primary driver of enterprise conversion rates in Nordic markets.</w:t>
      </w:r>
    </w:p>
    <w:bookmarkEnd w:id="161"/>
    <w:bookmarkEnd w:id="162"/>
    <w:bookmarkStart w:id="171" w:name="measurable-impact-toward-dws-7"/>
    <w:p>
      <w:pPr>
        <w:pStyle w:val="Heading2"/>
      </w:pPr>
      <w:r>
        <w:t xml:space="preserve">10.8 Measurable Impact Toward DWS 7</w:t>
      </w:r>
    </w:p>
    <w:bookmarkStart w:id="163" w:name="what-dws-7-inherits"/>
    <w:p>
      <w:pPr>
        <w:pStyle w:val="Heading3"/>
      </w:pPr>
      <w:r>
        <w:t xml:space="preserve">What DWS 7 Inherits</w:t>
      </w:r>
    </w:p>
    <w:p>
      <w:pPr>
        <w:pStyle w:val="FirstParagraph"/>
      </w:pPr>
      <w:r>
        <w:t xml:space="preserve">DWS 7 is the next major platform generation. The standards created during DWS 6 establish measurable foundations:</w:t>
      </w:r>
    </w:p>
    <w:tbl>
      <w:tblPr>
        <w:tblStyle w:val="Table"/>
        <w:tblW w:type="pct" w:w="5000"/>
        <w:tblLook w:firstRow="1" w:lastRow="0" w:firstColumn="0" w:lastColumn="0" w:noHBand="0" w:noVBand="0" w:val="0020"/>
        <w:jc w:val="start"/>
      </w:tblPr>
      <w:tblGrid>
        <w:gridCol w:w="1179"/>
        <w:gridCol w:w="2302"/>
        <w:gridCol w:w="2471"/>
        <w:gridCol w:w="1965"/>
      </w:tblGrid>
      <w:tr>
        <w:trPr>
          <w:tblHeader w:val="true"/>
        </w:trPr>
        <w:tc>
          <w:tcPr/>
          <w:p>
            <w:pPr>
              <w:pStyle w:val="Compact"/>
              <w:jc w:val="left"/>
            </w:pPr>
            <w:r>
              <w:t xml:space="preserve">Standard</w:t>
            </w:r>
          </w:p>
        </w:tc>
        <w:tc>
          <w:tcPr/>
          <w:p>
            <w:pPr>
              <w:pStyle w:val="Compact"/>
              <w:jc w:val="left"/>
            </w:pPr>
            <w:r>
              <w:t xml:space="preserve">DWS 6 State</w:t>
            </w:r>
          </w:p>
        </w:tc>
        <w:tc>
          <w:tcPr/>
          <w:p>
            <w:pPr>
              <w:pStyle w:val="Compact"/>
              <w:jc w:val="left"/>
            </w:pPr>
            <w:r>
              <w:t xml:space="preserve">DWS 7 Target</w:t>
            </w:r>
          </w:p>
        </w:tc>
        <w:tc>
          <w:tcPr/>
          <w:p>
            <w:pPr>
              <w:pStyle w:val="Compact"/>
              <w:jc w:val="left"/>
            </w:pPr>
            <w:r>
              <w:t xml:space="preserve">Measurable Outcome</w:t>
            </w:r>
          </w:p>
        </w:tc>
      </w:tr>
      <w:tr>
        <w:tc>
          <w:tcPr/>
          <w:p>
            <w:pPr>
              <w:pStyle w:val="Compact"/>
              <w:jc w:val="left"/>
            </w:pPr>
            <w:r>
              <w:rPr>
                <w:bCs/>
                <w:b/>
              </w:rPr>
              <w:t xml:space="preserve">Product Standard</w:t>
            </w:r>
          </w:p>
        </w:tc>
        <w:tc>
          <w:tcPr/>
          <w:p>
            <w:pPr>
              <w:pStyle w:val="Compact"/>
              <w:jc w:val="left"/>
            </w:pPr>
            <w:r>
              <w:t xml:space="preserve">5 conflicting catalogs, 7 price conflicts</w:t>
            </w:r>
          </w:p>
        </w:tc>
        <w:tc>
          <w:tcPr/>
          <w:p>
            <w:pPr>
              <w:pStyle w:val="Compact"/>
              <w:jc w:val="left"/>
            </w:pPr>
            <w:r>
              <w:t xml:space="preserve">Single source of truth, 0 conflicts</w:t>
            </w:r>
          </w:p>
        </w:tc>
        <w:tc>
          <w:tcPr/>
          <w:p>
            <w:pPr>
              <w:pStyle w:val="Compact"/>
              <w:jc w:val="left"/>
            </w:pPr>
            <w:r>
              <w:t xml:space="preserve">Quarterly audit: conflict count = 0</w:t>
            </w:r>
          </w:p>
        </w:tc>
      </w:tr>
      <w:tr>
        <w:tc>
          <w:tcPr/>
          <w:p>
            <w:pPr>
              <w:pStyle w:val="Compact"/>
              <w:jc w:val="left"/>
            </w:pPr>
            <w:r>
              <w:rPr>
                <w:bCs/>
                <w:b/>
              </w:rPr>
              <w:t xml:space="preserve">Brand Standard</w:t>
            </w:r>
          </w:p>
        </w:tc>
        <w:tc>
          <w:tcPr/>
          <w:p>
            <w:pPr>
              <w:pStyle w:val="Compact"/>
              <w:jc w:val="left"/>
            </w:pPr>
            <w:r>
              <w:t xml:space="preserve">No pricing display rules</w:t>
            </w:r>
          </w:p>
        </w:tc>
        <w:tc>
          <w:tcPr/>
          <w:p>
            <w:pPr>
              <w:pStyle w:val="Compact"/>
              <w:jc w:val="left"/>
            </w:pPr>
            <w:r>
              <w:t xml:space="preserve">Two-number rule, tier cards, decision helper</w:t>
            </w:r>
          </w:p>
        </w:tc>
        <w:tc>
          <w:tcPr/>
          <w:p>
            <w:pPr>
              <w:pStyle w:val="Compact"/>
              <w:jc w:val="left"/>
            </w:pPr>
            <w:r>
              <w:t xml:space="preserve">Pricing page bounce rate &lt; 40%</w:t>
            </w:r>
          </w:p>
        </w:tc>
      </w:tr>
      <w:tr>
        <w:tc>
          <w:tcPr/>
          <w:p>
            <w:pPr>
              <w:pStyle w:val="Compact"/>
              <w:jc w:val="left"/>
            </w:pPr>
            <w:r>
              <w:rPr>
                <w:bCs/>
                <w:b/>
              </w:rPr>
              <w:t xml:space="preserve">Sales Strategy</w:t>
            </w:r>
          </w:p>
        </w:tc>
        <w:tc>
          <w:tcPr/>
          <w:p>
            <w:pPr>
              <w:pStyle w:val="Compact"/>
              <w:jc w:val="left"/>
            </w:pPr>
            <w:r>
              <w:t xml:space="preserve">45-90 day cycles, 0% self-service</w:t>
            </w:r>
          </w:p>
        </w:tc>
        <w:tc>
          <w:tcPr/>
          <w:p>
            <w:pPr>
              <w:pStyle w:val="Compact"/>
              <w:jc w:val="left"/>
            </w:pPr>
            <w:r>
              <w:t xml:space="preserve">One-click path, 20-30% self-service</w:t>
            </w:r>
          </w:p>
        </w:tc>
        <w:tc>
          <w:tcPr/>
          <w:p>
            <w:pPr>
              <w:pStyle w:val="Compact"/>
              <w:jc w:val="left"/>
            </w:pPr>
            <w:r>
              <w:t xml:space="preserve">CRM: time-to-purchase &lt; 7 days</w:t>
            </w:r>
          </w:p>
        </w:tc>
      </w:tr>
      <w:tr>
        <w:tc>
          <w:tcPr/>
          <w:p>
            <w:pPr>
              <w:pStyle w:val="Compact"/>
              <w:jc w:val="left"/>
            </w:pPr>
            <w:r>
              <w:rPr>
                <w:bCs/>
                <w:b/>
              </w:rPr>
              <w:t xml:space="preserve">Document Standard</w:t>
            </w:r>
          </w:p>
        </w:tc>
        <w:tc>
          <w:tcPr/>
          <w:p>
            <w:pPr>
              <w:pStyle w:val="Compact"/>
              <w:jc w:val="left"/>
            </w:pPr>
            <w:r>
              <w:t xml:space="preserve">Ad-hoc versioning</w:t>
            </w:r>
          </w:p>
        </w:tc>
        <w:tc>
          <w:tcPr/>
          <w:p>
            <w:pPr>
              <w:pStyle w:val="Compact"/>
              <w:jc w:val="left"/>
            </w:pPr>
            <w:r>
              <w:t xml:space="preserve">Full traceability, agent history</w:t>
            </w:r>
          </w:p>
        </w:tc>
        <w:tc>
          <w:tcPr/>
          <w:p>
            <w:pPr>
              <w:pStyle w:val="Compact"/>
              <w:jc w:val="left"/>
            </w:pPr>
            <w:r>
              <w:t xml:space="preserve">100% document compliance</w:t>
            </w:r>
          </w:p>
        </w:tc>
      </w:tr>
    </w:tbl>
    <w:bookmarkEnd w:id="163"/>
    <w:bookmarkStart w:id="164" w:name="impact-measurement-framework"/>
    <w:p>
      <w:pPr>
        <w:pStyle w:val="Heading3"/>
      </w:pPr>
      <w:r>
        <w:t xml:space="preserve">Impact Measurement Framework</w:t>
      </w:r>
    </w:p>
    <w:p>
      <w:pPr>
        <w:pStyle w:val="FirstParagraph"/>
      </w:pPr>
      <w:r>
        <w:t xml:space="preserve">The following metrics MUST be tracked starting Q1 2026 to validate the standards’ contribution:</w:t>
      </w:r>
    </w:p>
    <w:p>
      <w:pPr>
        <w:pStyle w:val="BodyText"/>
      </w:pPr>
      <w:r>
        <w:rPr>
          <w:bCs/>
          <w:b/>
        </w:rPr>
        <w:t xml:space="preserve">Commercial Impact:</w:t>
      </w:r>
    </w:p>
    <w:tbl>
      <w:tblPr>
        <w:tblStyle w:val="Table"/>
        <w:tblW w:type="pct" w:w="5000"/>
        <w:tblLook w:firstRow="1" w:lastRow="0" w:firstColumn="0" w:lastColumn="0" w:noHBand="0" w:noVBand="0" w:val="0020"/>
        <w:jc w:val="start"/>
      </w:tblPr>
      <w:tblGrid>
        <w:gridCol w:w="3338"/>
        <w:gridCol w:w="1475"/>
        <w:gridCol w:w="1087"/>
        <w:gridCol w:w="1087"/>
        <w:gridCol w:w="931"/>
      </w:tblGrid>
      <w:tr>
        <w:trPr>
          <w:tblHeader w:val="true"/>
        </w:trPr>
        <w:tc>
          <w:tcPr/>
          <w:p>
            <w:pPr>
              <w:pStyle w:val="Compact"/>
              <w:jc w:val="left"/>
            </w:pPr>
            <w:r>
              <w:t xml:space="preserve">Metric</w:t>
            </w:r>
          </w:p>
        </w:tc>
        <w:tc>
          <w:tcPr/>
          <w:p>
            <w:pPr>
              <w:pStyle w:val="Compact"/>
              <w:jc w:val="left"/>
            </w:pPr>
            <w:r>
              <w:t xml:space="preserve">Baseline (Feb 2026)</w:t>
            </w:r>
          </w:p>
        </w:tc>
        <w:tc>
          <w:tcPr/>
          <w:p>
            <w:pPr>
              <w:pStyle w:val="Compact"/>
              <w:jc w:val="left"/>
            </w:pPr>
            <w:r>
              <w:t xml:space="preserve">Q2 2026 Target</w:t>
            </w:r>
          </w:p>
        </w:tc>
        <w:tc>
          <w:tcPr/>
          <w:p>
            <w:pPr>
              <w:pStyle w:val="Compact"/>
              <w:jc w:val="left"/>
            </w:pPr>
            <w:r>
              <w:t xml:space="preserve">Q4 2026 Target</w:t>
            </w:r>
          </w:p>
        </w:tc>
        <w:tc>
          <w:tcPr/>
          <w:p>
            <w:pPr>
              <w:pStyle w:val="Compact"/>
              <w:jc w:val="left"/>
            </w:pPr>
            <w:r>
              <w:t xml:space="preserve">DWS 7 Target</w:t>
            </w:r>
          </w:p>
        </w:tc>
      </w:tr>
      <w:tr>
        <w:tc>
          <w:tcPr/>
          <w:p>
            <w:pPr>
              <w:pStyle w:val="Compact"/>
              <w:jc w:val="left"/>
            </w:pPr>
            <w:r>
              <w:t xml:space="preserve">MRR</w:t>
            </w:r>
          </w:p>
        </w:tc>
        <w:tc>
          <w:tcPr/>
          <w:p>
            <w:pPr>
              <w:pStyle w:val="Compact"/>
              <w:jc w:val="left"/>
            </w:pPr>
            <w:r>
              <w:t xml:space="preserve">€7,000</w:t>
            </w:r>
          </w:p>
        </w:tc>
        <w:tc>
          <w:tcPr/>
          <w:p>
            <w:pPr>
              <w:pStyle w:val="Compact"/>
              <w:jc w:val="left"/>
            </w:pPr>
            <w:r>
              <w:t xml:space="preserve">€14,000</w:t>
            </w:r>
          </w:p>
        </w:tc>
        <w:tc>
          <w:tcPr/>
          <w:p>
            <w:pPr>
              <w:pStyle w:val="Compact"/>
              <w:jc w:val="left"/>
            </w:pPr>
            <w:r>
              <w:t xml:space="preserve">€30,000</w:t>
            </w:r>
          </w:p>
        </w:tc>
        <w:tc>
          <w:tcPr/>
          <w:p>
            <w:pPr>
              <w:pStyle w:val="Compact"/>
              <w:jc w:val="left"/>
            </w:pPr>
            <w:r>
              <w:t xml:space="preserve">€60,000</w:t>
            </w:r>
          </w:p>
        </w:tc>
      </w:tr>
      <w:tr>
        <w:tc>
          <w:tcPr/>
          <w:p>
            <w:pPr>
              <w:pStyle w:val="Compact"/>
              <w:jc w:val="left"/>
            </w:pPr>
            <w:r>
              <w:t xml:space="preserve">Price conflicts in codebase</w:t>
            </w:r>
          </w:p>
        </w:tc>
        <w:tc>
          <w:tcPr/>
          <w:p>
            <w:pPr>
              <w:pStyle w:val="Compact"/>
              <w:jc w:val="left"/>
            </w:pPr>
            <w:r>
              <w:t xml:space="preserve">7</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Products with Google Merchant compliance</w:t>
            </w:r>
          </w:p>
        </w:tc>
        <w:tc>
          <w:tcPr/>
          <w:p>
            <w:pPr>
              <w:pStyle w:val="Compact"/>
              <w:jc w:val="left"/>
            </w:pPr>
            <w:r>
              <w:t xml:space="preserve">~30%</w:t>
            </w:r>
          </w:p>
        </w:tc>
        <w:tc>
          <w:tcPr/>
          <w:p>
            <w:pPr>
              <w:pStyle w:val="Compact"/>
              <w:jc w:val="left"/>
            </w:pPr>
            <w:r>
              <w:t xml:space="preserve">80%</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Self-service purchases (% of new deals)</w:t>
            </w:r>
          </w:p>
        </w:tc>
        <w:tc>
          <w:tcPr/>
          <w:p>
            <w:pPr>
              <w:pStyle w:val="Compact"/>
              <w:jc w:val="left"/>
            </w:pPr>
            <w:r>
              <w:t xml:space="preserve">0%</w:t>
            </w:r>
          </w:p>
        </w:tc>
        <w:tc>
          <w:tcPr/>
          <w:p>
            <w:pPr>
              <w:pStyle w:val="Compact"/>
              <w:jc w:val="left"/>
            </w:pPr>
            <w:r>
              <w:t xml:space="preserve">5%</w:t>
            </w:r>
          </w:p>
        </w:tc>
        <w:tc>
          <w:tcPr/>
          <w:p>
            <w:pPr>
              <w:pStyle w:val="Compact"/>
              <w:jc w:val="left"/>
            </w:pPr>
            <w:r>
              <w:t xml:space="preserve">15%</w:t>
            </w:r>
          </w:p>
        </w:tc>
        <w:tc>
          <w:tcPr/>
          <w:p>
            <w:pPr>
              <w:pStyle w:val="Compact"/>
              <w:jc w:val="left"/>
            </w:pPr>
            <w:r>
              <w:t xml:space="preserve">30%</w:t>
            </w:r>
          </w:p>
        </w:tc>
      </w:tr>
      <w:tr>
        <w:tc>
          <w:tcPr/>
          <w:p>
            <w:pPr>
              <w:pStyle w:val="Compact"/>
              <w:jc w:val="left"/>
            </w:pPr>
            <w:r>
              <w:t xml:space="preserve">Time from first contact to signed agreement</w:t>
            </w:r>
          </w:p>
        </w:tc>
        <w:tc>
          <w:tcPr/>
          <w:p>
            <w:pPr>
              <w:pStyle w:val="Compact"/>
              <w:jc w:val="left"/>
            </w:pPr>
            <w:r>
              <w:t xml:space="preserve">45-90 days</w:t>
            </w:r>
          </w:p>
        </w:tc>
        <w:tc>
          <w:tcPr/>
          <w:p>
            <w:pPr>
              <w:pStyle w:val="Compact"/>
              <w:jc w:val="left"/>
            </w:pPr>
            <w:r>
              <w:t xml:space="preserve">30 days</w:t>
            </w:r>
          </w:p>
        </w:tc>
        <w:tc>
          <w:tcPr/>
          <w:p>
            <w:pPr>
              <w:pStyle w:val="Compact"/>
              <w:jc w:val="left"/>
            </w:pPr>
            <w:r>
              <w:t xml:space="preserve">14 days</w:t>
            </w:r>
          </w:p>
        </w:tc>
        <w:tc>
          <w:tcPr/>
          <w:p>
            <w:pPr>
              <w:pStyle w:val="Compact"/>
              <w:jc w:val="left"/>
            </w:pPr>
            <w:r>
              <w:t xml:space="preserve">7 days</w:t>
            </w:r>
          </w:p>
        </w:tc>
      </w:tr>
      <w:tr>
        <w:tc>
          <w:tcPr/>
          <w:p>
            <w:pPr>
              <w:pStyle w:val="Compact"/>
              <w:jc w:val="left"/>
            </w:pPr>
            <w:r>
              <w:t xml:space="preserve">Deals closed without a meeting</w:t>
            </w:r>
          </w:p>
        </w:tc>
        <w:tc>
          <w:tcPr/>
          <w:p>
            <w:pPr>
              <w:pStyle w:val="Compact"/>
              <w:jc w:val="left"/>
            </w:pPr>
            <w:r>
              <w:t xml:space="preserve">0%</w:t>
            </w:r>
          </w:p>
        </w:tc>
        <w:tc>
          <w:tcPr/>
          <w:p>
            <w:pPr>
              <w:pStyle w:val="Compact"/>
              <w:jc w:val="left"/>
            </w:pPr>
            <w:r>
              <w:t xml:space="preserve">5%</w:t>
            </w:r>
          </w:p>
        </w:tc>
        <w:tc>
          <w:tcPr/>
          <w:p>
            <w:pPr>
              <w:pStyle w:val="Compact"/>
              <w:jc w:val="left"/>
            </w:pPr>
            <w:r>
              <w:t xml:space="preserve">15%</w:t>
            </w:r>
          </w:p>
        </w:tc>
        <w:tc>
          <w:tcPr/>
          <w:p>
            <w:pPr>
              <w:pStyle w:val="Compact"/>
              <w:jc w:val="left"/>
            </w:pPr>
            <w:r>
              <w:t xml:space="preserve">25%</w:t>
            </w:r>
          </w:p>
        </w:tc>
      </w:tr>
    </w:tbl>
    <w:p>
      <w:pPr>
        <w:pStyle w:val="BodyText"/>
      </w:pPr>
      <w:r>
        <w:rPr>
          <w:bCs/>
          <w:b/>
        </w:rPr>
        <w:t xml:space="preserve">Operational Impact:</w:t>
      </w:r>
    </w:p>
    <w:tbl>
      <w:tblPr>
        <w:tblStyle w:val="Table"/>
        <w:tblW w:type="pct" w:w="5000"/>
        <w:tblLook w:firstRow="1" w:lastRow="0" w:firstColumn="0" w:lastColumn="0" w:noHBand="0" w:noVBand="0" w:val="0020"/>
        <w:jc w:val="start"/>
      </w:tblPr>
      <w:tblGrid>
        <w:gridCol w:w="2921"/>
        <w:gridCol w:w="615"/>
        <w:gridCol w:w="2306"/>
        <w:gridCol w:w="2076"/>
      </w:tblGrid>
      <w:tr>
        <w:trPr>
          <w:tblHeader w:val="true"/>
        </w:trPr>
        <w:tc>
          <w:tcPr/>
          <w:p>
            <w:pPr>
              <w:pStyle w:val="Compact"/>
              <w:jc w:val="left"/>
            </w:pPr>
            <w:r>
              <w:t xml:space="preserve">Metric</w:t>
            </w:r>
          </w:p>
        </w:tc>
        <w:tc>
          <w:tcPr/>
          <w:p>
            <w:pPr>
              <w:pStyle w:val="Compact"/>
              <w:jc w:val="left"/>
            </w:pPr>
            <w:r>
              <w:t xml:space="preserve">Baseline</w:t>
            </w:r>
          </w:p>
        </w:tc>
        <w:tc>
          <w:tcPr/>
          <w:p>
            <w:pPr>
              <w:pStyle w:val="Compact"/>
              <w:jc w:val="left"/>
            </w:pPr>
            <w:r>
              <w:t xml:space="preserve">Target</w:t>
            </w:r>
          </w:p>
        </w:tc>
        <w:tc>
          <w:tcPr/>
          <w:p>
            <w:pPr>
              <w:pStyle w:val="Compact"/>
              <w:jc w:val="left"/>
            </w:pPr>
            <w:r>
              <w:t xml:space="preserve">Method</w:t>
            </w:r>
          </w:p>
        </w:tc>
      </w:tr>
      <w:tr>
        <w:tc>
          <w:tcPr/>
          <w:p>
            <w:pPr>
              <w:pStyle w:val="Compact"/>
              <w:jc w:val="left"/>
            </w:pPr>
            <w:r>
              <w:t xml:space="preserve">Files updated per price change</w:t>
            </w:r>
          </w:p>
        </w:tc>
        <w:tc>
          <w:tcPr/>
          <w:p>
            <w:pPr>
              <w:pStyle w:val="Compact"/>
              <w:jc w:val="left"/>
            </w:pPr>
            <w:r>
              <w:t xml:space="preserve">5</w:t>
            </w:r>
          </w:p>
        </w:tc>
        <w:tc>
          <w:tcPr/>
          <w:p>
            <w:pPr>
              <w:pStyle w:val="Compact"/>
              <w:jc w:val="left"/>
            </w:pPr>
            <w:r>
              <w:t xml:space="preserve">1 (auto-propagate)</w:t>
            </w:r>
          </w:p>
        </w:tc>
        <w:tc>
          <w:tcPr/>
          <w:p>
            <w:pPr>
              <w:pStyle w:val="Compact"/>
              <w:jc w:val="left"/>
            </w:pPr>
            <w:r>
              <w:t xml:space="preserve">Engineering automation</w:t>
            </w:r>
          </w:p>
        </w:tc>
      </w:tr>
      <w:tr>
        <w:tc>
          <w:tcPr/>
          <w:p>
            <w:pPr>
              <w:pStyle w:val="Compact"/>
              <w:jc w:val="left"/>
            </w:pPr>
            <w:r>
              <w:t xml:space="preserve">Product card consistency across sites</w:t>
            </w:r>
          </w:p>
        </w:tc>
        <w:tc>
          <w:tcPr/>
          <w:p>
            <w:pPr>
              <w:pStyle w:val="Compact"/>
              <w:jc w:val="left"/>
            </w:pPr>
            <w:r>
              <w:t xml:space="preserve">~60%</w:t>
            </w:r>
          </w:p>
        </w:tc>
        <w:tc>
          <w:tcPr/>
          <w:p>
            <w:pPr>
              <w:pStyle w:val="Compact"/>
              <w:jc w:val="left"/>
            </w:pPr>
            <w:r>
              <w:t xml:space="preserve">100%</w:t>
            </w:r>
          </w:p>
        </w:tc>
        <w:tc>
          <w:tcPr/>
          <w:p>
            <w:pPr>
              <w:pStyle w:val="Compact"/>
              <w:jc w:val="left"/>
            </w:pPr>
            <w:r>
              <w:t xml:space="preserve">Automated visual regression</w:t>
            </w:r>
          </w:p>
        </w:tc>
      </w:tr>
      <w:tr>
        <w:tc>
          <w:tcPr/>
          <w:p>
            <w:pPr>
              <w:pStyle w:val="Compact"/>
              <w:jc w:val="left"/>
            </w:pPr>
            <w:r>
              <w:t xml:space="preserve">Investor document pricing accuracy</w:t>
            </w:r>
          </w:p>
        </w:tc>
        <w:tc>
          <w:tcPr/>
          <w:p>
            <w:pPr>
              <w:pStyle w:val="Compact"/>
              <w:jc w:val="left"/>
            </w:pPr>
            <w:r>
              <w:t xml:space="preserve">Unknown</w:t>
            </w:r>
          </w:p>
        </w:tc>
        <w:tc>
          <w:tcPr/>
          <w:p>
            <w:pPr>
              <w:pStyle w:val="Compact"/>
              <w:jc w:val="left"/>
            </w:pPr>
            <w:r>
              <w:t xml:space="preserve">100% match to Product Standard</w:t>
            </w:r>
          </w:p>
        </w:tc>
        <w:tc>
          <w:tcPr/>
          <w:p>
            <w:pPr>
              <w:pStyle w:val="Compact"/>
              <w:jc w:val="left"/>
            </w:pPr>
            <w:r>
              <w:t xml:space="preserve">Manual quarterly audit</w:t>
            </w:r>
          </w:p>
        </w:tc>
      </w:tr>
      <w:tr>
        <w:tc>
          <w:tcPr/>
          <w:p>
            <w:pPr>
              <w:pStyle w:val="Compact"/>
              <w:jc w:val="left"/>
            </w:pPr>
            <w:r>
              <w:t xml:space="preserve">Store page load time (pricing section)</w:t>
            </w:r>
          </w:p>
        </w:tc>
        <w:tc>
          <w:tcPr/>
          <w:p>
            <w:pPr>
              <w:pStyle w:val="Compact"/>
              <w:jc w:val="left"/>
            </w:pPr>
            <w:r>
              <w:t xml:space="preserve">TBD</w:t>
            </w:r>
          </w:p>
        </w:tc>
        <w:tc>
          <w:tcPr/>
          <w:p>
            <w:pPr>
              <w:pStyle w:val="Compact"/>
              <w:jc w:val="left"/>
            </w:pPr>
            <w:r>
              <w:t xml:space="preserve">&lt; 2 seconds</w:t>
            </w:r>
          </w:p>
        </w:tc>
        <w:tc>
          <w:tcPr/>
          <w:p>
            <w:pPr>
              <w:pStyle w:val="Compact"/>
              <w:jc w:val="left"/>
            </w:pPr>
            <w:r>
              <w:t xml:space="preserve">Lighthouse</w:t>
            </w:r>
          </w:p>
        </w:tc>
      </w:tr>
    </w:tbl>
    <w:bookmarkEnd w:id="164"/>
    <w:bookmarkStart w:id="165" w:name="Xab3fe4b37048a22a44d2bc3f2391b376eb275d7"/>
    <w:p>
      <w:pPr>
        <w:pStyle w:val="Heading3"/>
      </w:pPr>
      <w:r>
        <w:t xml:space="preserve">Contribution to Theory: Standards as Competitive Moat</w:t>
      </w:r>
    </w:p>
    <w:p>
      <w:pPr>
        <w:pStyle w:val="FirstParagraph"/>
      </w:pPr>
      <w:r>
        <w:t xml:space="preserve">This thesis argues that</w:t>
      </w:r>
      <w:r>
        <w:t xml:space="preserve"> </w:t>
      </w:r>
      <w:r>
        <w:rPr>
          <w:bCs/>
          <w:b/>
        </w:rPr>
        <w:t xml:space="preserve">enterprise product standards</w:t>
      </w:r>
      <w:r>
        <w:t xml:space="preserve"> </w:t>
      </w:r>
      <w:r>
        <w:t xml:space="preserve">— not just the products themselves — constitute a competitive advantage for industrial SaaS companies. While competitors in the BMS market (Siemens Desigo, Schneider EcoStruxure) have larger product catalogs, their pricing is opaque and negotiation-dependent. DWS IQ 6’s published pricing, standardized product cards, and one-click buy architecture represent a structural advantage that compounds over time:</w:t>
      </w:r>
    </w:p>
    <w:p>
      <w:pPr>
        <w:numPr>
          <w:ilvl w:val="0"/>
          <w:numId w:val="1058"/>
        </w:numPr>
        <w:pStyle w:val="Compact"/>
      </w:pPr>
      <w:r>
        <w:rPr>
          <w:bCs/>
          <w:b/>
        </w:rPr>
        <w:t xml:space="preserve">Trust accumulation:</w:t>
      </w:r>
      <w:r>
        <w:t xml:space="preserve"> </w:t>
      </w:r>
      <w:r>
        <w:t xml:space="preserve">Every transparent price interaction builds Nordic trust capital</w:t>
      </w:r>
    </w:p>
    <w:p>
      <w:pPr>
        <w:numPr>
          <w:ilvl w:val="0"/>
          <w:numId w:val="1058"/>
        </w:numPr>
        <w:pStyle w:val="Compact"/>
      </w:pPr>
      <w:r>
        <w:rPr>
          <w:bCs/>
          <w:b/>
        </w:rPr>
        <w:t xml:space="preserve">Operational leverage:</w:t>
      </w:r>
      <w:r>
        <w:t xml:space="preserve"> </w:t>
      </w:r>
      <w:r>
        <w:t xml:space="preserve">Standards reduce the cost of adding new products from weeks to hours</w:t>
      </w:r>
    </w:p>
    <w:p>
      <w:pPr>
        <w:numPr>
          <w:ilvl w:val="0"/>
          <w:numId w:val="1058"/>
        </w:numPr>
        <w:pStyle w:val="Compact"/>
      </w:pPr>
      <w:r>
        <w:rPr>
          <w:bCs/>
          <w:b/>
        </w:rPr>
        <w:t xml:space="preserve">AI-native management:</w:t>
      </w:r>
      <w:r>
        <w:t xml:space="preserve"> </w:t>
      </w:r>
      <w:r>
        <w:t xml:space="preserve">Product catalogs maintained by AI agents following the Product Standard require zero manual synchronization</w:t>
      </w:r>
    </w:p>
    <w:p>
      <w:pPr>
        <w:numPr>
          <w:ilvl w:val="0"/>
          <w:numId w:val="1058"/>
        </w:numPr>
        <w:pStyle w:val="Compact"/>
      </w:pPr>
      <w:r>
        <w:rPr>
          <w:bCs/>
          <w:b/>
        </w:rPr>
        <w:t xml:space="preserve">Regulatory alignment:</w:t>
      </w:r>
      <w:r>
        <w:t xml:space="preserve"> </w:t>
      </w:r>
      <w:r>
        <w:t xml:space="preserve">EU AI Act Article 12 traceability requirements are satisfied by the same version-controlled standards that manage products</w:t>
      </w:r>
    </w:p>
    <w:p>
      <w:pPr>
        <w:pStyle w:val="FirstParagraph"/>
      </w:pPr>
      <w:r>
        <w:t xml:space="preserve">This positions DWS 7 not merely as a product upgrade, but as a</w:t>
      </w:r>
      <w:r>
        <w:t xml:space="preserve"> </w:t>
      </w:r>
      <w:r>
        <w:rPr>
          <w:bCs/>
          <w:b/>
        </w:rPr>
        <w:t xml:space="preserve">standards-native platform</w:t>
      </w:r>
      <w:r>
        <w:t xml:space="preserve"> </w:t>
      </w:r>
      <w:r>
        <w:t xml:space="preserve">where product management, pricing, and compliance are unified in a single documented framework.</w:t>
      </w:r>
    </w:p>
    <w:bookmarkEnd w:id="165"/>
    <w:bookmarkStart w:id="170" w:name="X3897d577b1508d79898d5ee3629088a2f8e4538"/>
    <w:p>
      <w:pPr>
        <w:pStyle w:val="Heading3"/>
      </w:pPr>
      <w:r>
        <w:t xml:space="preserve">10.9 DWS7 Agent Architecture Modernization: From Single-Shot to Agentic</w:t>
      </w:r>
    </w:p>
    <w:p>
      <w:pPr>
        <w:pStyle w:val="FirstParagraph"/>
      </w:pPr>
      <w:r>
        <w:t xml:space="preserve">Version 3.10 documents the critical architectural leap from DWS6’s single-shot LLM pattern to a true agentic system. This work, performed in a single Claude Code session (24.02.2026), addresses six architectural deficiencies that separated DWS6 from production-grade agent platforms.</w:t>
      </w:r>
    </w:p>
    <w:bookmarkStart w:id="166" w:name="the-six-critical-fixes"/>
    <w:p>
      <w:pPr>
        <w:pStyle w:val="Heading4"/>
      </w:pPr>
      <w:r>
        <w:t xml:space="preserve">10.9.1 The Six Critical Fixes</w:t>
      </w:r>
    </w:p>
    <w:tbl>
      <w:tblPr>
        <w:tblStyle w:val="Table"/>
        <w:tblW w:type="pct" w:w="5000"/>
        <w:tblLook w:firstRow="1" w:lastRow="0" w:firstColumn="0" w:lastColumn="0" w:noHBand="0" w:noVBand="0" w:val="0020"/>
        <w:jc w:val="start"/>
      </w:tblPr>
      <w:tblGrid>
        <w:gridCol w:w="157"/>
        <w:gridCol w:w="1888"/>
        <w:gridCol w:w="3094"/>
        <w:gridCol w:w="2779"/>
      </w:tblGrid>
      <w:tr>
        <w:trPr>
          <w:tblHeader w:val="true"/>
        </w:trPr>
        <w:tc>
          <w:tcPr/>
          <w:p>
            <w:pPr>
              <w:pStyle w:val="Compact"/>
              <w:jc w:val="left"/>
            </w:pPr>
            <w:r>
              <w:t xml:space="preserve">#</w:t>
            </w:r>
          </w:p>
        </w:tc>
        <w:tc>
          <w:tcPr/>
          <w:p>
            <w:pPr>
              <w:pStyle w:val="Compact"/>
              <w:jc w:val="left"/>
            </w:pPr>
            <w:r>
              <w:t xml:space="preserve">Problem (DWS6)</w:t>
            </w:r>
          </w:p>
        </w:tc>
        <w:tc>
          <w:tcPr/>
          <w:p>
            <w:pPr>
              <w:pStyle w:val="Compact"/>
              <w:jc w:val="left"/>
            </w:pPr>
            <w:r>
              <w:t xml:space="preserve">Fix (DWS7)</w:t>
            </w:r>
          </w:p>
        </w:tc>
        <w:tc>
          <w:tcPr/>
          <w:p>
            <w:pPr>
              <w:pStyle w:val="Compact"/>
              <w:jc w:val="left"/>
            </w:pPr>
            <w:r>
              <w:t xml:space="preserve">Implementation</w:t>
            </w:r>
          </w:p>
        </w:tc>
      </w:tr>
      <w:tr>
        <w:tc>
          <w:tcPr/>
          <w:p>
            <w:pPr>
              <w:pStyle w:val="Compact"/>
              <w:jc w:val="left"/>
            </w:pPr>
            <w:r>
              <w:t xml:space="preserve">1</w:t>
            </w:r>
          </w:p>
        </w:tc>
        <w:tc>
          <w:tcPr/>
          <w:p>
            <w:pPr>
              <w:pStyle w:val="Compact"/>
              <w:jc w:val="left"/>
            </w:pPr>
            <w:r>
              <w:t xml:space="preserve">Single-shot LLM calls — no iteration</w:t>
            </w:r>
          </w:p>
        </w:tc>
        <w:tc>
          <w:tcPr/>
          <w:p>
            <w:pPr>
              <w:pStyle w:val="Compact"/>
              <w:jc w:val="left"/>
            </w:pPr>
            <w:r>
              <w:t xml:space="preserve">Observe-think-act agentic loop with configurable iterations</w:t>
            </w:r>
          </w:p>
        </w:tc>
        <w:tc>
          <w:tcPr/>
          <w:p>
            <w:pPr>
              <w:pStyle w:val="Compact"/>
              <w:jc w:val="left"/>
            </w:pPr>
            <w:r>
              <w:rPr>
                <w:rStyle w:val="VerbatimChar"/>
              </w:rPr>
              <w:t xml:space="preserve">base.agent.ts:runLoop()</w:t>
            </w:r>
            <w:r>
              <w:t xml:space="preserve"> </w:t>
            </w:r>
            <w:r>
              <w:t xml:space="preserve">with</w:t>
            </w:r>
            <w:r>
              <w:t xml:space="preserve"> </w:t>
            </w:r>
            <w:r>
              <w:rPr>
                <w:rStyle w:val="VerbatimChar"/>
              </w:rPr>
              <w:t xml:space="preserve">AgentLoopConfig</w:t>
            </w:r>
          </w:p>
        </w:tc>
      </w:tr>
      <w:tr>
        <w:tc>
          <w:tcPr/>
          <w:p>
            <w:pPr>
              <w:pStyle w:val="Compact"/>
              <w:jc w:val="left"/>
            </w:pPr>
            <w:r>
              <w:t xml:space="preserve">2</w:t>
            </w:r>
          </w:p>
        </w:tc>
        <w:tc>
          <w:tcPr/>
          <w:p>
            <w:pPr>
              <w:pStyle w:val="Compact"/>
              <w:jc w:val="left"/>
            </w:pPr>
            <w:r>
              <w:t xml:space="preserve">No tool use / function calling</w:t>
            </w:r>
          </w:p>
        </w:tc>
        <w:tc>
          <w:tcPr/>
          <w:p>
            <w:pPr>
              <w:pStyle w:val="Compact"/>
              <w:jc w:val="left"/>
            </w:pPr>
            <w:r>
              <w:t xml:space="preserve">Full tool runtime with JSON Schema definitions</w:t>
            </w:r>
          </w:p>
        </w:tc>
        <w:tc>
          <w:tcPr/>
          <w:p>
            <w:pPr>
              <w:pStyle w:val="Compact"/>
              <w:jc w:val="left"/>
            </w:pPr>
            <w:r>
              <w:rPr>
                <w:rStyle w:val="VerbatimChar"/>
              </w:rPr>
              <w:t xml:space="preserve">tools.ts</w:t>
            </w:r>
            <w:r>
              <w:t xml:space="preserve"> </w:t>
            </w:r>
            <w:r>
              <w:t xml:space="preserve">— 4 built-in tools, extensible registry</w:t>
            </w:r>
          </w:p>
        </w:tc>
      </w:tr>
      <w:tr>
        <w:tc>
          <w:tcPr/>
          <w:p>
            <w:pPr>
              <w:pStyle w:val="Compact"/>
              <w:jc w:val="left"/>
            </w:pPr>
            <w:r>
              <w:t xml:space="preserve">3</w:t>
            </w:r>
          </w:p>
        </w:tc>
        <w:tc>
          <w:tcPr/>
          <w:p>
            <w:pPr>
              <w:pStyle w:val="Compact"/>
              <w:jc w:val="left"/>
            </w:pPr>
            <w:r>
              <w:t xml:space="preserve">Hardcoded Groq HTTP fetch</w:t>
            </w:r>
          </w:p>
        </w:tc>
        <w:tc>
          <w:tcPr/>
          <w:p>
            <w:pPr>
              <w:pStyle w:val="Compact"/>
              <w:jc w:val="left"/>
            </w:pPr>
            <w:r>
              <w:t xml:space="preserve">Multi-provider LLM client (Anthropic &gt; Groq &gt; OpenAI)</w:t>
            </w:r>
          </w:p>
        </w:tc>
        <w:tc>
          <w:tcPr/>
          <w:p>
            <w:pPr>
              <w:pStyle w:val="Compact"/>
              <w:jc w:val="left"/>
            </w:pPr>
            <w:r>
              <w:rPr>
                <w:rStyle w:val="VerbatimChar"/>
              </w:rPr>
              <w:t xml:space="preserve">llm-client.ts</w:t>
            </w:r>
            <w:r>
              <w:t xml:space="preserve"> </w:t>
            </w:r>
            <w:r>
              <w:t xml:space="preserve">— auto-detects from env vars</w:t>
            </w:r>
          </w:p>
        </w:tc>
      </w:tr>
      <w:tr>
        <w:tc>
          <w:tcPr/>
          <w:p>
            <w:pPr>
              <w:pStyle w:val="Compact"/>
              <w:jc w:val="left"/>
            </w:pPr>
            <w:r>
              <w:t xml:space="preserve">4</w:t>
            </w:r>
          </w:p>
        </w:tc>
        <w:tc>
          <w:tcPr/>
          <w:p>
            <w:pPr>
              <w:pStyle w:val="Compact"/>
              <w:jc w:val="left"/>
            </w:pPr>
            <w:r>
              <w:t xml:space="preserve">No agent-to-agent communication</w:t>
            </w:r>
          </w:p>
        </w:tc>
        <w:tc>
          <w:tcPr/>
          <w:p>
            <w:pPr>
              <w:pStyle w:val="Compact"/>
              <w:jc w:val="left"/>
            </w:pPr>
            <w:r>
              <w:t xml:space="preserve">Delegation with depth tracking (max 5), discovery API</w:t>
            </w:r>
          </w:p>
        </w:tc>
        <w:tc>
          <w:tcPr/>
          <w:p>
            <w:pPr>
              <w:pStyle w:val="Compact"/>
              <w:jc w:val="left"/>
            </w:pPr>
            <w:r>
              <w:rPr>
                <w:rStyle w:val="VerbatimChar"/>
              </w:rPr>
              <w:t xml:space="preserve">delegate_to_agent</w:t>
            </w:r>
            <w:r>
              <w:t xml:space="preserve"> </w:t>
            </w:r>
            <w:r>
              <w:t xml:space="preserve">tool,</w:t>
            </w:r>
            <w:r>
              <w:t xml:space="preserve"> </w:t>
            </w:r>
            <w:r>
              <w:rPr>
                <w:rStyle w:val="VerbatimChar"/>
              </w:rPr>
              <w:t xml:space="preserve">discoverAgents()</w:t>
            </w:r>
          </w:p>
        </w:tc>
      </w:tr>
      <w:tr>
        <w:tc>
          <w:tcPr/>
          <w:p>
            <w:pPr>
              <w:pStyle w:val="Compact"/>
              <w:jc w:val="left"/>
            </w:pPr>
            <w:r>
              <w:t xml:space="preserve">5</w:t>
            </w:r>
          </w:p>
        </w:tc>
        <w:tc>
          <w:tcPr/>
          <w:p>
            <w:pPr>
              <w:pStyle w:val="Compact"/>
              <w:jc w:val="left"/>
            </w:pPr>
            <w:r>
              <w:t xml:space="preserve">MCP was vapor</w:t>
            </w:r>
          </w:p>
        </w:tc>
        <w:tc>
          <w:tcPr/>
          <w:p>
            <w:pPr>
              <w:pStyle w:val="Compact"/>
              <w:jc w:val="left"/>
            </w:pPr>
            <w:r>
              <w:t xml:space="preserve">MCP JSON-RPC 2.0 server exposing all agents as tools</w:t>
            </w:r>
          </w:p>
        </w:tc>
        <w:tc>
          <w:tcPr/>
          <w:p>
            <w:pPr>
              <w:pStyle w:val="Compact"/>
              <w:jc w:val="left"/>
            </w:pPr>
            <w:r>
              <w:rPr>
                <w:rStyle w:val="VerbatimChar"/>
              </w:rPr>
              <w:t xml:space="preserve">mcp/agent-server.ts</w:t>
            </w:r>
            <w:r>
              <w:t xml:space="preserve"> </w:t>
            </w:r>
            <w:r>
              <w:t xml:space="preserve">—</w:t>
            </w:r>
            <w:r>
              <w:t xml:space="preserve"> </w:t>
            </w:r>
            <w:r>
              <w:rPr>
                <w:rStyle w:val="VerbatimChar"/>
              </w:rPr>
              <w:t xml:space="preserve">/mcp</w:t>
            </w:r>
            <w:r>
              <w:t xml:space="preserve"> </w:t>
            </w:r>
            <w:r>
              <w:t xml:space="preserve">endpoint</w:t>
            </w:r>
          </w:p>
        </w:tc>
      </w:tr>
      <w:tr>
        <w:tc>
          <w:tcPr/>
          <w:p>
            <w:pPr>
              <w:pStyle w:val="Compact"/>
              <w:jc w:val="left"/>
            </w:pPr>
            <w:r>
              <w:t xml:space="preserve">6</w:t>
            </w:r>
          </w:p>
        </w:tc>
        <w:tc>
          <w:tcPr/>
          <w:p>
            <w:pPr>
              <w:pStyle w:val="Compact"/>
              <w:jc w:val="left"/>
            </w:pPr>
            <w:r>
              <w:t xml:space="preserve">Express monolith only</w:t>
            </w:r>
          </w:p>
        </w:tc>
        <w:tc>
          <w:tcPr/>
          <w:p>
            <w:pPr>
              <w:pStyle w:val="Compact"/>
              <w:jc w:val="left"/>
            </w:pPr>
            <w:r>
              <w:t xml:space="preserve">Event-driven architecture with pub/sub event bus</w:t>
            </w:r>
          </w:p>
        </w:tc>
        <w:tc>
          <w:tcPr/>
          <w:p>
            <w:pPr>
              <w:pStyle w:val="Compact"/>
              <w:jc w:val="left"/>
            </w:pPr>
            <w:r>
              <w:rPr>
                <w:rStyle w:val="VerbatimChar"/>
              </w:rPr>
              <w:t xml:space="preserve">event-bus.ts</w:t>
            </w:r>
            <w:r>
              <w:t xml:space="preserve"> </w:t>
            </w:r>
            <w:r>
              <w:t xml:space="preserve">— pattern subscriptions, Redis Streams</w:t>
            </w:r>
          </w:p>
        </w:tc>
      </w:tr>
    </w:tbl>
    <w:p>
      <w:pPr>
        <w:pStyle w:val="BodyText"/>
      </w:pPr>
      <w:r>
        <w:rPr>
          <w:bCs/>
          <w:b/>
        </w:rPr>
        <w:t xml:space="preserve">Backward compatibility:</w:t>
      </w:r>
      <w:r>
        <w:t xml:space="preserve"> </w:t>
      </w:r>
      <w:r>
        <w:t xml:space="preserve">All 18 existing agents using</w:t>
      </w:r>
      <w:r>
        <w:t xml:space="preserve"> </w:t>
      </w:r>
      <w:r>
        <w:rPr>
          <w:rStyle w:val="VerbatimChar"/>
        </w:rPr>
        <w:t xml:space="preserve">execute()</w:t>
      </w:r>
      <w:r>
        <w:t xml:space="preserve"> </w:t>
      </w:r>
      <w:r>
        <w:t xml:space="preserve">+</w:t>
      </w:r>
      <w:r>
        <w:t xml:space="preserve"> </w:t>
      </w:r>
      <w:r>
        <w:rPr>
          <w:rStyle w:val="VerbatimChar"/>
        </w:rPr>
        <w:t xml:space="preserve">callLLM()</w:t>
      </w:r>
      <w:r>
        <w:t xml:space="preserve"> </w:t>
      </w:r>
      <w:r>
        <w:t xml:space="preserve">continue to work unchanged. The</w:t>
      </w:r>
      <w:r>
        <w:t xml:space="preserve"> </w:t>
      </w:r>
      <w:r>
        <w:rPr>
          <w:rStyle w:val="VerbatimChar"/>
        </w:rPr>
        <w:t xml:space="preserve">callLLM()</w:t>
      </w:r>
      <w:r>
        <w:t xml:space="preserve"> </w:t>
      </w:r>
      <w:r>
        <w:t xml:space="preserve">method now routes through the multi-provider client instead of raw Groq fetch.</w:t>
      </w:r>
    </w:p>
    <w:bookmarkEnd w:id="166"/>
    <w:bookmarkStart w:id="167" w:name="build-for-agents-cli-mcp-skills"/>
    <w:p>
      <w:pPr>
        <w:pStyle w:val="Heading4"/>
      </w:pPr>
      <w:r>
        <w:t xml:space="preserve">10.9.2 Build for Agents: CLI, MCP, Skills</w:t>
      </w:r>
    </w:p>
    <w:p>
      <w:pPr>
        <w:pStyle w:val="FirstParagraph"/>
      </w:pPr>
      <w:r>
        <w:t xml:space="preserve">A parallel insight emerged during implementation:</w:t>
      </w:r>
      <w:r>
        <w:t xml:space="preserve"> </w:t>
      </w:r>
      <w:r>
        <w:rPr>
          <w:bCs/>
          <w:b/>
        </w:rPr>
        <w:t xml:space="preserve">the primary consumers of DWS IQ in 2026 are AI agents, not humans clicking buttons.</w:t>
      </w:r>
      <w:r>
        <w:t xml:space="preserve"> </w:t>
      </w:r>
      <w:r>
        <w:t xml:space="preserve">This led to the</w:t>
      </w:r>
      <w:r>
        <w:t xml:space="preserve"> </w:t>
      </w:r>
      <w:r>
        <w:t xml:space="preserve">“</w:t>
      </w:r>
      <w:r>
        <w:t xml:space="preserve">Build for Agents</w:t>
      </w:r>
      <w:r>
        <w:t xml:space="preserve">”</w:t>
      </w:r>
      <w:r>
        <w:t xml:space="preserve"> </w:t>
      </w:r>
      <w:r>
        <w:t xml:space="preserve">principle:</w:t>
      </w:r>
    </w:p>
    <w:tbl>
      <w:tblPr>
        <w:tblStyle w:val="Table"/>
        <w:tblW w:type="pct" w:w="5000"/>
        <w:tblLook w:firstRow="1" w:lastRow="0" w:firstColumn="0" w:lastColumn="0" w:noHBand="0" w:noVBand="0" w:val="0020"/>
        <w:jc w:val="start"/>
      </w:tblPr>
      <w:tblGrid>
        <w:gridCol w:w="1464"/>
        <w:gridCol w:w="3460"/>
        <w:gridCol w:w="2994"/>
      </w:tblGrid>
      <w:tr>
        <w:trPr>
          <w:tblHeader w:val="true"/>
        </w:trPr>
        <w:tc>
          <w:tcPr/>
          <w:p>
            <w:pPr>
              <w:pStyle w:val="Compact"/>
              <w:jc w:val="left"/>
            </w:pPr>
            <w:r>
              <w:t xml:space="preserve">Surface</w:t>
            </w:r>
          </w:p>
        </w:tc>
        <w:tc>
          <w:tcPr/>
          <w:p>
            <w:pPr>
              <w:pStyle w:val="Compact"/>
              <w:jc w:val="left"/>
            </w:pPr>
            <w:r>
              <w:t xml:space="preserve">Implementation</w:t>
            </w:r>
          </w:p>
        </w:tc>
        <w:tc>
          <w:tcPr/>
          <w:p>
            <w:pPr>
              <w:pStyle w:val="Compact"/>
              <w:jc w:val="left"/>
            </w:pPr>
            <w:r>
              <w:t xml:space="preserve">Purpose</w:t>
            </w:r>
          </w:p>
        </w:tc>
      </w:tr>
      <w:tr>
        <w:tc>
          <w:tcPr/>
          <w:p>
            <w:pPr>
              <w:pStyle w:val="Compact"/>
              <w:jc w:val="left"/>
            </w:pPr>
            <w:r>
              <w:rPr>
                <w:bCs/>
                <w:b/>
              </w:rPr>
              <w:t xml:space="preserve">CLI</w:t>
            </w:r>
          </w:p>
        </w:tc>
        <w:tc>
          <w:tcPr/>
          <w:p>
            <w:pPr>
              <w:pStyle w:val="Compact"/>
              <w:jc w:val="left"/>
            </w:pPr>
            <w:r>
              <w:rPr>
                <w:rStyle w:val="VerbatimChar"/>
              </w:rPr>
              <w:t xml:space="preserve">cli/src/cli.ts</w:t>
            </w:r>
            <w:r>
              <w:t xml:space="preserve"> </w:t>
            </w:r>
            <w:r>
              <w:t xml:space="preserve">— zero-dependency, JSON-only output</w:t>
            </w:r>
          </w:p>
        </w:tc>
        <w:tc>
          <w:tcPr/>
          <w:p>
            <w:pPr>
              <w:pStyle w:val="Compact"/>
              <w:jc w:val="left"/>
            </w:pPr>
            <w:r>
              <w:t xml:space="preserve">Agents run commands, pipe output</w:t>
            </w:r>
          </w:p>
        </w:tc>
      </w:tr>
      <w:tr>
        <w:tc>
          <w:tcPr/>
          <w:p>
            <w:pPr>
              <w:pStyle w:val="Compact"/>
              <w:jc w:val="left"/>
            </w:pPr>
            <w:r>
              <w:rPr>
                <w:bCs/>
                <w:b/>
              </w:rPr>
              <w:t xml:space="preserve">MCP Server</w:t>
            </w:r>
          </w:p>
        </w:tc>
        <w:tc>
          <w:tcPr/>
          <w:p>
            <w:pPr>
              <w:pStyle w:val="Compact"/>
              <w:jc w:val="left"/>
            </w:pPr>
            <w:r>
              <w:rPr>
                <w:rStyle w:val="VerbatimChar"/>
              </w:rPr>
              <w:t xml:space="preserve">/mcp</w:t>
            </w:r>
            <w:r>
              <w:t xml:space="preserve"> </w:t>
            </w:r>
            <w:r>
              <w:t xml:space="preserve">endpoint, JSON-RPC 2.0</w:t>
            </w:r>
          </w:p>
        </w:tc>
        <w:tc>
          <w:tcPr/>
          <w:p>
            <w:pPr>
              <w:pStyle w:val="Compact"/>
              <w:jc w:val="left"/>
            </w:pPr>
            <w:r>
              <w:t xml:space="preserve">Claude Code / Cursor discover and call agents</w:t>
            </w:r>
          </w:p>
        </w:tc>
      </w:tr>
      <w:tr>
        <w:tc>
          <w:tcPr/>
          <w:p>
            <w:pPr>
              <w:pStyle w:val="Compact"/>
              <w:jc w:val="left"/>
            </w:pPr>
            <w:r>
              <w:rPr>
                <w:bCs/>
                <w:b/>
              </w:rPr>
              <w:t xml:space="preserve">Claude Code Skills</w:t>
            </w:r>
          </w:p>
        </w:tc>
        <w:tc>
          <w:tcPr/>
          <w:p>
            <w:pPr>
              <w:pStyle w:val="Compact"/>
              <w:jc w:val="left"/>
            </w:pPr>
            <w:r>
              <w:rPr>
                <w:rStyle w:val="VerbatimChar"/>
              </w:rPr>
              <w:t xml:space="preserve">.claude/commands/*.md</w:t>
            </w:r>
            <w:r>
              <w:t xml:space="preserve"> </w:t>
            </w:r>
            <w:r>
              <w:t xml:space="preserve">(6 skills)</w:t>
            </w:r>
          </w:p>
        </w:tc>
        <w:tc>
          <w:tcPr/>
          <w:p>
            <w:pPr>
              <w:pStyle w:val="Compact"/>
              <w:jc w:val="left"/>
            </w:pPr>
            <w:r>
              <w:t xml:space="preserve">Natural language → agent execution</w:t>
            </w:r>
          </w:p>
        </w:tc>
      </w:tr>
      <w:tr>
        <w:tc>
          <w:tcPr/>
          <w:p>
            <w:pPr>
              <w:pStyle w:val="Compact"/>
              <w:jc w:val="left"/>
            </w:pPr>
            <w:r>
              <w:rPr>
                <w:bCs/>
                <w:b/>
              </w:rPr>
              <w:t xml:space="preserve">REST API</w:t>
            </w:r>
          </w:p>
        </w:tc>
        <w:tc>
          <w:tcPr/>
          <w:p>
            <w:pPr>
              <w:pStyle w:val="Compact"/>
              <w:jc w:val="left"/>
            </w:pPr>
            <w:r>
              <w:rPr>
                <w:rStyle w:val="VerbatimChar"/>
              </w:rPr>
              <w:t xml:space="preserve">/api/agents/*</w:t>
            </w:r>
            <w:r>
              <w:t xml:space="preserve"> </w:t>
            </w:r>
            <w:r>
              <w:t xml:space="preserve">(existing + new endpoints)</w:t>
            </w:r>
          </w:p>
        </w:tc>
        <w:tc>
          <w:tcPr/>
          <w:p>
            <w:pPr>
              <w:pStyle w:val="Compact"/>
              <w:jc w:val="left"/>
            </w:pPr>
            <w:r>
              <w:t xml:space="preserve">Traditional integration</w:t>
            </w:r>
          </w:p>
        </w:tc>
      </w:tr>
      <w:tr>
        <w:tc>
          <w:tcPr/>
          <w:p>
            <w:pPr>
              <w:pStyle w:val="Compact"/>
              <w:jc w:val="left"/>
            </w:pPr>
            <w:r>
              <w:rPr>
                <w:bCs/>
                <w:b/>
              </w:rPr>
              <w:t xml:space="preserve">Event Bus</w:t>
            </w:r>
          </w:p>
        </w:tc>
        <w:tc>
          <w:tcPr/>
          <w:p>
            <w:pPr>
              <w:pStyle w:val="Compact"/>
              <w:jc w:val="left"/>
            </w:pPr>
            <w:r>
              <w:t xml:space="preserve">Pattern-based pub/sub + SSE streaming</w:t>
            </w:r>
          </w:p>
        </w:tc>
        <w:tc>
          <w:tcPr/>
          <w:p>
            <w:pPr>
              <w:pStyle w:val="Compact"/>
              <w:jc w:val="left"/>
            </w:pPr>
            <w:r>
              <w:t xml:space="preserve">Real-time agent coordination</w:t>
            </w:r>
          </w:p>
        </w:tc>
      </w:tr>
    </w:tbl>
    <w:p>
      <w:pPr>
        <w:pStyle w:val="BodyText"/>
      </w:pPr>
      <w:r>
        <w:rPr>
          <w:bCs/>
          <w:b/>
        </w:rPr>
        <w:t xml:space="preserve">Key CLI commands:</w:t>
      </w:r>
    </w:p>
    <w:p>
      <w:pPr>
        <w:pStyle w:val="SourceCode"/>
      </w:pPr>
      <w:r>
        <w:rPr>
          <w:rStyle w:val="VerbatimChar"/>
        </w:rPr>
        <w:t xml:space="preserve">dws agents                              # List all agents (JSON)</w:t>
      </w:r>
      <w:r>
        <w:br/>
      </w:r>
      <w:r>
        <w:rPr>
          <w:rStyle w:val="VerbatimChar"/>
        </w:rPr>
        <w:t xml:space="preserve">dws run compliance --input '{"reg":"CSRD"}'  # Execute agent</w:t>
      </w:r>
      <w:r>
        <w:br/>
      </w:r>
      <w:r>
        <w:rPr>
          <w:rStyle w:val="VerbatimChar"/>
        </w:rPr>
        <w:t xml:space="preserve">dws discover carbon                      # Find agents by capability</w:t>
      </w:r>
      <w:r>
        <w:br/>
      </w:r>
      <w:r>
        <w:rPr>
          <w:rStyle w:val="VerbatimChar"/>
        </w:rPr>
        <w:t xml:space="preserve">dws workflow compliance-assessment       # Multi-agent workflow</w:t>
      </w:r>
    </w:p>
    <w:bookmarkEnd w:id="167"/>
    <w:bookmarkStart w:id="168" w:name="Xf75d4621e92dda4e0d054559ed84a4ef0c794d9"/>
    <w:p>
      <w:pPr>
        <w:pStyle w:val="Heading4"/>
      </w:pPr>
      <w:r>
        <w:t xml:space="preserve">10.9.3 EU AI Act Article 12 Compliance via Loop Logging</w:t>
      </w:r>
    </w:p>
    <w:p>
      <w:pPr>
        <w:pStyle w:val="FirstParagraph"/>
      </w:pPr>
      <w:r>
        <w:t xml:space="preserve">The agentic loop architecture inherently satisfies Article 12’s automatic logging requirement. Each loop iteration records:</w:t>
      </w:r>
    </w:p>
    <w:p>
      <w:pPr>
        <w:numPr>
          <w:ilvl w:val="0"/>
          <w:numId w:val="1059"/>
        </w:numPr>
        <w:pStyle w:val="Compact"/>
      </w:pPr>
      <w:r>
        <w:rPr>
          <w:bCs/>
          <w:b/>
        </w:rPr>
        <w:t xml:space="preserve">Observation:</w:t>
      </w:r>
      <w:r>
        <w:t xml:space="preserve"> </w:t>
      </w:r>
      <w:r>
        <w:t xml:space="preserve">What the agent perceived</w:t>
      </w:r>
    </w:p>
    <w:p>
      <w:pPr>
        <w:numPr>
          <w:ilvl w:val="0"/>
          <w:numId w:val="1059"/>
        </w:numPr>
        <w:pStyle w:val="Compact"/>
      </w:pPr>
      <w:r>
        <w:rPr>
          <w:bCs/>
          <w:b/>
        </w:rPr>
        <w:t xml:space="preserve">Thought:</w:t>
      </w:r>
      <w:r>
        <w:t xml:space="preserve"> </w:t>
      </w:r>
      <w:r>
        <w:t xml:space="preserve">The LLM’s reasoning (token-level)</w:t>
      </w:r>
    </w:p>
    <w:p>
      <w:pPr>
        <w:numPr>
          <w:ilvl w:val="0"/>
          <w:numId w:val="1059"/>
        </w:numPr>
        <w:pStyle w:val="Compact"/>
      </w:pPr>
      <w:r>
        <w:rPr>
          <w:bCs/>
          <w:b/>
        </w:rPr>
        <w:t xml:space="preserve">Actions:</w:t>
      </w:r>
      <w:r>
        <w:t xml:space="preserve"> </w:t>
      </w:r>
      <w:r>
        <w:t xml:space="preserve">Tool calls made (with arguments)</w:t>
      </w:r>
    </w:p>
    <w:p>
      <w:pPr>
        <w:numPr>
          <w:ilvl w:val="0"/>
          <w:numId w:val="1059"/>
        </w:numPr>
        <w:pStyle w:val="Compact"/>
      </w:pPr>
      <w:r>
        <w:rPr>
          <w:bCs/>
          <w:b/>
        </w:rPr>
        <w:t xml:space="preserve">Results:</w:t>
      </w:r>
      <w:r>
        <w:t xml:space="preserve"> </w:t>
      </w:r>
      <w:r>
        <w:t xml:space="preserve">Tool outputs returned</w:t>
      </w:r>
    </w:p>
    <w:p>
      <w:pPr>
        <w:numPr>
          <w:ilvl w:val="0"/>
          <w:numId w:val="1059"/>
        </w:numPr>
        <w:pStyle w:val="Compact"/>
      </w:pPr>
      <w:r>
        <w:rPr>
          <w:bCs/>
          <w:b/>
        </w:rPr>
        <w:t xml:space="preserve">Timestamp and duration:</w:t>
      </w:r>
      <w:r>
        <w:t xml:space="preserve"> </w:t>
      </w:r>
      <w:r>
        <w:t xml:space="preserve">Per-iteration timing</w:t>
      </w:r>
    </w:p>
    <w:p>
      <w:pPr>
        <w:pStyle w:val="FirstParagraph"/>
      </w:pPr>
      <w:r>
        <w:t xml:space="preserve">These are persisted to the</w:t>
      </w:r>
      <w:r>
        <w:t xml:space="preserve"> </w:t>
      </w:r>
      <w:r>
        <w:rPr>
          <w:rStyle w:val="VerbatimChar"/>
        </w:rPr>
        <w:t xml:space="preserve">agent_loop_iterations</w:t>
      </w:r>
      <w:r>
        <w:t xml:space="preserve"> </w:t>
      </w:r>
      <w:r>
        <w:t xml:space="preserve">Supabase table, creating a complete reasoning lineage from input to output — a requirement that single-shot architectures cannot fulfill.</w:t>
      </w:r>
    </w:p>
    <w:bookmarkEnd w:id="168"/>
    <w:bookmarkStart w:id="169" w:name="research-contribution-2"/>
    <w:p>
      <w:pPr>
        <w:pStyle w:val="Heading4"/>
      </w:pPr>
      <w:r>
        <w:t xml:space="preserve">10.9.4 Research Contribution</w:t>
      </w:r>
    </w:p>
    <w:p>
      <w:pPr>
        <w:pStyle w:val="FirstParagraph"/>
      </w:pPr>
      <w:r>
        <w:t xml:space="preserve">This modernization validates two thesis hypotheses:</w:t>
      </w:r>
    </w:p>
    <w:p>
      <w:pPr>
        <w:numPr>
          <w:ilvl w:val="0"/>
          <w:numId w:val="1060"/>
        </w:numPr>
      </w:pPr>
      <w:r>
        <w:rPr>
          <w:bCs/>
          <w:b/>
        </w:rPr>
        <w:t xml:space="preserve">Solution Factory replicability (Section 4.1):</w:t>
      </w:r>
      <w:r>
        <w:t xml:space="preserve"> </w:t>
      </w:r>
      <w:r>
        <w:t xml:space="preserve">The entire six-fix modernization was designed, implemented, and documented in a single AI-assisted session — demonstrating that the Firehorse operating model scales to architectural refactoring, not just product catalog management.</w:t>
      </w:r>
    </w:p>
    <w:p>
      <w:pPr>
        <w:numPr>
          <w:ilvl w:val="0"/>
          <w:numId w:val="1060"/>
        </w:numPr>
      </w:pPr>
      <w:r>
        <w:rPr>
          <w:bCs/>
          <w:b/>
        </w:rPr>
        <w:t xml:space="preserve">Lifetime Scope Signals evolution (Section 2.5.2):</w:t>
      </w:r>
      <w:r>
        <w:t xml:space="preserve"> </w:t>
      </w:r>
      <w:r>
        <w:t xml:space="preserve">The event bus (</w:t>
      </w:r>
      <w:r>
        <w:rPr>
          <w:rStyle w:val="VerbatimChar"/>
        </w:rPr>
        <w:t xml:space="preserve">event-bus.ts</w:t>
      </w:r>
      <w:r>
        <w:t xml:space="preserve">) is the production implementation of the theoretical signal emission protocol. Agents emit structured events (</w:t>
      </w:r>
      <w:r>
        <w:rPr>
          <w:rStyle w:val="VerbatimChar"/>
        </w:rPr>
        <w:t xml:space="preserve">agent.execution_complete</w:t>
      </w:r>
      <w:r>
        <w:t xml:space="preserve">,</w:t>
      </w:r>
      <w:r>
        <w:t xml:space="preserve"> </w:t>
      </w:r>
      <w:r>
        <w:rPr>
          <w:rStyle w:val="VerbatimChar"/>
        </w:rPr>
        <w:t xml:space="preserve">compliance.check_passed</w:t>
      </w:r>
      <w:r>
        <w:t xml:space="preserve">) that other agents subscribe to — exactly the</w:t>
      </w:r>
      <w:r>
        <w:t xml:space="preserve"> </w:t>
      </w:r>
      <w:r>
        <w:t xml:space="preserve">“</w:t>
      </w:r>
      <w:r>
        <w:t xml:space="preserve">declarative signal emission</w:t>
      </w:r>
      <w:r>
        <w:t xml:space="preserve">”</w:t>
      </w:r>
      <w:r>
        <w:t xml:space="preserve"> </w:t>
      </w:r>
      <w:r>
        <w:t xml:space="preserve">pattern described in the V1.0 Agent Fleet specification.</w:t>
      </w:r>
    </w:p>
    <w:p>
      <w:r>
        <w:pict>
          <v:rect style="width:0;height:1.5pt" o:hralign="center" o:hrstd="t" o:hr="t"/>
        </w:pict>
      </w:r>
    </w:p>
    <w:bookmarkEnd w:id="169"/>
    <w:bookmarkEnd w:id="170"/>
    <w:bookmarkEnd w:id="171"/>
    <w:bookmarkStart w:id="180" w:name="Xe5095942b829afa9809ccb9df6d03fac1df0179"/>
    <w:p>
      <w:pPr>
        <w:pStyle w:val="Heading2"/>
      </w:pPr>
      <w:r>
        <w:t xml:space="preserve">10.10 Agent Foundry Stage 1.5: OpenSandbox on Acer Veriton GN100</w:t>
      </w:r>
    </w:p>
    <w:p>
      <w:pPr>
        <w:pStyle w:val="FirstParagraph"/>
      </w:pPr>
      <w:r>
        <w:rPr>
          <w:iCs/>
          <w:i/>
        </w:rPr>
        <w:t xml:space="preserve">Session: claude/sandbox-agents-opensandbox-HatfC | Date: 01.03.2026</w:t>
      </w:r>
    </w:p>
    <w:bookmarkStart w:id="172" w:name="background-1"/>
    <w:p>
      <w:pPr>
        <w:pStyle w:val="Heading3"/>
      </w:pPr>
      <w:r>
        <w:t xml:space="preserve">10.10.1 Background</w:t>
      </w:r>
    </w:p>
    <w:p>
      <w:pPr>
        <w:pStyle w:val="FirstParagraph"/>
      </w:pPr>
      <w:r>
        <w:t xml:space="preserve">The DWS IQ 6 Agent Foundry required an intermediate isolation layer between Stage 1 (Anthropic SDK sandbox, demo-grade) and Stage 2 (Cloud Run ephemeral containers, paid multi-tenant). Stage 1.5 fills this gap with</w:t>
      </w:r>
      <w:r>
        <w:t xml:space="preserve"> </w:t>
      </w:r>
      <w:r>
        <w:rPr>
          <w:bCs/>
          <w:b/>
        </w:rPr>
        <w:t xml:space="preserve">OpenSandbox</w:t>
      </w:r>
      <w:r>
        <w:t xml:space="preserve"> </w:t>
      </w:r>
      <w:r>
        <w:t xml:space="preserve">(https://github.com/alibaba/OpenSandbox) running on the</w:t>
      </w:r>
      <w:r>
        <w:t xml:space="preserve"> </w:t>
      </w:r>
      <w:r>
        <w:rPr>
          <w:bCs/>
          <w:b/>
        </w:rPr>
        <w:t xml:space="preserve">Acer Veriton GN100</w:t>
      </w:r>
      <w:r>
        <w:t xml:space="preserve"> </w:t>
      </w:r>
      <w:r>
        <w:t xml:space="preserve">edge node (120 GiB RAM, 20 cores, Helsinki Lab).</w:t>
      </w:r>
    </w:p>
    <w:bookmarkEnd w:id="172"/>
    <w:bookmarkStart w:id="173" w:name="stage-progression"/>
    <w:p>
      <w:pPr>
        <w:pStyle w:val="Heading3"/>
      </w:pPr>
      <w:r>
        <w:t xml:space="preserve">10.10.2 Stage Progression</w:t>
      </w:r>
    </w:p>
    <w:tbl>
      <w:tblPr>
        <w:tblStyle w:val="Table"/>
        <w:tblW w:type="pct" w:w="5000"/>
        <w:tblLook w:firstRow="1" w:lastRow="0" w:firstColumn="0" w:lastColumn="0" w:noHBand="0" w:noVBand="0" w:val="0020"/>
        <w:jc w:val="start"/>
      </w:tblPr>
      <w:tblGrid>
        <w:gridCol w:w="1409"/>
        <w:gridCol w:w="3154"/>
        <w:gridCol w:w="2282"/>
        <w:gridCol w:w="1073"/>
      </w:tblGrid>
      <w:tr>
        <w:trPr>
          <w:tblHeader w:val="true"/>
        </w:trPr>
        <w:tc>
          <w:tcPr/>
          <w:p>
            <w:pPr>
              <w:pStyle w:val="Compact"/>
              <w:jc w:val="left"/>
            </w:pPr>
            <w:r>
              <w:t xml:space="preserve">Stage</w:t>
            </w:r>
          </w:p>
        </w:tc>
        <w:tc>
          <w:tcPr/>
          <w:p>
            <w:pPr>
              <w:pStyle w:val="Compact"/>
              <w:jc w:val="left"/>
            </w:pPr>
            <w:r>
              <w:t xml:space="preserve">Isolation Method</w:t>
            </w:r>
          </w:p>
        </w:tc>
        <w:tc>
          <w:tcPr/>
          <w:p>
            <w:pPr>
              <w:pStyle w:val="Compact"/>
              <w:jc w:val="left"/>
            </w:pPr>
            <w:r>
              <w:t xml:space="preserve">Best For</w:t>
            </w:r>
          </w:p>
        </w:tc>
        <w:tc>
          <w:tcPr/>
          <w:p>
            <w:pPr>
              <w:pStyle w:val="Compact"/>
              <w:jc w:val="left"/>
            </w:pPr>
            <w:r>
              <w:t xml:space="preserve">Cost</w:t>
            </w:r>
          </w:p>
        </w:tc>
      </w:tr>
      <w:tr>
        <w:tc>
          <w:tcPr/>
          <w:p>
            <w:pPr>
              <w:pStyle w:val="Compact"/>
              <w:jc w:val="left"/>
            </w:pPr>
            <w:r>
              <w:t xml:space="preserve">1 — SDK Sandbox</w:t>
            </w:r>
          </w:p>
        </w:tc>
        <w:tc>
          <w:tcPr/>
          <w:p>
            <w:pPr>
              <w:pStyle w:val="Compact"/>
              <w:jc w:val="left"/>
            </w:pPr>
            <w:r>
              <w:t xml:space="preserve">Anthropic Agent SDK (bubblewrap/seatbelt)</w:t>
            </w:r>
          </w:p>
        </w:tc>
        <w:tc>
          <w:tcPr/>
          <w:p>
            <w:pPr>
              <w:pStyle w:val="Compact"/>
              <w:jc w:val="left"/>
            </w:pPr>
            <w:r>
              <w:t xml:space="preserve">Demo, single-tenant pilots</w:t>
            </w:r>
          </w:p>
        </w:tc>
        <w:tc>
          <w:tcPr/>
          <w:p>
            <w:pPr>
              <w:pStyle w:val="Compact"/>
              <w:jc w:val="left"/>
            </w:pPr>
            <w:r>
              <w:t xml:space="preserve">€0</w:t>
            </w:r>
          </w:p>
        </w:tc>
      </w:tr>
      <w:tr>
        <w:tc>
          <w:tcPr/>
          <w:p>
            <w:pPr>
              <w:pStyle w:val="Compact"/>
              <w:jc w:val="left"/>
            </w:pPr>
            <w:r>
              <w:rPr>
                <w:bCs/>
                <w:b/>
              </w:rPr>
              <w:t xml:space="preserve">1.5 — OpenSandbox</w:t>
            </w:r>
          </w:p>
        </w:tc>
        <w:tc>
          <w:tcPr/>
          <w:p>
            <w:pPr>
              <w:pStyle w:val="Compact"/>
              <w:jc w:val="left"/>
            </w:pPr>
            <w:r>
              <w:rPr>
                <w:bCs/>
                <w:b/>
              </w:rPr>
              <w:t xml:space="preserve">Docker on Acer Veriton GN100 (Helsinki Lab)</w:t>
            </w:r>
          </w:p>
        </w:tc>
        <w:tc>
          <w:tcPr/>
          <w:p>
            <w:pPr>
              <w:pStyle w:val="Compact"/>
              <w:jc w:val="left"/>
            </w:pPr>
            <w:r>
              <w:rPr>
                <w:bCs/>
                <w:b/>
              </w:rPr>
              <w:t xml:space="preserve">EU air-gapped, internal pilots</w:t>
            </w:r>
          </w:p>
        </w:tc>
        <w:tc>
          <w:tcPr/>
          <w:p>
            <w:pPr>
              <w:pStyle w:val="Compact"/>
              <w:jc w:val="left"/>
            </w:pPr>
            <w:r>
              <w:rPr>
                <w:bCs/>
                <w:b/>
              </w:rPr>
              <w:t xml:space="preserve">€0 (HW only)</w:t>
            </w:r>
          </w:p>
        </w:tc>
      </w:tr>
      <w:tr>
        <w:tc>
          <w:tcPr/>
          <w:p>
            <w:pPr>
              <w:pStyle w:val="Compact"/>
              <w:jc w:val="left"/>
            </w:pPr>
            <w:r>
              <w:t xml:space="preserve">2 — Cloud Run</w:t>
            </w:r>
          </w:p>
        </w:tc>
        <w:tc>
          <w:tcPr/>
          <w:p>
            <w:pPr>
              <w:pStyle w:val="Compact"/>
              <w:jc w:val="left"/>
            </w:pPr>
            <w:r>
              <w:t xml:space="preserve">Ephemeral containers (europe-north1)</w:t>
            </w:r>
          </w:p>
        </w:tc>
        <w:tc>
          <w:tcPr/>
          <w:p>
            <w:pPr>
              <w:pStyle w:val="Compact"/>
              <w:jc w:val="left"/>
            </w:pPr>
            <w:r>
              <w:t xml:space="preserve">Paid multi-tenant</w:t>
            </w:r>
          </w:p>
        </w:tc>
        <w:tc>
          <w:tcPr/>
          <w:p>
            <w:pPr>
              <w:pStyle w:val="Compact"/>
              <w:jc w:val="left"/>
            </w:pPr>
            <w:r>
              <w:t xml:space="preserve">~€20-50/mo</w:t>
            </w:r>
          </w:p>
        </w:tc>
      </w:tr>
      <w:tr>
        <w:tc>
          <w:tcPr/>
          <w:p>
            <w:pPr>
              <w:pStyle w:val="Compact"/>
              <w:jc w:val="left"/>
            </w:pPr>
            <w:r>
              <w:t xml:space="preserve">3 — Persistent</w:t>
            </w:r>
          </w:p>
        </w:tc>
        <w:tc>
          <w:tcPr/>
          <w:p>
            <w:pPr>
              <w:pStyle w:val="Compact"/>
              <w:jc w:val="left"/>
            </w:pPr>
            <w:r>
              <w:t xml:space="preserve">gVisor/Firecracker per tenant</w:t>
            </w:r>
          </w:p>
        </w:tc>
        <w:tc>
          <w:tcPr/>
          <w:p>
            <w:pPr>
              <w:pStyle w:val="Compact"/>
              <w:jc w:val="left"/>
            </w:pPr>
            <w:r>
              <w:t xml:space="preserve">Scale (€50k+ MRR)</w:t>
            </w:r>
          </w:p>
        </w:tc>
        <w:tc>
          <w:tcPr/>
          <w:p>
            <w:pPr>
              <w:pStyle w:val="Compact"/>
              <w:jc w:val="left"/>
            </w:pPr>
            <w:r>
              <w:t xml:space="preserve">€200+/mo</w:t>
            </w:r>
          </w:p>
        </w:tc>
      </w:tr>
    </w:tbl>
    <w:p>
      <w:pPr>
        <w:pStyle w:val="BodyText"/>
      </w:pPr>
      <w:r>
        <w:t xml:space="preserve">Activation:</w:t>
      </w:r>
      <w:r>
        <w:t xml:space="preserve"> </w:t>
      </w:r>
      <w:r>
        <w:rPr>
          <w:rStyle w:val="VerbatimChar"/>
        </w:rPr>
        <w:t xml:space="preserve">SANDBOX_STAGE=opensandbox</w:t>
      </w:r>
      <w:r>
        <w:t xml:space="preserve"> </w:t>
      </w:r>
      <w:r>
        <w:t xml:space="preserve">+</w:t>
      </w:r>
      <w:r>
        <w:t xml:space="preserve"> </w:t>
      </w:r>
      <w:r>
        <w:rPr>
          <w:rStyle w:val="VerbatimChar"/>
        </w:rPr>
        <w:t xml:space="preserve">OPENSANDBOX_HOST=http://&lt;veriton-ip&gt;:8080</w:t>
      </w:r>
    </w:p>
    <w:bookmarkEnd w:id="173"/>
    <w:bookmarkStart w:id="174" w:name="opensandbox-architecture"/>
    <w:p>
      <w:pPr>
        <w:pStyle w:val="Heading3"/>
      </w:pPr>
      <w:r>
        <w:t xml:space="preserve">10.10.3 OpenSandbox Architecture</w:t>
      </w:r>
    </w:p>
    <w:p>
      <w:pPr>
        <w:pStyle w:val="FirstParagraph"/>
      </w:pPr>
      <w:r>
        <w:t xml:space="preserve">OpenSandbox provides Docker-based isolation with a TypeScript SDK and a REST API server. Each agent task creates a dedicated ephemeral container, executes within it, and the container is destroyed upon completion:</w:t>
      </w:r>
    </w:p>
    <w:p>
      <w:pPr>
        <w:pStyle w:val="SourceCode"/>
      </w:pPr>
      <w:r>
        <w:rPr>
          <w:rStyle w:val="VerbatimChar"/>
        </w:rPr>
        <w:t xml:space="preserve">DWS Express Backend (EU Cloud Run)</w:t>
      </w:r>
      <w:r>
        <w:br/>
      </w:r>
      <w:r>
        <w:rPr>
          <w:rStyle w:val="VerbatimChar"/>
        </w:rPr>
        <w:t xml:space="preserve">  └── OpenSandboxClient (src/sandbox/opensandbox.ts)</w:t>
      </w:r>
      <w:r>
        <w:br/>
      </w:r>
      <w:r>
        <w:rPr>
          <w:rStyle w:val="VerbatimChar"/>
        </w:rPr>
        <w:t xml:space="preserve">        └── OpenSandbox REST API (:8080)</w:t>
      </w:r>
      <w:r>
        <w:br/>
      </w:r>
      <w:r>
        <w:rPr>
          <w:rStyle w:val="VerbatimChar"/>
        </w:rPr>
        <w:t xml:space="preserve">              └── Docker Containers (Acer Veriton GN100, Helsinki Lab)</w:t>
      </w:r>
      <w:r>
        <w:br/>
      </w:r>
      <w:r>
        <w:rPr>
          <w:rStyle w:val="VerbatimChar"/>
        </w:rPr>
        <w:t xml:space="preserve">                    └── Agent task (ephemeral, destroyed post-execution)</w:t>
      </w:r>
    </w:p>
    <w:p>
      <w:pPr>
        <w:pStyle w:val="FirstParagraph"/>
      </w:pPr>
      <w:r>
        <w:t xml:space="preserve">Security properties: filesystem isolation per task, network egress deny-by-default with explicit domain allow-list (</w:t>
      </w:r>
      <w:r>
        <w:rPr>
          <w:rStyle w:val="VerbatimChar"/>
        </w:rPr>
        <w:t xml:space="preserve">api.anthropic.com</w:t>
      </w:r>
      <w:r>
        <w:t xml:space="preserve">,</w:t>
      </w:r>
      <w:r>
        <w:t xml:space="preserve"> </w:t>
      </w:r>
      <w:r>
        <w:rPr>
          <w:rStyle w:val="VerbatimChar"/>
        </w:rPr>
        <w:t xml:space="preserve">api.groq.com</w:t>
      </w:r>
      <w:r>
        <w:t xml:space="preserve">, MCP Hub), EU data residency enforced at hardware level.</w:t>
      </w:r>
    </w:p>
    <w:bookmarkEnd w:id="174"/>
    <w:bookmarkStart w:id="175" w:name="agent-memory-empo²-arxiv2602.23008"/>
    <w:p>
      <w:pPr>
        <w:pStyle w:val="Heading3"/>
      </w:pPr>
      <w:r>
        <w:t xml:space="preserve">10.10.4 Agent Memory: EMPO² (arXiv:2602.23008)</w:t>
      </w:r>
    </w:p>
    <w:p>
      <w:pPr>
        <w:pStyle w:val="FirstParagraph"/>
      </w:pPr>
      <w:r>
        <w:t xml:space="preserve">The OpenSandbox integration coincides with important new research on agent memory. The paper</w:t>
      </w:r>
      <w:r>
        <w:t xml:space="preserve"> </w:t>
      </w:r>
      <w:r>
        <w:rPr>
          <w:iCs/>
          <w:i/>
        </w:rPr>
        <w:t xml:space="preserve">“</w:t>
      </w:r>
      <w:r>
        <w:rPr>
          <w:iCs/>
          <w:i/>
        </w:rPr>
        <w:t xml:space="preserve">Exploratory Memory-Augmented LLM Agent via Hybrid On- and Off-Policy Optimization</w:t>
      </w:r>
      <w:r>
        <w:rPr>
          <w:iCs/>
          <w:i/>
        </w:rPr>
        <w:t xml:space="preserve">”</w:t>
      </w:r>
      <w:r>
        <w:t xml:space="preserve"> </w:t>
      </w:r>
      <w:r>
        <w:t xml:space="preserve">(EMPO², February 2026) proposes a hybrid RL framework that addresses the core bottleneck of LLM agent training:</w:t>
      </w:r>
      <w:r>
        <w:t xml:space="preserve"> </w:t>
      </w:r>
      <w:r>
        <w:rPr>
          <w:bCs/>
          <w:b/>
        </w:rPr>
        <w:t xml:space="preserve">exploration in novel environments</w:t>
      </w:r>
      <w:r>
        <w:t xml:space="preserve">.</w:t>
      </w:r>
    </w:p>
    <w:p>
      <w:pPr>
        <w:pStyle w:val="BodyText"/>
      </w:pPr>
      <w:r>
        <w:rPr>
          <w:bCs/>
          <w:b/>
        </w:rPr>
        <w:t xml:space="preserve">EMPO² dual-update mechanism:</w:t>
      </w:r>
    </w:p>
    <w:p>
      <w:pPr>
        <w:numPr>
          <w:ilvl w:val="0"/>
          <w:numId w:val="1061"/>
        </w:numPr>
        <w:pStyle w:val="Compact"/>
      </w:pPr>
      <w:r>
        <w:rPr>
          <w:bCs/>
          <w:b/>
        </w:rPr>
        <w:t xml:space="preserve">Parametric updates</w:t>
      </w:r>
      <w:r>
        <w:t xml:space="preserve"> </w:t>
      </w:r>
      <w:r>
        <w:t xml:space="preserve">(RL): fine-tunes model weights using on/off-policy rollouts</w:t>
      </w:r>
    </w:p>
    <w:p>
      <w:pPr>
        <w:numPr>
          <w:ilvl w:val="0"/>
          <w:numId w:val="1061"/>
        </w:numPr>
        <w:pStyle w:val="Compact"/>
      </w:pPr>
      <w:r>
        <w:rPr>
          <w:bCs/>
          <w:b/>
        </w:rPr>
        <w:t xml:space="preserve">Non-parametric updates</w:t>
      </w:r>
      <w:r>
        <w:t xml:space="preserve"> </w:t>
      </w:r>
      <w:r>
        <w:t xml:space="preserve">(memory): stores and retrieves task-specific</w:t>
      </w:r>
      <w:r>
        <w:t xml:space="preserve"> </w:t>
      </w:r>
      <w:r>
        <w:t xml:space="preserve">“</w:t>
      </w:r>
      <w:r>
        <w:t xml:space="preserve">tips</w:t>
      </w:r>
      <w:r>
        <w:t xml:space="preserve">”</w:t>
      </w:r>
      <w:r>
        <w:t xml:space="preserve"> </w:t>
      </w:r>
      <w:r>
        <w:t xml:space="preserve">from a memory buffer during rollouts</w:t>
      </w:r>
    </w:p>
    <w:p>
      <w:pPr>
        <w:numPr>
          <w:ilvl w:val="0"/>
          <w:numId w:val="1061"/>
        </w:numPr>
        <w:pStyle w:val="Compact"/>
      </w:pPr>
      <w:r>
        <w:rPr>
          <w:bCs/>
          <w:b/>
        </w:rPr>
        <w:t xml:space="preserve">Two rollout modes</w:t>
      </w:r>
      <w:r>
        <w:t xml:space="preserve">: with memory (retrieval-augmented) and without memory (parametric only)</w:t>
      </w:r>
    </w:p>
    <w:p>
      <w:pPr>
        <w:numPr>
          <w:ilvl w:val="0"/>
          <w:numId w:val="1061"/>
        </w:numPr>
        <w:pStyle w:val="Compact"/>
      </w:pPr>
      <w:r>
        <w:rPr>
          <w:bCs/>
          <w:b/>
        </w:rPr>
        <w:t xml:space="preserve">Two update modes</w:t>
      </w:r>
      <w:r>
        <w:t xml:space="preserve">: on-policy (tips retained during update) and off-policy (tips removed during update)</w:t>
      </w:r>
    </w:p>
    <w:p>
      <w:pPr>
        <w:pStyle w:val="FirstParagraph"/>
      </w:pPr>
      <w:r>
        <w:rPr>
          <w:bCs/>
          <w:b/>
        </w:rPr>
        <w:t xml:space="preserve">Results:</w:t>
      </w:r>
      <w:r>
        <w:t xml:space="preserve"> </w:t>
      </w:r>
      <w:r>
        <w:t xml:space="preserve">128.6% improvement over GRPO on ScienceWorld, 11.3% on WebShop, with superior out-of-distribution generalization requiring only a few memory trials (no parameter updates) for new tasks.</w:t>
      </w:r>
    </w:p>
    <w:p>
      <w:pPr>
        <w:pStyle w:val="BodyText"/>
      </w:pPr>
      <w:r>
        <w:rPr>
          <w:bCs/>
          <w:b/>
        </w:rPr>
        <w:t xml:space="preserve">Relevance to DWS IQ 6 / Lifetime World Model:</w:t>
      </w:r>
    </w:p>
    <w:p>
      <w:pPr>
        <w:pStyle w:val="BodyText"/>
      </w:pPr>
      <w:r>
        <w:t xml:space="preserve">The DWS Lifetime World Model (LWM) already combines both memory types theoretically proposed by EMPO²:</w:t>
      </w:r>
    </w:p>
    <w:tbl>
      <w:tblPr>
        <w:tblStyle w:val="Table"/>
        <w:tblW w:type="pct" w:w="5000"/>
        <w:tblLook w:firstRow="1" w:lastRow="0" w:firstColumn="0" w:lastColumn="0" w:noHBand="0" w:noVBand="0" w:val="0020"/>
        <w:jc w:val="start"/>
      </w:tblPr>
      <w:tblGrid>
        <w:gridCol w:w="2278"/>
        <w:gridCol w:w="5641"/>
      </w:tblGrid>
      <w:tr>
        <w:trPr>
          <w:tblHeader w:val="true"/>
        </w:trPr>
        <w:tc>
          <w:tcPr/>
          <w:p>
            <w:pPr>
              <w:pStyle w:val="Compact"/>
              <w:jc w:val="left"/>
            </w:pPr>
            <w:r>
              <w:t xml:space="preserve">EMPO² Component</w:t>
            </w:r>
          </w:p>
        </w:tc>
        <w:tc>
          <w:tcPr/>
          <w:p>
            <w:pPr>
              <w:pStyle w:val="Compact"/>
              <w:jc w:val="left"/>
            </w:pPr>
            <w:r>
              <w:t xml:space="preserve">DWS LWM Equivalent</w:t>
            </w:r>
          </w:p>
        </w:tc>
      </w:tr>
      <w:tr>
        <w:tc>
          <w:tcPr/>
          <w:p>
            <w:pPr>
              <w:pStyle w:val="Compact"/>
              <w:jc w:val="left"/>
            </w:pPr>
            <w:r>
              <w:t xml:space="preserve">Parametric memory</w:t>
            </w:r>
          </w:p>
        </w:tc>
        <w:tc>
          <w:tcPr/>
          <w:p>
            <w:pPr>
              <w:pStyle w:val="Compact"/>
              <w:jc w:val="left"/>
            </w:pPr>
            <w:r>
              <w:t xml:space="preserve">Fine-tuned LLM (QLoRA, Acer Veriton GN100)</w:t>
            </w:r>
          </w:p>
        </w:tc>
      </w:tr>
      <w:tr>
        <w:tc>
          <w:tcPr/>
          <w:p>
            <w:pPr>
              <w:pStyle w:val="Compact"/>
              <w:jc w:val="left"/>
            </w:pPr>
            <w:r>
              <w:t xml:space="preserve">Non-parametric memory</w:t>
            </w:r>
          </w:p>
        </w:tc>
        <w:tc>
          <w:tcPr/>
          <w:p>
            <w:pPr>
              <w:pStyle w:val="Compact"/>
              <w:jc w:val="left"/>
            </w:pPr>
            <w:r>
              <w:t xml:space="preserve">RAG over enterprise data + EU regulations (pgvector)</w:t>
            </w:r>
          </w:p>
        </w:tc>
      </w:tr>
      <w:tr>
        <w:tc>
          <w:tcPr/>
          <w:p>
            <w:pPr>
              <w:pStyle w:val="Compact"/>
              <w:jc w:val="left"/>
            </w:pPr>
            <w:r>
              <w:t xml:space="preserve">Memory buffer</w:t>
            </w:r>
          </w:p>
        </w:tc>
        <w:tc>
          <w:tcPr/>
          <w:p>
            <w:pPr>
              <w:pStyle w:val="Compact"/>
              <w:jc w:val="left"/>
            </w:pPr>
            <w:r>
              <w:t xml:space="preserve">Supabase</w:t>
            </w:r>
            <w:r>
              <w:t xml:space="preserve"> </w:t>
            </w:r>
            <w:r>
              <w:rPr>
                <w:rStyle w:val="VerbatimChar"/>
              </w:rPr>
              <w:t xml:space="preserve">agent_loop_iterations</w:t>
            </w:r>
            <w:r>
              <w:t xml:space="preserve"> </w:t>
            </w:r>
            <w:r>
              <w:t xml:space="preserve">table</w:t>
            </w:r>
          </w:p>
        </w:tc>
      </w:tr>
      <w:tr>
        <w:tc>
          <w:tcPr/>
          <w:p>
            <w:pPr>
              <w:pStyle w:val="Compact"/>
              <w:jc w:val="left"/>
            </w:pPr>
            <w:r>
              <w:t xml:space="preserve">Tip retrieval</w:t>
            </w:r>
          </w:p>
        </w:tc>
        <w:tc>
          <w:tcPr/>
          <w:p>
            <w:pPr>
              <w:pStyle w:val="Compact"/>
              <w:jc w:val="left"/>
            </w:pPr>
            <w:r>
              <w:t xml:space="preserve">Context injection from Compliance/Carbon databases</w:t>
            </w:r>
          </w:p>
        </w:tc>
      </w:tr>
    </w:tbl>
    <w:p>
      <w:pPr>
        <w:pStyle w:val="BodyText"/>
      </w:pPr>
      <w:r>
        <w:t xml:space="preserve">The EMPO² finding —</w:t>
      </w:r>
      <w:r>
        <w:t xml:space="preserve"> </w:t>
      </w:r>
      <w:r>
        <w:rPr>
          <w:iCs/>
          <w:i/>
        </w:rPr>
        <w:t xml:space="preserve">“</w:t>
      </w:r>
      <w:r>
        <w:rPr>
          <w:iCs/>
          <w:i/>
        </w:rPr>
        <w:t xml:space="preserve">learning with memory enables models to become robust both with and without memory at inference time</w:t>
      </w:r>
      <w:r>
        <w:rPr>
          <w:iCs/>
          <w:i/>
        </w:rPr>
        <w:t xml:space="preserve">”</w:t>
      </w:r>
      <w:r>
        <w:t xml:space="preserve"> </w:t>
      </w:r>
      <w:r>
        <w:t xml:space="preserve">— validates the DWS strategy of progressively embedding domain knowledge into model weights via QLoRA fine-tuning on the Acer Veriton, while maintaining non-parametric retrieval as a real-time fallback.</w:t>
      </w:r>
    </w:p>
    <w:p>
      <w:pPr>
        <w:pStyle w:val="BodyText"/>
      </w:pPr>
      <w:r>
        <w:t xml:space="preserve">The OpenSandbox environment on the Acer Veriton GN100 now serves both roles:</w:t>
      </w:r>
      <w:r>
        <w:t xml:space="preserve"> </w:t>
      </w:r>
      <w:r>
        <w:rPr>
          <w:bCs/>
          <w:b/>
        </w:rPr>
        <w:t xml:space="preserve">EMPO²-style RL training sandbox</w:t>
      </w:r>
      <w:r>
        <w:t xml:space="preserve"> </w:t>
      </w:r>
      <w:r>
        <w:t xml:space="preserve">(isolated exploration environment) and</w:t>
      </w:r>
      <w:r>
        <w:t xml:space="preserve"> </w:t>
      </w:r>
      <w:r>
        <w:rPr>
          <w:bCs/>
          <w:b/>
        </w:rPr>
        <w:t xml:space="preserve">production agent isolation runtime</w:t>
      </w:r>
      <w:r>
        <w:t xml:space="preserve"> </w:t>
      </w:r>
      <w:r>
        <w:t xml:space="preserve">(secure execution per task).</w:t>
      </w:r>
    </w:p>
    <w:bookmarkEnd w:id="175"/>
    <w:bookmarkStart w:id="176" w:name="mcp-integration"/>
    <w:p>
      <w:pPr>
        <w:pStyle w:val="Heading3"/>
      </w:pPr>
      <w:r>
        <w:t xml:space="preserve">10.10.5 MCP Integration</w:t>
      </w:r>
    </w:p>
    <w:p>
      <w:pPr>
        <w:pStyle w:val="FirstParagraph"/>
      </w:pPr>
      <w:r>
        <w:t xml:space="preserve">Six MCP tools expose OpenSandbox through the DWS MCP Hub (</w:t>
      </w:r>
      <w:r>
        <w:rPr>
          <w:rStyle w:val="VerbatimChar"/>
        </w:rPr>
        <w:t xml:space="preserve">/sandbox/*</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Tool</w:t>
            </w:r>
          </w:p>
        </w:tc>
        <w:tc>
          <w:tcPr/>
          <w:p>
            <w:pPr>
              <w:pStyle w:val="Compact"/>
              <w:jc w:val="left"/>
            </w:pPr>
            <w:r>
              <w:t xml:space="preserve">Purpose</w:t>
            </w:r>
          </w:p>
        </w:tc>
      </w:tr>
      <w:tr>
        <w:tc>
          <w:tcPr/>
          <w:p>
            <w:pPr>
              <w:pStyle w:val="Compact"/>
              <w:jc w:val="left"/>
            </w:pPr>
            <w:r>
              <w:rPr>
                <w:rStyle w:val="VerbatimChar"/>
              </w:rPr>
              <w:t xml:space="preserve">sandbox_create</w:t>
            </w:r>
          </w:p>
        </w:tc>
        <w:tc>
          <w:tcPr/>
          <w:p>
            <w:pPr>
              <w:pStyle w:val="Compact"/>
              <w:jc w:val="left"/>
            </w:pPr>
            <w:r>
              <w:t xml:space="preserve">Create isolated Docker container</w:t>
            </w:r>
          </w:p>
        </w:tc>
      </w:tr>
      <w:tr>
        <w:tc>
          <w:tcPr/>
          <w:p>
            <w:pPr>
              <w:pStyle w:val="Compact"/>
              <w:jc w:val="left"/>
            </w:pPr>
            <w:r>
              <w:rPr>
                <w:rStyle w:val="VerbatimChar"/>
              </w:rPr>
              <w:t xml:space="preserve">sandbox_execute</w:t>
            </w:r>
          </w:p>
        </w:tc>
        <w:tc>
          <w:tcPr/>
          <w:p>
            <w:pPr>
              <w:pStyle w:val="Compact"/>
              <w:jc w:val="left"/>
            </w:pPr>
            <w:r>
              <w:t xml:space="preserve">Run command inside sandbox</w:t>
            </w:r>
          </w:p>
        </w:tc>
      </w:tr>
      <w:tr>
        <w:tc>
          <w:tcPr/>
          <w:p>
            <w:pPr>
              <w:pStyle w:val="Compact"/>
              <w:jc w:val="left"/>
            </w:pPr>
            <w:r>
              <w:rPr>
                <w:rStyle w:val="VerbatimChar"/>
              </w:rPr>
              <w:t xml:space="preserve">sandbox_file_read</w:t>
            </w:r>
          </w:p>
        </w:tc>
        <w:tc>
          <w:tcPr/>
          <w:p>
            <w:pPr>
              <w:pStyle w:val="Compact"/>
              <w:jc w:val="left"/>
            </w:pPr>
            <w:r>
              <w:t xml:space="preserve">Read output artifacts</w:t>
            </w:r>
          </w:p>
        </w:tc>
      </w:tr>
      <w:tr>
        <w:tc>
          <w:tcPr/>
          <w:p>
            <w:pPr>
              <w:pStyle w:val="Compact"/>
              <w:jc w:val="left"/>
            </w:pPr>
            <w:r>
              <w:rPr>
                <w:rStyle w:val="VerbatimChar"/>
              </w:rPr>
              <w:t xml:space="preserve">sandbox_file_write</w:t>
            </w:r>
          </w:p>
        </w:tc>
        <w:tc>
          <w:tcPr/>
          <w:p>
            <w:pPr>
              <w:pStyle w:val="Compact"/>
              <w:jc w:val="left"/>
            </w:pPr>
            <w:r>
              <w:t xml:space="preserve">Write input/config files</w:t>
            </w:r>
          </w:p>
        </w:tc>
      </w:tr>
      <w:tr>
        <w:tc>
          <w:tcPr/>
          <w:p>
            <w:pPr>
              <w:pStyle w:val="Compact"/>
              <w:jc w:val="left"/>
            </w:pPr>
            <w:r>
              <w:rPr>
                <w:rStyle w:val="VerbatimChar"/>
              </w:rPr>
              <w:t xml:space="preserve">sandbox_destroy</w:t>
            </w:r>
          </w:p>
        </w:tc>
        <w:tc>
          <w:tcPr/>
          <w:p>
            <w:pPr>
              <w:pStyle w:val="Compact"/>
              <w:jc w:val="left"/>
            </w:pPr>
            <w:r>
              <w:t xml:space="preserve">Destroy sandbox (ephemeral)</w:t>
            </w:r>
          </w:p>
        </w:tc>
      </w:tr>
      <w:tr>
        <w:tc>
          <w:tcPr/>
          <w:p>
            <w:pPr>
              <w:pStyle w:val="Compact"/>
              <w:jc w:val="left"/>
            </w:pPr>
            <w:r>
              <w:rPr>
                <w:rStyle w:val="VerbatimChar"/>
              </w:rPr>
              <w:t xml:space="preserve">sandbox_ping</w:t>
            </w:r>
          </w:p>
        </w:tc>
        <w:tc>
          <w:tcPr/>
          <w:p>
            <w:pPr>
              <w:pStyle w:val="Compact"/>
              <w:jc w:val="left"/>
            </w:pPr>
            <w:r>
              <w:t xml:space="preserve">Health check Veriton connectivity</w:t>
            </w:r>
          </w:p>
        </w:tc>
      </w:tr>
    </w:tbl>
    <w:p>
      <w:pPr>
        <w:pStyle w:val="BodyText"/>
      </w:pPr>
      <w:r>
        <w:t xml:space="preserve">Claude Code and other MCP clients can now orchestrate agent sandboxes directly via natural language tool calls.</w:t>
      </w:r>
    </w:p>
    <w:bookmarkEnd w:id="176"/>
    <w:bookmarkStart w:id="178" w:name="research-contribution-3"/>
    <w:p>
      <w:pPr>
        <w:pStyle w:val="Heading3"/>
      </w:pPr>
      <w:r>
        <w:t xml:space="preserve">10.10.6 Research Contribution</w:t>
      </w:r>
    </w:p>
    <w:p>
      <w:pPr>
        <w:pStyle w:val="FirstParagraph"/>
      </w:pPr>
      <w:r>
        <w:t xml:space="preserve">Stage 1.5 demonstrates three thesis claims simultaneously:</w:t>
      </w:r>
    </w:p>
    <w:p>
      <w:pPr>
        <w:numPr>
          <w:ilvl w:val="0"/>
          <w:numId w:val="1062"/>
        </w:numPr>
      </w:pPr>
      <w:r>
        <w:rPr>
          <w:bCs/>
          <w:b/>
        </w:rPr>
        <w:t xml:space="preserve">Hardware-aware Solution Factory (Section 4.1):</w:t>
      </w:r>
      <w:r>
        <w:t xml:space="preserve"> </w:t>
      </w:r>
      <w:r>
        <w:t xml:space="preserve">The same agent architecture runs on EU cloud (Stage 2) and EU on-premises edge hardware (Stage 1.5) with a single environment variable — validating the platform’s deployment flexibility for air-gapped industrial environments (defense, healthcare, critical infrastructure).</w:t>
      </w:r>
    </w:p>
    <w:p>
      <w:pPr>
        <w:numPr>
          <w:ilvl w:val="0"/>
          <w:numId w:val="1062"/>
        </w:numPr>
      </w:pPr>
      <w:r>
        <w:rPr>
          <w:bCs/>
          <w:b/>
        </w:rPr>
        <w:t xml:space="preserve">Lifetime Fleet concept validation (Section 3.5):</w:t>
      </w:r>
      <w:r>
        <w:t xml:space="preserve"> </w:t>
      </w:r>
      <w:r>
        <w:t xml:space="preserve">The Acer Veriton GN100 is the first physical node in the Lifetime Fleet — EU-resident hardware running containerized AI workloads under full operator control, fulfilling the edge-AI theoretical model proposed in the thesis.</w:t>
      </w:r>
    </w:p>
    <w:p>
      <w:pPr>
        <w:numPr>
          <w:ilvl w:val="0"/>
          <w:numId w:val="1062"/>
        </w:numPr>
      </w:pPr>
      <w:r>
        <w:rPr>
          <w:bCs/>
          <w:b/>
        </w:rPr>
        <w:t xml:space="preserve">EMPO² memory architecture alignment:</w:t>
      </w:r>
      <w:r>
        <w:t xml:space="preserve"> </w:t>
      </w:r>
      <w:r>
        <w:t xml:space="preserve">The hybrid parametric/non-parametric memory architecture independently validated by EMPO² (arXiv:2602.23008) matches the DWS LWM design — providing academic grounding for an implementation choice made on engineering intuition.</w:t>
      </w:r>
    </w:p>
    <w:bookmarkStart w:id="177" w:name="hardware-brain-update-may-2026"/>
    <w:p>
      <w:pPr>
        <w:pStyle w:val="Heading4"/>
      </w:pPr>
      <w:r>
        <w:t xml:space="preserve">10.10.6.1 Hardware Brain Update (May 2026)</w:t>
      </w:r>
    </w:p>
    <w:p>
      <w:pPr>
        <w:pStyle w:val="FirstParagraph"/>
      </w:pPr>
      <w:r>
        <w:t xml:space="preserve">The Acer Veriton GN100 / DGX Spark Brain layer was re-pinned in May 2026 as a direct consequence of three engineering observations: (1) dense Llama 3.3 70B at Q4 ran at ~4.4 tok/s decode on the GB10 memory bus (273 GB/s) — too slow for interactive agent workloads, since each forward pass pushed all 70B parameters through the bus; (2) NVIDIA’s Nemotron 3 Super (architecture</w:t>
      </w:r>
      <w:r>
        <w:t xml:space="preserve"> </w:t>
      </w:r>
      <w:r>
        <w:rPr>
          <w:rStyle w:val="VerbatimChar"/>
        </w:rPr>
        <w:t xml:space="preserve">nemotron_h_moe</w:t>
      </w:r>
      <w:r>
        <w:t xml:space="preserve">, 123.6B total / 12.7B active, 88-layer Mamba-2 + interleaved attention + Latent MoE, pretrained natively in NVFP4 across 25T tokens) runs at ~19.5 tok/s Q4_K_M on the same hardware — roughly 4.5× faster — because MoE moves only ~12B of weights per token; (3) the Nemotron 3 Super model exposes</w:t>
      </w:r>
      <w:r>
        <w:t xml:space="preserve"> </w:t>
      </w:r>
      <w:r>
        <w:rPr>
          <w:rStyle w:val="VerbatimChar"/>
        </w:rPr>
        <w:t xml:space="preserve">thinking</w:t>
      </w:r>
      <w:r>
        <w:t xml:space="preserve"> </w:t>
      </w:r>
      <w:r>
        <w:t xml:space="preserve">and tool-calling capabilities natively, which the Brain-Memory-Body-Hands architecture (Section 4.3) requires for agent reasoning chains. The Primary tier was therefore swapped from</w:t>
      </w:r>
      <w:r>
        <w:t xml:space="preserve"> </w:t>
      </w:r>
      <w:r>
        <w:rPr>
          <w:rStyle w:val="VerbatimChar"/>
        </w:rPr>
        <w:t xml:space="preserve">llama3.3:70b</w:t>
      </w:r>
      <w:r>
        <w:t xml:space="preserve"> </w:t>
      </w:r>
      <w:r>
        <w:t xml:space="preserve">to</w:t>
      </w:r>
      <w:r>
        <w:t xml:space="preserve"> </w:t>
      </w:r>
      <w:r>
        <w:rPr>
          <w:rStyle w:val="VerbatimChar"/>
        </w:rPr>
        <w:t xml:space="preserve">nemotron-3-super</w:t>
      </w:r>
      <w:r>
        <w:t xml:space="preserve">; the Fast tier was simultaneously upgraded from</w:t>
      </w:r>
      <w:r>
        <w:t xml:space="preserve"> </w:t>
      </w:r>
      <w:r>
        <w:rPr>
          <w:rStyle w:val="VerbatimChar"/>
        </w:rPr>
        <w:t xml:space="preserve">qwen2.5-coder:32b</w:t>
      </w:r>
      <w:r>
        <w:t xml:space="preserve"> </w:t>
      </w:r>
      <w:r>
        <w:t xml:space="preserve">to</w:t>
      </w:r>
      <w:r>
        <w:t xml:space="preserve"> </w:t>
      </w:r>
      <w:r>
        <w:rPr>
          <w:rStyle w:val="VerbatimChar"/>
        </w:rPr>
        <w:t xml:space="preserve">qwen3-coder:30b</w:t>
      </w:r>
      <w:r>
        <w:t xml:space="preserve"> </w:t>
      </w:r>
      <w:r>
        <w:t xml:space="preserve">(MoE 30B / 3.3B active) which doubles as the SyntheticDataAgent teacher model.</w:t>
      </w:r>
      <w:r>
        <w:t xml:space="preserve"> </w:t>
      </w:r>
      <w:r>
        <w:rPr>
          <w:bCs/>
          <w:b/>
        </w:rPr>
        <w:t xml:space="preserve">OpenClaw</w:t>
      </w:r>
      <w:r>
        <w:t xml:space="preserve"> </w:t>
      </w:r>
      <w:r>
        <w:t xml:space="preserve">was added as a first-class compose service on port 8090, its Brain wired to Nemotron 3 Super via Ollama and</w:t>
      </w:r>
      <w:r>
        <w:t xml:space="preserve"> </w:t>
      </w:r>
      <w:r>
        <w:rPr>
          <w:rStyle w:val="VerbatimChar"/>
        </w:rPr>
        <w:t xml:space="preserve">OPENCLAW_ALLOW_EGRESS=false</w:t>
      </w:r>
      <w:r>
        <w:t xml:space="preserve"> </w:t>
      </w:r>
      <w:r>
        <w:t xml:space="preserve">enforced at the container level — establishing a no-egress local agent runtime alongside the existing Stage 1.5 OpenSandbox isolation layer. Implementation artefacts:</w:t>
      </w:r>
      <w:r>
        <w:t xml:space="preserve"> </w:t>
      </w:r>
      <w:r>
        <w:rPr>
          <w:rStyle w:val="VerbatimChar"/>
        </w:rPr>
        <w:t xml:space="preserve">docs/field-notes/2026-03-29-dgx-spark-primary-runtime-setup.md</w:t>
      </w:r>
      <w:r>
        <w:t xml:space="preserve"> </w:t>
      </w:r>
      <w:r>
        <w:t xml:space="preserve">v1.6,</w:t>
      </w:r>
      <w:r>
        <w:t xml:space="preserve"> </w:t>
      </w:r>
      <w:r>
        <w:rPr>
          <w:rStyle w:val="VerbatimChar"/>
        </w:rPr>
        <w:t xml:space="preserve">DWS_DEPLOYMENT_STANDARD.md</w:t>
      </w:r>
      <w:r>
        <w:t xml:space="preserve"> </w:t>
      </w:r>
      <w:r>
        <w:t xml:space="preserve">v1.4 (Surfaces table adds OpenClaw row),</w:t>
      </w:r>
      <w:r>
        <w:t xml:space="preserve"> </w:t>
      </w:r>
      <w:r>
        <w:rPr>
          <w:rStyle w:val="VerbatimChar"/>
        </w:rPr>
        <w:t xml:space="preserve">infrastructure/dgx-spark/docker-compose.yml</w:t>
      </w:r>
      <w:r>
        <w:t xml:space="preserve">,</w:t>
      </w:r>
      <w:r>
        <w:t xml:space="preserve"> </w:t>
      </w:r>
      <w:r>
        <w:rPr>
          <w:rStyle w:val="VerbatimChar"/>
        </w:rPr>
        <w:t xml:space="preserve">DWS7_ROADMAP.md</w:t>
      </w:r>
      <w:r>
        <w:t xml:space="preserve"> </w:t>
      </w:r>
      <w:r>
        <w:t xml:space="preserve">PR 161 re-based to Nemotron 3 Super. The market-signal rationale (compute scarcity, NVFP4 hardware moat) is documented in</w:t>
      </w:r>
      <w:r>
        <w:t xml:space="preserve"> </w:t>
      </w:r>
      <w:r>
        <w:rPr>
          <w:rStyle w:val="VerbatimChar"/>
        </w:rPr>
        <w:t xml:space="preserve">docs/PHD_FIREHORSE_EN.md</w:t>
      </w:r>
      <w:r>
        <w:t xml:space="preserve"> </w:t>
      </w:r>
      <w:r>
        <w:t xml:space="preserve">§14.18 per the master-vs-PhD scope rule.</w:t>
      </w:r>
    </w:p>
    <w:bookmarkEnd w:id="177"/>
    <w:bookmarkEnd w:id="178"/>
    <w:bookmarkStart w:id="179" w:name="Xc0e5beebebc9e759bdada6bf475bbd1c3b5e014"/>
    <w:p>
      <w:pPr>
        <w:pStyle w:val="Heading3"/>
      </w:pPr>
      <w:r>
        <w:t xml:space="preserve">10.10.7 Agent Memory Fact Extraction Pipeline (PR-254)</w:t>
      </w:r>
    </w:p>
    <w:p>
      <w:pPr>
        <w:pStyle w:val="FirstParagraph"/>
      </w:pPr>
      <w:r>
        <w:rPr>
          <w:iCs/>
          <w:i/>
        </w:rPr>
        <w:t xml:space="preserve">Session: claude/agent-memory-fact-extraction-gLEss | Date: 23.03.2026</w:t>
      </w:r>
    </w:p>
    <w:p>
      <w:pPr>
        <w:pStyle w:val="BodyText"/>
      </w:pPr>
      <w:r>
        <w:t xml:space="preserve">The EMPO² theoretical framework (Section 10.10.4) was operationalized through the</w:t>
      </w:r>
      <w:r>
        <w:t xml:space="preserve"> </w:t>
      </w:r>
      <w:r>
        <w:rPr>
          <w:bCs/>
          <w:b/>
        </w:rPr>
        <w:t xml:space="preserve">Agent Memory Fact Extraction Pipeline</w:t>
      </w:r>
      <w:r>
        <w:t xml:space="preserve"> </w:t>
      </w:r>
      <w:r>
        <w:t xml:space="preserve">— the first production implementation of the non-parametric memory update path. This addresses a critical gap: agents that converse with customers but retain no structured knowledge between sessions.</w:t>
      </w:r>
    </w:p>
    <w:p>
      <w:pPr>
        <w:pStyle w:val="BodyText"/>
      </w:pPr>
      <w:r>
        <w:rPr>
          <w:bCs/>
          <w:b/>
        </w:rPr>
        <w:t xml:space="preserve">Architecture — Dual Memory Model:</w:t>
      </w:r>
    </w:p>
    <w:p>
      <w:pPr>
        <w:pStyle w:val="BodyText"/>
      </w:pPr>
      <w:r>
        <w:t xml:space="preserve">The system distinguishes two complementary memory layers:</w:t>
      </w:r>
    </w:p>
    <w:tbl>
      <w:tblPr>
        <w:tblStyle w:val="Table"/>
        <w:tblW w:type="pct" w:w="5000"/>
        <w:tblLook w:firstRow="1" w:lastRow="0" w:firstColumn="0" w:lastColumn="0" w:noHBand="0" w:noVBand="0" w:val="0020"/>
        <w:jc w:val="start"/>
      </w:tblPr>
      <w:tblGrid>
        <w:gridCol w:w="1760"/>
        <w:gridCol w:w="1290"/>
        <w:gridCol w:w="2874"/>
        <w:gridCol w:w="1994"/>
      </w:tblGrid>
      <w:tr>
        <w:trPr>
          <w:tblHeader w:val="true"/>
        </w:trPr>
        <w:tc>
          <w:tcPr/>
          <w:p>
            <w:pPr>
              <w:pStyle w:val="Compact"/>
              <w:jc w:val="left"/>
            </w:pPr>
            <w:r>
              <w:t xml:space="preserve">Layer</w:t>
            </w:r>
          </w:p>
        </w:tc>
        <w:tc>
          <w:tcPr/>
          <w:p>
            <w:pPr>
              <w:pStyle w:val="Compact"/>
              <w:jc w:val="left"/>
            </w:pPr>
            <w:r>
              <w:t xml:space="preserve">Knowledge Type</w:t>
            </w:r>
          </w:p>
        </w:tc>
        <w:tc>
          <w:tcPr/>
          <w:p>
            <w:pPr>
              <w:pStyle w:val="Compact"/>
              <w:jc w:val="left"/>
            </w:pPr>
            <w:r>
              <w:t xml:space="preserve">Source</w:t>
            </w:r>
          </w:p>
        </w:tc>
        <w:tc>
          <w:tcPr/>
          <w:p>
            <w:pPr>
              <w:pStyle w:val="Compact"/>
              <w:jc w:val="left"/>
            </w:pPr>
            <w:r>
              <w:t xml:space="preserve">Example</w:t>
            </w:r>
          </w:p>
        </w:tc>
      </w:tr>
      <w:tr>
        <w:tc>
          <w:tcPr/>
          <w:p>
            <w:pPr>
              <w:pStyle w:val="Compact"/>
              <w:jc w:val="left"/>
            </w:pPr>
            <w:r>
              <w:rPr>
                <w:bCs/>
                <w:b/>
              </w:rPr>
              <w:t xml:space="preserve">LWM (Lifetime World Model)</w:t>
            </w:r>
          </w:p>
        </w:tc>
        <w:tc>
          <w:tcPr/>
          <w:p>
            <w:pPr>
              <w:pStyle w:val="Compact"/>
              <w:jc w:val="left"/>
            </w:pPr>
            <w:r>
              <w:t xml:space="preserve">Domain knowledge</w:t>
            </w:r>
          </w:p>
        </w:tc>
        <w:tc>
          <w:tcPr/>
          <w:p>
            <w:pPr>
              <w:pStyle w:val="Compact"/>
              <w:jc w:val="left"/>
            </w:pPr>
            <w:r>
              <w:t xml:space="preserve">EU regulations, emission factors, industry models</w:t>
            </w:r>
          </w:p>
        </w:tc>
        <w:tc>
          <w:tcPr/>
          <w:p>
            <w:pPr>
              <w:pStyle w:val="Compact"/>
              <w:jc w:val="left"/>
            </w:pPr>
            <w:r>
              <w:t xml:space="preserve">“</w:t>
            </w:r>
            <w:r>
              <w:t xml:space="preserve">CBAM threshold is 150,000 EUR</w:t>
            </w:r>
            <w:r>
              <w:t xml:space="preserve">”</w:t>
            </w:r>
          </w:p>
        </w:tc>
      </w:tr>
      <w:tr>
        <w:tc>
          <w:tcPr/>
          <w:p>
            <w:pPr>
              <w:pStyle w:val="Compact"/>
              <w:jc w:val="left"/>
            </w:pPr>
            <w:r>
              <w:rPr>
                <w:bCs/>
                <w:b/>
              </w:rPr>
              <w:t xml:space="preserve">Client Memory</w:t>
            </w:r>
          </w:p>
        </w:tc>
        <w:tc>
          <w:tcPr/>
          <w:p>
            <w:pPr>
              <w:pStyle w:val="Compact"/>
              <w:jc w:val="left"/>
            </w:pPr>
            <w:r>
              <w:t xml:space="preserve">Relationship knowledge</w:t>
            </w:r>
          </w:p>
        </w:tc>
        <w:tc>
          <w:tcPr/>
          <w:p>
            <w:pPr>
              <w:pStyle w:val="Compact"/>
              <w:jc w:val="left"/>
            </w:pPr>
            <w:r>
              <w:t xml:space="preserve">Conversations, emails, meetings</w:t>
            </w:r>
          </w:p>
        </w:tc>
        <w:tc>
          <w:tcPr/>
          <w:p>
            <w:pPr>
              <w:pStyle w:val="Compact"/>
              <w:jc w:val="left"/>
            </w:pPr>
            <w:r>
              <w:t xml:space="preserve">“</w:t>
            </w:r>
            <w:r>
              <w:t xml:space="preserve">ACME Corp prefers weekly reports</w:t>
            </w:r>
            <w:r>
              <w:t xml:space="preserve">”</w:t>
            </w:r>
          </w:p>
        </w:tc>
      </w:tr>
    </w:tbl>
    <w:p>
      <w:pPr>
        <w:pStyle w:val="BodyText"/>
      </w:pPr>
      <w:r>
        <w:t xml:space="preserve">LWM provides</w:t>
      </w:r>
      <w:r>
        <w:t xml:space="preserve"> </w:t>
      </w:r>
      <w:r>
        <w:rPr>
          <w:iCs/>
          <w:i/>
        </w:rPr>
        <w:t xml:space="preserve">what the agent knows about the world</w:t>
      </w:r>
      <w:r>
        <w:t xml:space="preserve">; client memory provides</w:t>
      </w:r>
      <w:r>
        <w:t xml:space="preserve"> </w:t>
      </w:r>
      <w:r>
        <w:rPr>
          <w:iCs/>
          <w:i/>
        </w:rPr>
        <w:t xml:space="preserve">what the agent knows about this specific customer</w:t>
      </w:r>
      <w:r>
        <w:t xml:space="preserve">. Neither alone is sufficient — an agent that knows EU regulations but forgets the customer’s industry vertical will ask the same questions every session.</w:t>
      </w:r>
    </w:p>
    <w:p>
      <w:pPr>
        <w:pStyle w:val="BodyText"/>
      </w:pPr>
      <w:r>
        <w:rPr>
          <w:bCs/>
          <w:b/>
        </w:rPr>
        <w:t xml:space="preserve">Fact Extraction Pipeline:</w:t>
      </w:r>
    </w:p>
    <w:p>
      <w:pPr>
        <w:pStyle w:val="SourceCode"/>
      </w:pPr>
      <w:r>
        <w:rPr>
          <w:rStyle w:val="VerbatimChar"/>
        </w:rPr>
        <w:t xml:space="preserve">Conversation text</w:t>
      </w:r>
      <w:r>
        <w:br/>
      </w:r>
      <w:r>
        <w:rPr>
          <w:rStyle w:val="VerbatimChar"/>
        </w:rPr>
        <w:t xml:space="preserve">  → LLM extraction (Claude Haiku, structured prompt)</w:t>
      </w:r>
      <w:r>
        <w:br/>
      </w:r>
      <w:r>
        <w:rPr>
          <w:rStyle w:val="VerbatimChar"/>
        </w:rPr>
        <w:t xml:space="preserve">  → JSON array of {subject, predicate, value, confidence, category}</w:t>
      </w:r>
      <w:r>
        <w:br/>
      </w:r>
      <w:r>
        <w:rPr>
          <w:rStyle w:val="VerbatimChar"/>
        </w:rPr>
        <w:t xml:space="preserve">  → Confidence filter (≥0.7 threshold)</w:t>
      </w:r>
      <w:r>
        <w:br/>
      </w:r>
      <w:r>
        <w:rPr>
          <w:rStyle w:val="VerbatimChar"/>
        </w:rPr>
        <w:t xml:space="preserve">  → Duplicate detection (cosine similarity &gt;0.95 in pgvector)</w:t>
      </w:r>
      <w:r>
        <w:br/>
      </w:r>
      <w:r>
        <w:rPr>
          <w:rStyle w:val="VerbatimChar"/>
        </w:rPr>
        <w:t xml:space="preserve">  → Persist as `fact` type in semantic_memories table</w:t>
      </w:r>
      <w:r>
        <w:br/>
      </w:r>
      <w:r>
        <w:rPr>
          <w:rStyle w:val="VerbatimChar"/>
        </w:rPr>
        <w:t xml:space="preserve">  → Available for recall via hybrid search (vector + text)</w:t>
      </w:r>
    </w:p>
    <w:p>
      <w:pPr>
        <w:pStyle w:val="FirstParagraph"/>
      </w:pPr>
      <w:r>
        <w:t xml:space="preserve">The extraction prompt enforces strict rules: only explicit facts (never inferred), snake_case predicates for machine readability, six categories (identity, preference, relationship, metric, status, other), and confidence scoring (1.0 explicit, 0.8 strongly implied, 0.6 loosely implied).</w:t>
      </w:r>
    </w:p>
    <w:p>
      <w:pPr>
        <w:pStyle w:val="BodyText"/>
      </w:pPr>
      <w:r>
        <w:rPr>
          <w:bCs/>
          <w:b/>
        </w:rPr>
        <w:t xml:space="preserve">Three Missing Execution Layers:</w:t>
      </w:r>
    </w:p>
    <w:p>
      <w:pPr>
        <w:pStyle w:val="BodyText"/>
      </w:pPr>
      <w:r>
        <w:t xml:space="preserve">Fact extraction alone creates</w:t>
      </w:r>
      <w:r>
        <w:t xml:space="preserve"> </w:t>
      </w:r>
      <w:r>
        <w:rPr>
          <w:iCs/>
          <w:i/>
        </w:rPr>
        <w:t xml:space="preserve">passive knowledge</w:t>
      </w:r>
      <w:r>
        <w:t xml:space="preserve">. Three additional layers are required to make this knowledge</w:t>
      </w:r>
      <w:r>
        <w:t xml:space="preserve"> </w:t>
      </w:r>
      <w:r>
        <w:rPr>
          <w:iCs/>
          <w:i/>
        </w:rPr>
        <w:t xml:space="preserve">actionable</w:t>
      </w:r>
      <w:r>
        <w:t xml:space="preserve">:</w:t>
      </w:r>
    </w:p>
    <w:p>
      <w:pPr>
        <w:numPr>
          <w:ilvl w:val="0"/>
          <w:numId w:val="1063"/>
        </w:numPr>
      </w:pPr>
      <w:r>
        <w:rPr>
          <w:bCs/>
          <w:b/>
        </w:rPr>
        <w:t xml:space="preserve">Firehorse State Machine</w:t>
      </w:r>
      <w:r>
        <w:t xml:space="preserve"> </w:t>
      </w:r>
      <w:r>
        <w:t xml:space="preserve">— The execution layer that acts on what memory + LWM know. Without it, the platform has knowledge but no action capability. Facts like</w:t>
      </w:r>
      <w:r>
        <w:t xml:space="preserve"> </w:t>
      </w:r>
      <w:r>
        <w:t xml:space="preserve">“</w:t>
      </w:r>
      <w:r>
        <w:t xml:space="preserve">customer deadline is Q2 2026</w:t>
      </w:r>
      <w:r>
        <w:t xml:space="preserve">”</w:t>
      </w:r>
      <w:r>
        <w:t xml:space="preserve"> </w:t>
      </w:r>
      <w:r>
        <w:t xml:space="preserve">need a state machine to trigger escalation workflows.</w:t>
      </w:r>
    </w:p>
    <w:p>
      <w:pPr>
        <w:numPr>
          <w:ilvl w:val="0"/>
          <w:numId w:val="1063"/>
        </w:numPr>
      </w:pPr>
      <w:r>
        <w:rPr>
          <w:bCs/>
          <w:b/>
        </w:rPr>
        <w:t xml:space="preserve">ERP Connector Layer</w:t>
      </w:r>
      <w:r>
        <w:t xml:space="preserve"> </w:t>
      </w:r>
      <w:r>
        <w:t xml:space="preserve">— The real-world data feed. Memory and LWM are only as good as the live data flowing from Visma/IFS/SAP. Client memory captures</w:t>
      </w:r>
      <w:r>
        <w:t xml:space="preserve"> </w:t>
      </w:r>
      <w:r>
        <w:rPr>
          <w:iCs/>
          <w:i/>
        </w:rPr>
        <w:t xml:space="preserve">stated</w:t>
      </w:r>
      <w:r>
        <w:t xml:space="preserve"> </w:t>
      </w:r>
      <w:r>
        <w:t xml:space="preserve">preferences; ERP data reveals</w:t>
      </w:r>
      <w:r>
        <w:t xml:space="preserve"> </w:t>
      </w:r>
      <w:r>
        <w:rPr>
          <w:iCs/>
          <w:i/>
        </w:rPr>
        <w:t xml:space="preserve">actual</w:t>
      </w:r>
      <w:r>
        <w:t xml:space="preserve"> </w:t>
      </w:r>
      <w:r>
        <w:t xml:space="preserve">behavior (order patterns, payment history, usage metrics).</w:t>
      </w:r>
    </w:p>
    <w:p>
      <w:pPr>
        <w:numPr>
          <w:ilvl w:val="0"/>
          <w:numId w:val="1063"/>
        </w:numPr>
      </w:pPr>
      <w:r>
        <w:rPr>
          <w:bCs/>
          <w:b/>
        </w:rPr>
        <w:t xml:space="preserve">KYA Governance Wrapper</w:t>
      </w:r>
      <w:r>
        <w:t xml:space="preserve"> </w:t>
      </w:r>
      <w:r>
        <w:t xml:space="preserve">— The trust layer. Client memory + LWM without attestation is a chatbot. KYA (Know Your AI, internal v1.4 / public v1.1) wraps every memory decision with audit-grade provenance:</w:t>
      </w:r>
      <w:r>
        <w:t xml:space="preserve"> </w:t>
      </w:r>
      <w:r>
        <w:t xml:space="preserve">“</w:t>
      </w:r>
      <w:r>
        <w:t xml:space="preserve">fact A replaced fact B at timestamp X, approved by agent Y, logged to Firehorse.</w:t>
      </w:r>
      <w:r>
        <w:t xml:space="preserve">”</w:t>
      </w:r>
      <w:r>
        <w:t xml:space="preserve"> </w:t>
      </w:r>
      <w:r>
        <w:t xml:space="preserve">This is essential for EU compliance audits under CSRD and EU AI Act Article 12.</w:t>
      </w:r>
    </w:p>
    <w:p>
      <w:pPr>
        <w:pStyle w:val="FirstParagraph"/>
      </w:pPr>
      <w:r>
        <w:rPr>
          <w:bCs/>
          <w:b/>
        </w:rPr>
        <w:t xml:space="preserve">KYA-First PR Ordering:</w:t>
      </w:r>
    </w:p>
    <w:p>
      <w:pPr>
        <w:pStyle w:val="BodyText"/>
      </w:pPr>
      <w:r>
        <w:t xml:space="preserve">The original PR sequence (254→255→256→257→258→259) was reordered based on a critical insight:</w:t>
      </w:r>
      <w:r>
        <w:t xml:space="preserve"> </w:t>
      </w:r>
      <w:r>
        <w:rPr>
          <w:bCs/>
          <w:b/>
        </w:rPr>
        <w:t xml:space="preserve">contradiction resolution (PR-255) without KYA attestation means resolving conflicts in memory with no audit trail for</w:t>
      </w:r>
      <w:r>
        <w:rPr>
          <w:bCs/>
          <w:b/>
        </w:rPr>
        <w:t xml:space="preserve"> </w:t>
      </w:r>
      <w:r>
        <w:rPr>
          <w:iCs/>
          <w:i/>
          <w:bCs/>
          <w:b/>
        </w:rPr>
        <w:t xml:space="preserve">why</w:t>
      </w:r>
      <w:r>
        <w:rPr>
          <w:bCs/>
          <w:b/>
        </w:rPr>
        <w:t xml:space="preserve"> </w:t>
      </w:r>
      <w:r>
        <w:rPr>
          <w:bCs/>
          <w:b/>
        </w:rPr>
        <w:t xml:space="preserve">one fact superseded another.</w:t>
      </w:r>
      <w:r>
        <w:t xml:space="preserve"> </w:t>
      </w:r>
      <w:r>
        <w:t xml:space="preserve">The production order:</w:t>
      </w:r>
    </w:p>
    <w:tbl>
      <w:tblPr>
        <w:tblStyle w:val="Table"/>
        <w:tblW w:type="pct" w:w="5000"/>
        <w:tblLook w:firstRow="1" w:lastRow="0" w:firstColumn="0" w:lastColumn="0" w:noHBand="0" w:noVBand="0" w:val="0020"/>
        <w:jc w:val="start"/>
      </w:tblPr>
      <w:tblGrid>
        <w:gridCol w:w="880"/>
        <w:gridCol w:w="330"/>
        <w:gridCol w:w="3080"/>
        <w:gridCol w:w="3630"/>
      </w:tblGrid>
      <w:tr>
        <w:trPr>
          <w:tblHeader w:val="true"/>
        </w:trPr>
        <w:tc>
          <w:tcPr/>
          <w:p>
            <w:pPr>
              <w:pStyle w:val="Compact"/>
              <w:jc w:val="left"/>
            </w:pPr>
            <w:r>
              <w:t xml:space="preserve">Priority</w:t>
            </w:r>
          </w:p>
        </w:tc>
        <w:tc>
          <w:tcPr/>
          <w:p>
            <w:pPr>
              <w:pStyle w:val="Compact"/>
              <w:jc w:val="left"/>
            </w:pPr>
            <w:r>
              <w:t xml:space="preserve">PR</w:t>
            </w:r>
          </w:p>
        </w:tc>
        <w:tc>
          <w:tcPr/>
          <w:p>
            <w:pPr>
              <w:pStyle w:val="Compact"/>
              <w:jc w:val="left"/>
            </w:pPr>
            <w:r>
              <w:t xml:space="preserve">Feature</w:t>
            </w:r>
          </w:p>
        </w:tc>
        <w:tc>
          <w:tcPr/>
          <w:p>
            <w:pPr>
              <w:pStyle w:val="Compact"/>
              <w:jc w:val="left"/>
            </w:pPr>
            <w:r>
              <w:t xml:space="preserve">Dependency</w:t>
            </w:r>
          </w:p>
        </w:tc>
      </w:tr>
      <w:tr>
        <w:tc>
          <w:tcPr/>
          <w:p>
            <w:pPr>
              <w:pStyle w:val="Compact"/>
              <w:jc w:val="left"/>
            </w:pPr>
            <w:r>
              <w:t xml:space="preserve">1</w:t>
            </w:r>
          </w:p>
        </w:tc>
        <w:tc>
          <w:tcPr/>
          <w:p>
            <w:pPr>
              <w:pStyle w:val="Compact"/>
              <w:jc w:val="left"/>
            </w:pPr>
            <w:r>
              <w:t xml:space="preserve">254</w:t>
            </w:r>
          </w:p>
        </w:tc>
        <w:tc>
          <w:tcPr/>
          <w:p>
            <w:pPr>
              <w:pStyle w:val="Compact"/>
              <w:jc w:val="left"/>
            </w:pPr>
            <w:r>
              <w:t xml:space="preserve">Fact Extraction</w:t>
            </w:r>
          </w:p>
        </w:tc>
        <w:tc>
          <w:tcPr/>
          <w:p>
            <w:pPr>
              <w:pStyle w:val="Compact"/>
              <w:jc w:val="left"/>
            </w:pPr>
            <w:r>
              <w:t xml:space="preserve">✅ Shipped</w:t>
            </w:r>
          </w:p>
        </w:tc>
      </w:tr>
      <w:tr>
        <w:tc>
          <w:tcPr/>
          <w:p>
            <w:pPr>
              <w:pStyle w:val="Compact"/>
              <w:jc w:val="left"/>
            </w:pPr>
            <w:r>
              <w:t xml:space="preserve">2</w:t>
            </w:r>
          </w:p>
        </w:tc>
        <w:tc>
          <w:tcPr/>
          <w:p>
            <w:pPr>
              <w:pStyle w:val="Compact"/>
              <w:jc w:val="left"/>
            </w:pPr>
            <w:r>
              <w:t xml:space="preserve">255</w:t>
            </w:r>
          </w:p>
        </w:tc>
        <w:tc>
          <w:tcPr/>
          <w:p>
            <w:pPr>
              <w:pStyle w:val="Compact"/>
              <w:jc w:val="left"/>
            </w:pPr>
            <w:r>
              <w:t xml:space="preserve">Contradiction Resolution</w:t>
            </w:r>
          </w:p>
        </w:tc>
        <w:tc>
          <w:tcPr/>
          <w:p>
            <w:pPr>
              <w:pStyle w:val="Compact"/>
              <w:jc w:val="left"/>
            </w:pPr>
            <w:r>
              <w:t xml:space="preserve">Requires memory store</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KYA Memory Audit Trail</w:t>
            </w:r>
          </w:p>
        </w:tc>
        <w:tc>
          <w:tcPr/>
          <w:p>
            <w:pPr>
              <w:pStyle w:val="Compact"/>
              <w:jc w:val="left"/>
            </w:pPr>
            <w:r>
              <w:t xml:space="preserve">Requires contradiction resolution</w:t>
            </w:r>
          </w:p>
        </w:tc>
      </w:tr>
      <w:tr>
        <w:tc>
          <w:tcPr/>
          <w:p>
            <w:pPr>
              <w:pStyle w:val="Compact"/>
              <w:jc w:val="left"/>
            </w:pPr>
            <w:r>
              <w:t xml:space="preserve">4</w:t>
            </w:r>
          </w:p>
        </w:tc>
        <w:tc>
          <w:tcPr/>
          <w:p>
            <w:pPr>
              <w:pStyle w:val="Compact"/>
              <w:jc w:val="left"/>
            </w:pPr>
            <w:r>
              <w:t xml:space="preserve">257</w:t>
            </w:r>
          </w:p>
        </w:tc>
        <w:tc>
          <w:tcPr/>
          <w:p>
            <w:pPr>
              <w:pStyle w:val="Compact"/>
              <w:jc w:val="left"/>
            </w:pPr>
            <w:r>
              <w:t xml:space="preserve">Decay Scoring</w:t>
            </w:r>
          </w:p>
        </w:tc>
        <w:tc>
          <w:tcPr/>
          <w:p>
            <w:pPr>
              <w:pStyle w:val="Compact"/>
              <w:jc w:val="left"/>
            </w:pPr>
            <w:r>
              <w:t xml:space="preserve">Independent</w:t>
            </w:r>
          </w:p>
        </w:tc>
      </w:tr>
      <w:tr>
        <w:tc>
          <w:tcPr/>
          <w:p>
            <w:pPr>
              <w:pStyle w:val="Compact"/>
              <w:jc w:val="left"/>
            </w:pPr>
            <w:r>
              <w:t xml:space="preserve">5</w:t>
            </w:r>
          </w:p>
        </w:tc>
        <w:tc>
          <w:tcPr/>
          <w:p>
            <w:pPr>
              <w:pStyle w:val="Compact"/>
              <w:jc w:val="left"/>
            </w:pPr>
            <w:r>
              <w:t xml:space="preserve">256</w:t>
            </w:r>
          </w:p>
        </w:tc>
        <w:tc>
          <w:tcPr/>
          <w:p>
            <w:pPr>
              <w:pStyle w:val="Compact"/>
              <w:jc w:val="left"/>
            </w:pPr>
            <w:r>
              <w:t xml:space="preserve">Consolidation Cron</w:t>
            </w:r>
          </w:p>
        </w:tc>
        <w:tc>
          <w:tcPr/>
          <w:p>
            <w:pPr>
              <w:pStyle w:val="Compact"/>
              <w:jc w:val="left"/>
            </w:pPr>
            <w:r>
              <w:t xml:space="preserve">Requires decay scoring</w:t>
            </w:r>
          </w:p>
        </w:tc>
      </w:tr>
      <w:tr>
        <w:tc>
          <w:tcPr/>
          <w:p>
            <w:pPr>
              <w:pStyle w:val="Compact"/>
              <w:jc w:val="left"/>
            </w:pPr>
            <w:r>
              <w:t xml:space="preserve">6</w:t>
            </w:r>
          </w:p>
        </w:tc>
        <w:tc>
          <w:tcPr/>
          <w:p>
            <w:pPr>
              <w:pStyle w:val="Compact"/>
              <w:jc w:val="left"/>
            </w:pPr>
            <w:r>
              <w:t xml:space="preserve">259</w:t>
            </w:r>
          </w:p>
        </w:tc>
        <w:tc>
          <w:tcPr/>
          <w:p>
            <w:pPr>
              <w:pStyle w:val="Compact"/>
              <w:jc w:val="left"/>
            </w:pPr>
            <w:r>
              <w:t xml:space="preserve">Connector Sync</w:t>
            </w:r>
          </w:p>
        </w:tc>
        <w:tc>
          <w:tcPr/>
          <w:p>
            <w:pPr>
              <w:pStyle w:val="Compact"/>
              <w:jc w:val="left"/>
            </w:pPr>
            <w:r>
              <w:t xml:space="preserve">Requires stable memory API</w:t>
            </w:r>
          </w:p>
        </w:tc>
      </w:tr>
      <w:tr>
        <w:tc>
          <w:tcPr/>
          <w:p>
            <w:pPr>
              <w:pStyle w:val="Compact"/>
              <w:jc w:val="left"/>
            </w:pPr>
            <w:r>
              <w:t xml:space="preserve">7</w:t>
            </w:r>
          </w:p>
        </w:tc>
        <w:tc>
          <w:tcPr/>
          <w:p>
            <w:pPr>
              <w:pStyle w:val="Compact"/>
              <w:jc w:val="left"/>
            </w:pPr>
            <w:r>
              <w:t xml:space="preserve">258</w:t>
            </w:r>
          </w:p>
        </w:tc>
        <w:tc>
          <w:tcPr/>
          <w:p>
            <w:pPr>
              <w:pStyle w:val="Compact"/>
              <w:jc w:val="left"/>
            </w:pPr>
            <w:r>
              <w:t xml:space="preserve">Supermemory MCP Self-Host EU</w:t>
            </w:r>
          </w:p>
        </w:tc>
        <w:tc>
          <w:tcPr/>
          <w:p>
            <w:pPr>
              <w:pStyle w:val="Compact"/>
              <w:jc w:val="left"/>
            </w:pPr>
            <w:r>
              <w:t xml:space="preserve">Infrastructure, last</w:t>
            </w:r>
          </w:p>
        </w:tc>
      </w:tr>
    </w:tbl>
    <w:p>
      <w:pPr>
        <w:pStyle w:val="BodyText"/>
      </w:pPr>
      <w:r>
        <w:rPr>
          <w:bCs/>
          <w:b/>
        </w:rPr>
        <w:t xml:space="preserve">Key Contribution #20:</w:t>
      </w:r>
      <w:r>
        <w:t xml:space="preserve"> </w:t>
      </w:r>
      <w:r>
        <w:t xml:space="preserve">First production implementation of agent memory fact extraction in an EU-compliant industrial AI platform, demonstrating the dual LWM/client-memory architecture and identifying the three-layer execution gap (state machine, ERP connectors, KYA governance) required for actionable enterprise AI memory.</w:t>
      </w:r>
    </w:p>
    <w:p>
      <w:r>
        <w:pict>
          <v:rect style="width:0;height:1.5pt" o:hralign="center" o:hrstd="t" o:hr="t"/>
        </w:pict>
      </w:r>
    </w:p>
    <w:bookmarkEnd w:id="179"/>
    <w:bookmarkEnd w:id="180"/>
    <w:bookmarkStart w:id="184" w:name="ceo-automation-agent-suite"/>
    <w:p>
      <w:pPr>
        <w:pStyle w:val="Heading2"/>
      </w:pPr>
      <w:r>
        <w:t xml:space="preserve">10.11 CEO Automation Agent Suite</w:t>
      </w:r>
    </w:p>
    <w:p>
      <w:pPr>
        <w:pStyle w:val="FirstParagraph"/>
      </w:pPr>
      <w:r>
        <w:rPr>
          <w:iCs/>
          <w:i/>
        </w:rPr>
        <w:t xml:space="preserve">Deployed: 24.02.2026 | Commit: claude/ai-agent-orchestration-t89Ig</w:t>
      </w:r>
    </w:p>
    <w:p>
      <w:pPr>
        <w:pStyle w:val="BodyText"/>
      </w:pPr>
      <w:r>
        <w:t xml:space="preserve">Three production AI agents that automate the CEO’s daily operational rhythm, fully integrated into the Firehorse platform (GitHub Actions cron, Supabase, Resend).</w:t>
      </w:r>
    </w:p>
    <w:bookmarkStart w:id="181" w:name="captain-pre-briefing-agent"/>
    <w:p>
      <w:pPr>
        <w:pStyle w:val="Heading3"/>
      </w:pPr>
      <w:r>
        <w:t xml:space="preserve">10.11.1 Captain Pre-Briefing Agent</w:t>
      </w:r>
    </w:p>
    <w:p>
      <w:pPr>
        <w:pStyle w:val="FirstParagraph"/>
      </w:pPr>
      <w:r>
        <w:rPr>
          <w:bCs/>
          <w:b/>
        </w:rPr>
        <w:t xml:space="preserve">Trigger:</w:t>
      </w:r>
      <w:r>
        <w:t xml:space="preserve"> </w:t>
      </w:r>
      <w:r>
        <w:t xml:space="preserve">07:30 Helsinki, Mon–Fri |</w:t>
      </w:r>
      <w:r>
        <w:t xml:space="preserve"> </w:t>
      </w:r>
      <w:r>
        <w:rPr>
          <w:bCs/>
          <w:b/>
        </w:rPr>
        <w:t xml:space="preserve">File:</w:t>
      </w:r>
      <w:r>
        <w:t xml:space="preserve"> </w:t>
      </w:r>
      <w:r>
        <w:rPr>
          <w:rStyle w:val="VerbatimChar"/>
        </w:rPr>
        <w:t xml:space="preserve">src/captain-briefing/</w:t>
      </w:r>
    </w:p>
    <w:p>
      <w:pPr>
        <w:pStyle w:val="BodyText"/>
      </w:pPr>
      <w:r>
        <w:t xml:space="preserve">Prepares a pre-call briefing for each active sales contact (captain) with a next action due today. Pulls thread history, contact info, proposals, and meetings from Supabase, generates talking points and a suggested next action, sends as a dark-theme HTML email via Resend.</w:t>
      </w:r>
    </w:p>
    <w:p>
      <w:pPr>
        <w:pStyle w:val="SourceCode"/>
      </w:pPr>
      <w:r>
        <w:rPr>
          <w:rStyle w:val="VerbatimChar"/>
        </w:rPr>
        <w:t xml:space="preserve">07:30 Helsinki → Captain Briefing Agent</w:t>
      </w:r>
      <w:r>
        <w:br/>
      </w:r>
      <w:r>
        <w:rPr>
          <w:rStyle w:val="VerbatimChar"/>
        </w:rPr>
        <w:t xml:space="preserve">  └── Supabase: thread_history + proposals + meetings</w:t>
      </w:r>
      <w:r>
        <w:br/>
      </w:r>
      <w:r>
        <w:rPr>
          <w:rStyle w:val="VerbatimChar"/>
        </w:rPr>
        <w:t xml:space="preserve">  └── Claude: talking points + suggested next action</w:t>
      </w:r>
      <w:r>
        <w:br/>
      </w:r>
      <w:r>
        <w:rPr>
          <w:rStyle w:val="VerbatimChar"/>
        </w:rPr>
        <w:t xml:space="preserve">  └── Resend: HTML email → risto@lifetime.fi</w:t>
      </w:r>
    </w:p>
    <w:p>
      <w:pPr>
        <w:pStyle w:val="FirstParagraph"/>
      </w:pPr>
      <w:r>
        <w:rPr>
          <w:bCs/>
          <w:b/>
        </w:rPr>
        <w:t xml:space="preserve">Research contribution:</w:t>
      </w:r>
      <w:r>
        <w:t xml:space="preserve"> </w:t>
      </w:r>
      <w:r>
        <w:t xml:space="preserve">Implements the Lifetime Scope Signals protocol (Section 2.5.2) in an operational context — the agent observes CRM signals and emits an action recommendation, demonstrating the brain-body interface in a revenue-critical workflow.</w:t>
      </w:r>
    </w:p>
    <w:bookmarkEnd w:id="181"/>
    <w:bookmarkStart w:id="182" w:name="linkedin-post-scheduler"/>
    <w:p>
      <w:pPr>
        <w:pStyle w:val="Heading3"/>
      </w:pPr>
      <w:r>
        <w:t xml:space="preserve">10.11.2 LinkedIn Post Scheduler</w:t>
      </w:r>
    </w:p>
    <w:p>
      <w:pPr>
        <w:pStyle w:val="FirstParagraph"/>
      </w:pPr>
      <w:r>
        <w:rPr>
          <w:bCs/>
          <w:b/>
        </w:rPr>
        <w:t xml:space="preserve">Trigger:</w:t>
      </w:r>
      <w:r>
        <w:t xml:space="preserve"> </w:t>
      </w:r>
      <w:r>
        <w:t xml:space="preserve">08:00 Helsinki, Mon–Fri |</w:t>
      </w:r>
      <w:r>
        <w:t xml:space="preserve"> </w:t>
      </w:r>
      <w:r>
        <w:rPr>
          <w:bCs/>
          <w:b/>
        </w:rPr>
        <w:t xml:space="preserve">File:</w:t>
      </w:r>
      <w:r>
        <w:t xml:space="preserve"> </w:t>
      </w:r>
      <w:r>
        <w:rPr>
          <w:rStyle w:val="VerbatimChar"/>
        </w:rPr>
        <w:t xml:space="preserve">src/social-scheduler/</w:t>
      </w:r>
    </w:p>
    <w:p>
      <w:pPr>
        <w:pStyle w:val="BodyText"/>
      </w:pPr>
      <w:r>
        <w:t xml:space="preserve">Weekly content calendar with category-specific post templates (Mon=thought leadership, Tue=compliance, Wed=product, Thu=case study, Fri=ecosystem). CEO approval digest — reply approve/edit/reject per draft. Posts queue stored in Supabase (</w:t>
      </w:r>
      <w:r>
        <w:rPr>
          <w:rStyle w:val="VerbatimChar"/>
        </w:rPr>
        <w:t xml:space="preserve">social_posts</w:t>
      </w:r>
      <w:r>
        <w:t xml:space="preserve"> </w:t>
      </w:r>
      <w:r>
        <w:t xml:space="preserve">table, migration</w:t>
      </w:r>
      <w:r>
        <w:t xml:space="preserve"> </w:t>
      </w:r>
      <w:r>
        <w:rPr>
          <w:rStyle w:val="VerbatimChar"/>
        </w:rPr>
        <w:t xml:space="preserve">034_social_posts.sql</w:t>
      </w:r>
      <w:r>
        <w:t xml:space="preserve">).</w:t>
      </w:r>
    </w:p>
    <w:bookmarkEnd w:id="182"/>
    <w:bookmarkStart w:id="183" w:name="eu-regulation-monitor"/>
    <w:p>
      <w:pPr>
        <w:pStyle w:val="Heading3"/>
      </w:pPr>
      <w:r>
        <w:t xml:space="preserve">10.11.3 EU Regulation Monitor</w:t>
      </w:r>
    </w:p>
    <w:p>
      <w:pPr>
        <w:pStyle w:val="FirstParagraph"/>
      </w:pPr>
      <w:r>
        <w:rPr>
          <w:bCs/>
          <w:b/>
        </w:rPr>
        <w:t xml:space="preserve">Trigger:</w:t>
      </w:r>
      <w:r>
        <w:t xml:space="preserve"> </w:t>
      </w:r>
      <w:r>
        <w:t xml:space="preserve">05:30 Helsinki, Mon–Fri (before briefing) |</w:t>
      </w:r>
      <w:r>
        <w:t xml:space="preserve"> </w:t>
      </w:r>
      <w:r>
        <w:rPr>
          <w:bCs/>
          <w:b/>
        </w:rPr>
        <w:t xml:space="preserve">File:</w:t>
      </w:r>
      <w:r>
        <w:t xml:space="preserve"> </w:t>
      </w:r>
      <w:r>
        <w:rPr>
          <w:rStyle w:val="VerbatimChar"/>
        </w:rPr>
        <w:t xml:space="preserve">src/regulation-monitor/</w:t>
      </w:r>
    </w:p>
    <w:p>
      <w:pPr>
        <w:pStyle w:val="BodyText"/>
      </w:pPr>
      <w:r>
        <w:t xml:space="preserve">Fetches RSS from EU Commission, EUR-Lex, Carbon Pulse, and Euractiv. Classifies updates by regulation (CBAM, CSRD, Fit for 55, EPBD, EU AI Act, ETS) with severity scoring (urgent/important/info) and customer impact detection. Feeds regulation alerts into the LinkedIn Scheduler as content ideas.</w:t>
      </w:r>
    </w:p>
    <w:p>
      <w:pPr>
        <w:pStyle w:val="SourceCode"/>
      </w:pPr>
      <w:r>
        <w:rPr>
          <w:rStyle w:val="VerbatimChar"/>
        </w:rPr>
        <w:t xml:space="preserve">05:30 → EU Regulation Monitor</w:t>
      </w:r>
      <w:r>
        <w:br/>
      </w:r>
      <w:r>
        <w:rPr>
          <w:rStyle w:val="VerbatimChar"/>
        </w:rPr>
        <w:t xml:space="preserve">  └── Fetch: EU Commission + EUR-Lex + Carbon Pulse + Euractiv</w:t>
      </w:r>
      <w:r>
        <w:br/>
      </w:r>
      <w:r>
        <w:rPr>
          <w:rStyle w:val="VerbatimChar"/>
        </w:rPr>
        <w:t xml:space="preserve">  └── Classify: CBAM | CSRD | Fit for 55 | EPBD | EU AI Act | ETS</w:t>
      </w:r>
      <w:r>
        <w:br/>
      </w:r>
      <w:r>
        <w:rPr>
          <w:rStyle w:val="VerbatimChar"/>
        </w:rPr>
        <w:t xml:space="preserve">  └── Score: urgent / important / info</w:t>
      </w:r>
      <w:r>
        <w:br/>
      </w:r>
      <w:r>
        <w:rPr>
          <w:rStyle w:val="VerbatimChar"/>
        </w:rPr>
        <w:t xml:space="preserve">  └── Feed: → LinkedIn Scheduler content queue</w:t>
      </w:r>
      <w:r>
        <w:br/>
      </w:r>
      <w:r>
        <w:rPr>
          <w:rStyle w:val="VerbatimChar"/>
        </w:rPr>
        <w:t xml:space="preserve">07:30 → Captain Briefing (uses regulation context)</w:t>
      </w:r>
      <w:r>
        <w:br/>
      </w:r>
      <w:r>
        <w:rPr>
          <w:rStyle w:val="VerbatimChar"/>
        </w:rPr>
        <w:t xml:space="preserve">08:00 → LinkedIn Scheduler (drafts regulation-aware posts)</w:t>
      </w:r>
    </w:p>
    <w:p>
      <w:pPr>
        <w:pStyle w:val="FirstParagraph"/>
      </w:pPr>
      <w:r>
        <w:rPr>
          <w:bCs/>
          <w:b/>
        </w:rPr>
        <w:t xml:space="preserve">Solution Factory validation:</w:t>
      </w:r>
      <w:r>
        <w:t xml:space="preserve"> </w:t>
      </w:r>
      <w:r>
        <w:t xml:space="preserve">All three agents were implemented in a single session following the same patterns: dark-theme HTML email, Resend delivery, GitHub Actions cron with DST-safe dual entries (</w:t>
      </w:r>
      <w:r>
        <w:rPr>
          <w:rStyle w:val="VerbatimChar"/>
        </w:rPr>
        <w:t xml:space="preserve">UTC+2</w:t>
      </w:r>
      <w:r>
        <w:t xml:space="preserve">/</w:t>
      </w:r>
      <w:r>
        <w:rPr>
          <w:rStyle w:val="VerbatimChar"/>
        </w:rPr>
        <w:t xml:space="preserve">UTC+3</w:t>
      </w:r>
      <w:r>
        <w:t xml:space="preserve">), best-effort Supabase queries. This confirms the operating model’s replicability for new agent types.</w:t>
      </w:r>
    </w:p>
    <w:p>
      <w:r>
        <w:pict>
          <v:rect style="width:0;height:1.5pt" o:hralign="center" o:hrstd="t" o:hr="t"/>
        </w:pict>
      </w:r>
    </w:p>
    <w:bookmarkEnd w:id="183"/>
    <w:bookmarkEnd w:id="184"/>
    <w:bookmarkStart w:id="190" w:name="Xc0734f62f8b7207932c56e03d0284c283e31af6"/>
    <w:p>
      <w:pPr>
        <w:pStyle w:val="Heading2"/>
      </w:pPr>
      <w:r>
        <w:t xml:space="preserve">10.12 Strategic Partnerships: NVIDIA, Siemens, ABB, xAI &amp; Mistral</w:t>
      </w:r>
    </w:p>
    <w:p>
      <w:pPr>
        <w:pStyle w:val="FirstParagraph"/>
      </w:pPr>
      <w:r>
        <w:rPr>
          <w:iCs/>
          <w:i/>
        </w:rPr>
        <w:t xml:space="preserve">Documented: 27.02.2026 | Source: docs/DWS6_TO_DWS7_UPDATE.md v1.1</w:t>
      </w:r>
    </w:p>
    <w:p>
      <w:pPr>
        <w:pStyle w:val="BodyText"/>
      </w:pPr>
      <w:r>
        <w:t xml:space="preserve">DWS7 builds a multi-partner ecosystem spanning industrial automation (NVIDIA, Siemens, ABB), frontier AI inference (xAI, Mistral), and edge computing. Each partner fills a distinct role in the Brain-Memory-Body-Hands architecture.</w:t>
      </w:r>
    </w:p>
    <w:tbl>
      <w:tblPr>
        <w:tblStyle w:val="Table"/>
        <w:tblW w:type="pct" w:w="5000"/>
        <w:tblLook w:firstRow="1" w:lastRow="0" w:firstColumn="0" w:lastColumn="0" w:noHBand="0" w:noVBand="0" w:val="0020"/>
        <w:jc w:val="start"/>
      </w:tblPr>
      <w:tblGrid>
        <w:gridCol w:w="685"/>
        <w:gridCol w:w="5238"/>
        <w:gridCol w:w="1995"/>
      </w:tblGrid>
      <w:tr>
        <w:trPr>
          <w:tblHeader w:val="true"/>
        </w:trPr>
        <w:tc>
          <w:tcPr/>
          <w:p>
            <w:pPr>
              <w:pStyle w:val="Compact"/>
              <w:jc w:val="left"/>
            </w:pPr>
            <w:r>
              <w:t xml:space="preserve">Partner</w:t>
            </w:r>
          </w:p>
        </w:tc>
        <w:tc>
          <w:tcPr/>
          <w:p>
            <w:pPr>
              <w:pStyle w:val="Compact"/>
              <w:jc w:val="left"/>
            </w:pPr>
            <w:r>
              <w:t xml:space="preserve">Role in Architecture</w:t>
            </w:r>
          </w:p>
        </w:tc>
        <w:tc>
          <w:tcPr/>
          <w:p>
            <w:pPr>
              <w:pStyle w:val="Compact"/>
              <w:jc w:val="left"/>
            </w:pPr>
            <w:r>
              <w:t xml:space="preserve">Integration Status</w:t>
            </w:r>
          </w:p>
        </w:tc>
      </w:tr>
      <w:tr>
        <w:tc>
          <w:tcPr/>
          <w:p>
            <w:pPr>
              <w:pStyle w:val="Compact"/>
              <w:jc w:val="left"/>
            </w:pPr>
            <w:r>
              <w:rPr>
                <w:bCs/>
                <w:b/>
              </w:rPr>
              <w:t xml:space="preserve">NVIDIA</w:t>
            </w:r>
          </w:p>
        </w:tc>
        <w:tc>
          <w:tcPr/>
          <w:p>
            <w:pPr>
              <w:pStyle w:val="Compact"/>
              <w:jc w:val="left"/>
            </w:pPr>
            <w:r>
              <w:t xml:space="preserve">GPU compute (Brain), Jetson edge (Hands), Omniverse digital twins (Body)</w:t>
            </w:r>
          </w:p>
        </w:tc>
        <w:tc>
          <w:tcPr/>
          <w:p>
            <w:pPr>
              <w:pStyle w:val="Compact"/>
              <w:jc w:val="left"/>
            </w:pPr>
            <w:r>
              <w:t xml:space="preserve">Inception program target Q2 2026</w:t>
            </w:r>
          </w:p>
        </w:tc>
      </w:tr>
      <w:tr>
        <w:tc>
          <w:tcPr/>
          <w:p>
            <w:pPr>
              <w:pStyle w:val="Compact"/>
              <w:jc w:val="left"/>
            </w:pPr>
            <w:r>
              <w:rPr>
                <w:bCs/>
                <w:b/>
              </w:rPr>
              <w:t xml:space="preserve">Siemens</w:t>
            </w:r>
          </w:p>
        </w:tc>
        <w:tc>
          <w:tcPr/>
          <w:p>
            <w:pPr>
              <w:pStyle w:val="Compact"/>
              <w:jc w:val="left"/>
            </w:pPr>
            <w:r>
              <w:t xml:space="preserve">MindSphere IoT (Hands), digital twin composer (Body), Xcelerator marketplace</w:t>
            </w:r>
          </w:p>
        </w:tc>
        <w:tc>
          <w:tcPr/>
          <w:p>
            <w:pPr>
              <w:pStyle w:val="Compact"/>
              <w:jc w:val="left"/>
            </w:pPr>
            <w:r>
              <w:t xml:space="preserve">Developer access Q2 2026</w:t>
            </w:r>
          </w:p>
        </w:tc>
      </w:tr>
      <w:tr>
        <w:tc>
          <w:tcPr/>
          <w:p>
            <w:pPr>
              <w:pStyle w:val="Compact"/>
              <w:jc w:val="left"/>
            </w:pPr>
            <w:r>
              <w:rPr>
                <w:bCs/>
                <w:b/>
              </w:rPr>
              <w:t xml:space="preserve">ABB</w:t>
            </w:r>
          </w:p>
        </w:tc>
        <w:tc>
          <w:tcPr/>
          <w:p>
            <w:pPr>
              <w:pStyle w:val="Compact"/>
              <w:jc w:val="left"/>
            </w:pPr>
            <w:r>
              <w:t xml:space="preserve">Industrial automation + robotics (Hands), power grid management</w:t>
            </w:r>
          </w:p>
        </w:tc>
        <w:tc>
          <w:tcPr/>
          <w:p>
            <w:pPr>
              <w:pStyle w:val="Compact"/>
              <w:jc w:val="left"/>
            </w:pPr>
            <w:r>
              <w:t xml:space="preserve">Integration target Q3 2026</w:t>
            </w:r>
          </w:p>
        </w:tc>
      </w:tr>
      <w:tr>
        <w:tc>
          <w:tcPr/>
          <w:p>
            <w:pPr>
              <w:pStyle w:val="Compact"/>
              <w:jc w:val="left"/>
            </w:pPr>
            <w:r>
              <w:rPr>
                <w:bCs/>
                <w:b/>
              </w:rPr>
              <w:t xml:space="preserve">xAI</w:t>
            </w:r>
          </w:p>
        </w:tc>
        <w:tc>
          <w:tcPr/>
          <w:p>
            <w:pPr>
              <w:pStyle w:val="Compact"/>
              <w:jc w:val="left"/>
            </w:pPr>
            <w:r>
              <w:t xml:space="preserve">Real-time market intelligence via Grok, X/Twitter signal discovery (Brain)</w:t>
            </w:r>
          </w:p>
        </w:tc>
        <w:tc>
          <w:tcPr/>
          <w:p>
            <w:pPr>
              <w:pStyle w:val="Compact"/>
              <w:jc w:val="left"/>
            </w:pPr>
            <w:r>
              <w:t xml:space="preserve">Active (production)</w:t>
            </w:r>
          </w:p>
        </w:tc>
      </w:tr>
      <w:tr>
        <w:tc>
          <w:tcPr/>
          <w:p>
            <w:pPr>
              <w:pStyle w:val="Compact"/>
              <w:jc w:val="left"/>
            </w:pPr>
            <w:r>
              <w:rPr>
                <w:bCs/>
                <w:b/>
              </w:rPr>
              <w:t xml:space="preserve">Mistral</w:t>
            </w:r>
          </w:p>
        </w:tc>
        <w:tc>
          <w:tcPr/>
          <w:p>
            <w:pPr>
              <w:pStyle w:val="Compact"/>
              <w:jc w:val="left"/>
            </w:pPr>
            <w:r>
              <w:t xml:space="preserve">EU-sovereign AI inference, multilingual compliance generation (Brain/Memory)</w:t>
            </w:r>
          </w:p>
        </w:tc>
        <w:tc>
          <w:tcPr/>
          <w:p>
            <w:pPr>
              <w:pStyle w:val="Compact"/>
              <w:jc w:val="left"/>
            </w:pPr>
            <w:r>
              <w:t xml:space="preserve">Planned Q3 2026</w:t>
            </w:r>
          </w:p>
        </w:tc>
      </w:tr>
      <w:tr>
        <w:tc>
          <w:tcPr/>
          <w:p>
            <w:pPr>
              <w:pStyle w:val="Compact"/>
              <w:jc w:val="left"/>
            </w:pPr>
            <w:r>
              <w:rPr>
                <w:bCs/>
                <w:b/>
              </w:rPr>
              <w:t xml:space="preserve">Red Hat</w:t>
            </w:r>
          </w:p>
        </w:tc>
        <w:tc>
          <w:tcPr/>
          <w:p>
            <w:pPr>
              <w:pStyle w:val="Compact"/>
              <w:jc w:val="left"/>
            </w:pPr>
            <w:r>
              <w:t xml:space="preserve">AgentOps BYOA platform (Body), OpenShift AI for agent deployment, hybrid cloud infra</w:t>
            </w:r>
          </w:p>
        </w:tc>
        <w:tc>
          <w:tcPr/>
          <w:p>
            <w:pPr>
              <w:pStyle w:val="Compact"/>
              <w:jc w:val="left"/>
            </w:pPr>
            <w:r>
              <w:t xml:space="preserve">Active (March 2026)</w:t>
            </w:r>
          </w:p>
        </w:tc>
      </w:tr>
    </w:tbl>
    <w:bookmarkStart w:id="185" w:name="multi-llm-router-architecture"/>
    <w:p>
      <w:pPr>
        <w:pStyle w:val="Heading3"/>
      </w:pPr>
      <w:r>
        <w:t xml:space="preserve">10.12.1 Multi-LLM Router Architecture</w:t>
      </w:r>
    </w:p>
    <w:p>
      <w:pPr>
        <w:pStyle w:val="FirstParagraph"/>
      </w:pPr>
      <w:r>
        <w:t xml:space="preserve">DWS7 selects the LLM per task type based on three criteria:</w:t>
      </w:r>
      <w:r>
        <w:t xml:space="preserve"> </w:t>
      </w:r>
      <w:r>
        <w:rPr>
          <w:bCs/>
          <w:b/>
        </w:rPr>
        <w:t xml:space="preserve">EU sovereignty</w:t>
      </w:r>
      <w:r>
        <w:t xml:space="preserve">,</w:t>
      </w:r>
      <w:r>
        <w:t xml:space="preserve"> </w:t>
      </w:r>
      <w:r>
        <w:rPr>
          <w:bCs/>
          <w:b/>
        </w:rPr>
        <w:t xml:space="preserve">cost</w:t>
      </w:r>
      <w:r>
        <w:t xml:space="preserve">, and</w:t>
      </w:r>
      <w:r>
        <w:t xml:space="preserve"> </w:t>
      </w:r>
      <w:r>
        <w:rPr>
          <w:bCs/>
          <w:b/>
        </w:rPr>
        <w:t xml:space="preserve">latency</w:t>
      </w:r>
      <w:r>
        <w:t xml:space="preserve">:</w:t>
      </w:r>
    </w:p>
    <w:p>
      <w:pPr>
        <w:pStyle w:val="SourceCode"/>
      </w:pPr>
      <w:r>
        <w:rPr>
          <w:rStyle w:val="VerbatimChar"/>
        </w:rPr>
        <w:t xml:space="preserve">Task type → LLM selection</w:t>
      </w:r>
      <w:r>
        <w:br/>
      </w:r>
      <w:r>
        <w:rPr>
          <w:rStyle w:val="VerbatimChar"/>
        </w:rPr>
        <w:t xml:space="preserve">  Compliance generation (CSRD, CBAM)  → Claude (reasoning depth) or Mistral (EU-sovereign)</w:t>
      </w:r>
      <w:r>
        <w:br/>
      </w:r>
      <w:r>
        <w:rPr>
          <w:rStyle w:val="VerbatimChar"/>
        </w:rPr>
        <w:t xml:space="preserve">  Real-time market signal analysis     → xAI Grok (live X/Twitter data)</w:t>
      </w:r>
      <w:r>
        <w:br/>
      </w:r>
      <w:r>
        <w:rPr>
          <w:rStyle w:val="VerbatimChar"/>
        </w:rPr>
        <w:t xml:space="preserve">  Code generation                      → Claude or Groq (Llama 70B, fast)</w:t>
      </w:r>
      <w:r>
        <w:br/>
      </w:r>
      <w:r>
        <w:rPr>
          <w:rStyle w:val="VerbatimChar"/>
        </w:rPr>
        <w:t xml:space="preserve">  Lightweight summarization            → Groq (Haiku-equivalent speed)</w:t>
      </w:r>
      <w:r>
        <w:br/>
      </w:r>
      <w:r>
        <w:rPr>
          <w:rStyle w:val="VerbatimChar"/>
        </w:rPr>
        <w:t xml:space="preserve">  Edge inference (Acer Veriton)        → Qwen 2.5 72B (QLoRA fine-tuned, on-premises)</w:t>
      </w:r>
    </w:p>
    <w:p>
      <w:pPr>
        <w:pStyle w:val="FirstParagraph"/>
      </w:pPr>
      <w:r>
        <w:t xml:space="preserve">This multi-LLM router is not a monolithic integration — it is the</w:t>
      </w:r>
      <w:r>
        <w:t xml:space="preserve"> </w:t>
      </w:r>
      <w:r>
        <w:rPr>
          <w:bCs/>
          <w:b/>
        </w:rPr>
        <w:t xml:space="preserve">Lifetime World Model’s inference layer</w:t>
      </w:r>
      <w:r>
        <w:t xml:space="preserve">, selecting among its constituent models based on sovereignty, cost, and latency constraints at runtime.</w:t>
      </w:r>
    </w:p>
    <w:bookmarkEnd w:id="185"/>
    <w:bookmarkStart w:id="186" w:name="nvidia-gpu-compute-edge-ai"/>
    <w:p>
      <w:pPr>
        <w:pStyle w:val="Heading3"/>
      </w:pPr>
      <w:r>
        <w:t xml:space="preserve">10.12.2 NVIDIA — GPU Compute &amp; Edge AI</w:t>
      </w:r>
    </w:p>
    <w:p>
      <w:pPr>
        <w:pStyle w:val="FirstParagraph"/>
      </w:pPr>
      <w:r>
        <w:t xml:space="preserve">NVIDIA provides the infrastructure for both cloud inference and on-premises edge AI. The Acer Veriton GN100 (Section 10.10) already hosts CUDA-capable workloads. NVIDIA Inception membership (target Q2 2026) unlocks preferred pricing on compute credits and access to the Omniverse industrial simulation platform for digital twin workflows.</w:t>
      </w:r>
    </w:p>
    <w:p>
      <w:pPr>
        <w:pStyle w:val="BodyText"/>
      </w:pPr>
      <w:r>
        <w:rPr>
          <w:bCs/>
          <w:b/>
        </w:rPr>
        <w:t xml:space="preserve">Partnership track:</w:t>
      </w:r>
      <w:r>
        <w:t xml:space="preserve"> </w:t>
      </w:r>
      <w:r>
        <w:t xml:space="preserve">NVIDIA Inception (Q2 2026) → Ecosystem Partner (Q4 2026) → Strategic Partner (2027+)</w:t>
      </w:r>
    </w:p>
    <w:bookmarkEnd w:id="186"/>
    <w:bookmarkStart w:id="187" w:name="abb-industrial-automation-emissions-data"/>
    <w:p>
      <w:pPr>
        <w:pStyle w:val="Heading3"/>
      </w:pPr>
      <w:r>
        <w:t xml:space="preserve">10.12.3 ABB — Industrial Automation &amp; Emissions Data</w:t>
      </w:r>
    </w:p>
    <w:p>
      <w:pPr>
        <w:pStyle w:val="FirstParagraph"/>
      </w:pPr>
      <w:r>
        <w:t xml:space="preserve">ABB’s installed base of drives, motors, and power distribution equipment generates the sensor data DWS7 needs for real-time emissions calculation. ABB Ability Platform enables cloud-to-cloud IoT data ingestion; ABB Ability Energy Manager provides real-time Scope 2 emissions data.</w:t>
      </w:r>
    </w:p>
    <w:p>
      <w:pPr>
        <w:pStyle w:val="BodyText"/>
      </w:pPr>
      <w:r>
        <w:rPr>
          <w:bCs/>
          <w:b/>
        </w:rPr>
        <w:t xml:space="preserve">Why ABB matters for EU ETS:</w:t>
      </w:r>
      <w:r>
        <w:t xml:space="preserve"> </w:t>
      </w:r>
      <w:r>
        <w:t xml:space="preserve">ABB’s customers — steel, cement, chemicals, aluminum — are exactly the industries facing the highest EU ETS carbon costs. DWS7 becomes the compliance brain on top of ABB’s operational data.</w:t>
      </w:r>
    </w:p>
    <w:bookmarkEnd w:id="187"/>
    <w:bookmarkStart w:id="188" w:name="X5206bd3afdba06b0fe9823a5c00a5014d03af77"/>
    <w:p>
      <w:pPr>
        <w:pStyle w:val="Heading3"/>
      </w:pPr>
      <w:r>
        <w:t xml:space="preserve">10.12.4 Red Hat — AgentOps &amp; Hybrid Cloud Infrastructure</w:t>
      </w:r>
    </w:p>
    <w:p>
      <w:pPr>
        <w:pStyle w:val="FirstParagraph"/>
      </w:pPr>
      <w:r>
        <w:rPr>
          <w:iCs/>
          <w:i/>
        </w:rPr>
        <w:t xml:space="preserve">Added: 21.03.2026 | Source: Red Hat</w:t>
      </w:r>
      <w:r>
        <w:rPr>
          <w:iCs/>
          <w:i/>
        </w:rPr>
        <w:t xml:space="preserve"> </w:t>
      </w:r>
      <w:r>
        <w:rPr>
          <w:iCs/>
          <w:i/>
        </w:rPr>
        <w:t xml:space="preserve">“</w:t>
      </w:r>
      <w:r>
        <w:rPr>
          <w:iCs/>
          <w:i/>
        </w:rPr>
        <w:t xml:space="preserve">The Adaptable Enterprise</w:t>
      </w:r>
      <w:r>
        <w:rPr>
          <w:iCs/>
          <w:i/>
        </w:rPr>
        <w:t xml:space="preserve">”</w:t>
      </w:r>
      <w:r>
        <w:rPr>
          <w:iCs/>
          <w:i/>
        </w:rPr>
        <w:t xml:space="preserve"> </w:t>
      </w:r>
      <w:r>
        <w:rPr>
          <w:iCs/>
          <w:i/>
        </w:rPr>
        <w:t xml:space="preserve">Key Findings (2025), Mikko Pylväs (Red Hat Finland AI event, March 2026)</w:t>
      </w:r>
    </w:p>
    <w:p>
      <w:pPr>
        <w:pStyle w:val="BodyText"/>
      </w:pPr>
      <w:r>
        <w:t xml:space="preserve">Red Hat’s AgentOps strategy —</w:t>
      </w:r>
      <w:r>
        <w:t xml:space="preserve"> </w:t>
      </w:r>
      <w:r>
        <w:rPr>
          <w:bCs/>
          <w:b/>
        </w:rPr>
        <w:t xml:space="preserve">Bring Your Own Agent (BYOA)</w:t>
      </w:r>
      <w:r>
        <w:t xml:space="preserve"> </w:t>
      </w:r>
      <w:r>
        <w:t xml:space="preserve">— provides enterprise Kubernetes (OpenShift) as the deployment and orchestration layer for AI agents. Their core thesis: adaptability is the prerequisite for any AI strategy to succeed. Whether agents use LangChain, AutoGen, or custom frameworks, Red Hat provides the enterprise rigor and security policies needed for production readiness.</w:t>
      </w:r>
    </w:p>
    <w:p>
      <w:pPr>
        <w:pStyle w:val="BodyText"/>
      </w:pPr>
      <w:r>
        <w:rPr>
          <w:bCs/>
          <w:b/>
        </w:rPr>
        <w:t xml:space="preserve">Strategic alignment with DWS IQ 6:</w:t>
      </w:r>
    </w:p>
    <w:p>
      <w:pPr>
        <w:numPr>
          <w:ilvl w:val="0"/>
          <w:numId w:val="1064"/>
        </w:numPr>
        <w:pStyle w:val="Compact"/>
      </w:pPr>
      <w:r>
        <w:rPr>
          <w:bCs/>
          <w:b/>
        </w:rPr>
        <w:t xml:space="preserve">Hybrid cloud imperative:</w:t>
      </w:r>
      <w:r>
        <w:t xml:space="preserve"> </w:t>
      </w:r>
      <w:r>
        <w:t xml:space="preserve">Red Hat identifies that a successful AI strategy must be a hybrid cloud strategy — train, tune, and run models wherever data resides without compromising security, compliance, or data sovereignty. This maps directly to DWS IQ 6’s deployment model (EU Cloud + GN-100 edge + Article 12 Logging Pipeline).</w:t>
      </w:r>
    </w:p>
    <w:p>
      <w:pPr>
        <w:numPr>
          <w:ilvl w:val="0"/>
          <w:numId w:val="1064"/>
        </w:numPr>
        <w:pStyle w:val="Compact"/>
      </w:pPr>
      <w:r>
        <w:rPr>
          <w:bCs/>
          <w:b/>
        </w:rPr>
        <w:t xml:space="preserve">Modernize before automate:</w:t>
      </w:r>
      <w:r>
        <w:t xml:space="preserve"> </w:t>
      </w:r>
      <w:r>
        <w:t xml:space="preserve">Moving from proprietary silos to open, flexible hybrid cloud (Linux, containers, Kubernetes) aligns with DWS7’s container-native architecture and NVIDIA partnership.</w:t>
      </w:r>
    </w:p>
    <w:p>
      <w:pPr>
        <w:numPr>
          <w:ilvl w:val="0"/>
          <w:numId w:val="1064"/>
        </w:numPr>
        <w:pStyle w:val="Compact"/>
      </w:pPr>
      <w:r>
        <w:rPr>
          <w:bCs/>
          <w:b/>
        </w:rPr>
        <w:t xml:space="preserve">Red Hat + NVIDIA joint work</w:t>
      </w:r>
      <w:r>
        <w:t xml:space="preserve"> </w:t>
      </w:r>
      <w:r>
        <w:t xml:space="preserve">on secure AI agent infrastructure directly supports the KYA-governed agent isolation model, providing hardware-attested security at the infrastructure layer.</w:t>
      </w:r>
    </w:p>
    <w:p>
      <w:pPr>
        <w:numPr>
          <w:ilvl w:val="0"/>
          <w:numId w:val="1064"/>
        </w:numPr>
        <w:pStyle w:val="Compact"/>
      </w:pPr>
      <w:r>
        <w:rPr>
          <w:bCs/>
          <w:b/>
        </w:rPr>
        <w:t xml:space="preserve">MCP as bridge:</w:t>
      </w:r>
      <w:r>
        <w:t xml:space="preserve"> </w:t>
      </w:r>
      <w:r>
        <w:t xml:space="preserve">Red Hat identifies MCP as critical for bridging legacy systems with agentic AI — validating DWS IQ 6’s MCP Hub architecture (Section 2.5.3).</w:t>
      </w:r>
    </w:p>
    <w:p>
      <w:pPr>
        <w:numPr>
          <w:ilvl w:val="0"/>
          <w:numId w:val="1064"/>
        </w:numPr>
        <w:pStyle w:val="Compact"/>
      </w:pPr>
      <w:r>
        <w:rPr>
          <w:bCs/>
          <w:b/>
        </w:rPr>
        <w:t xml:space="preserve">Expertise gap:</w:t>
      </w:r>
      <w:r>
        <w:t xml:space="preserve"> </w:t>
      </w:r>
      <w:r>
        <w:t xml:space="preserve">42% of organizations are blocked by lack of in-house AI expertise (Bain &amp; Company, 2025), validating the managed-platform approach where DWS IQ provides pre-built, compliant agent templates rather than requiring customers to build from scratch.</w:t>
      </w:r>
    </w:p>
    <w:bookmarkEnd w:id="188"/>
    <w:bookmarkStart w:id="189" w:name="research-contribution-4"/>
    <w:p>
      <w:pPr>
        <w:pStyle w:val="Heading3"/>
      </w:pPr>
      <w:r>
        <w:t xml:space="preserve">10.12.5 Research Contribution</w:t>
      </w:r>
    </w:p>
    <w:p>
      <w:pPr>
        <w:pStyle w:val="FirstParagraph"/>
      </w:pPr>
      <w:r>
        <w:t xml:space="preserve">The multi-partner ecosystem validates the</w:t>
      </w:r>
      <w:r>
        <w:t xml:space="preserve"> </w:t>
      </w:r>
      <w:r>
        <w:rPr>
          <w:bCs/>
          <w:b/>
        </w:rPr>
        <w:t xml:space="preserve">Solution Factory model’s third pillar</w:t>
      </w:r>
      <w:r>
        <w:t xml:space="preserve"> </w:t>
      </w:r>
      <w:r>
        <w:t xml:space="preserve">(Section 4.1.3 — distribution leverage). By plugging DWS7 into Siemens Xcelerator, NVIDIA Inception, and Red Hat’s OpenShift ecosystem, the platform gains access to 10,000+ industrial customers without building a direct sales organization — consistent with the partnership distribution strategy (Section 7.3) applied at the partnership level.</w:t>
      </w:r>
    </w:p>
    <w:p>
      <w:pPr>
        <w:pStyle w:val="BodyText"/>
      </w:pPr>
      <w:r>
        <w:t xml:space="preserve">The multi-LLM router architecture also demonstrates practical resolution of the</w:t>
      </w:r>
      <w:r>
        <w:t xml:space="preserve"> </w:t>
      </w:r>
      <w:r>
        <w:rPr>
          <w:bCs/>
          <w:b/>
        </w:rPr>
        <w:t xml:space="preserve">EU AI Act sovereignty tension</w:t>
      </w:r>
      <w:r>
        <w:t xml:space="preserve">: regulated industries can use Mistral for compliance generation (EU-domiciled, GDPR-compliant) while still accessing Claude and Grok for non-regulated analytical tasks. Red Hat’s BYOA framework further validates this architecture — enterprise customers can bring their own agent frameworks while DWS IQ provides the governed orchestration and compliance layer.</w:t>
      </w:r>
    </w:p>
    <w:p>
      <w:r>
        <w:pict>
          <v:rect style="width:0;height:1.5pt" o:hralign="center" o:hrstd="t" o:hr="t"/>
        </w:pict>
      </w:r>
    </w:p>
    <w:bookmarkEnd w:id="189"/>
    <w:bookmarkEnd w:id="190"/>
    <w:bookmarkEnd w:id="191"/>
    <w:bookmarkStart w:id="205" w:name="references"/>
    <w:p>
      <w:pPr>
        <w:pStyle w:val="Heading1"/>
      </w:pPr>
      <w:r>
        <w:t xml:space="preserve">11. References</w:t>
      </w:r>
    </w:p>
    <w:bookmarkStart w:id="192" w:name="academic-literature"/>
    <w:p>
      <w:pPr>
        <w:pStyle w:val="Heading2"/>
      </w:pPr>
      <w:r>
        <w:t xml:space="preserve">Academic Literature</w:t>
      </w:r>
    </w:p>
    <w:p>
      <w:pPr>
        <w:numPr>
          <w:ilvl w:val="0"/>
          <w:numId w:val="1065"/>
        </w:numPr>
      </w:pPr>
      <w:r>
        <w:t xml:space="preserve">Ries, E. (2011).</w:t>
      </w:r>
      <w:r>
        <w:t xml:space="preserve"> </w:t>
      </w:r>
      <w:r>
        <w:rPr>
          <w:iCs/>
          <w:i/>
        </w:rPr>
        <w:t xml:space="preserve">The Lean Startup: How Today’s Entrepreneurs Use Continuous Innovation to Create Radically Successful Businesses</w:t>
      </w:r>
      <w:r>
        <w:t xml:space="preserve">. Crown Business.</w:t>
      </w:r>
    </w:p>
    <w:p>
      <w:pPr>
        <w:numPr>
          <w:ilvl w:val="0"/>
          <w:numId w:val="1065"/>
        </w:numPr>
      </w:pPr>
      <w:r>
        <w:t xml:space="preserve">Blank, S. (2013).</w:t>
      </w:r>
      <w:r>
        <w:t xml:space="preserve"> </w:t>
      </w:r>
      <w:r>
        <w:rPr>
          <w:iCs/>
          <w:i/>
        </w:rPr>
        <w:t xml:space="preserve">The Four Steps to the Epiphany: Successful Strategies for Products that Win</w:t>
      </w:r>
      <w:r>
        <w:t xml:space="preserve">. K&amp;S Ranch.</w:t>
      </w:r>
    </w:p>
    <w:p>
      <w:pPr>
        <w:numPr>
          <w:ilvl w:val="0"/>
          <w:numId w:val="1065"/>
        </w:numPr>
      </w:pPr>
      <w:r>
        <w:t xml:space="preserve">Parker, G., Van Alstyne, M., &amp; Choudary, S. (2016).</w:t>
      </w:r>
      <w:r>
        <w:t xml:space="preserve"> </w:t>
      </w:r>
      <w:r>
        <w:rPr>
          <w:iCs/>
          <w:i/>
        </w:rPr>
        <w:t xml:space="preserve">Platform Revolution: How Networked Markets Are Transforming the Economy</w:t>
      </w:r>
      <w:r>
        <w:t xml:space="preserve">. W.W. Norton.</w:t>
      </w:r>
    </w:p>
    <w:p>
      <w:pPr>
        <w:numPr>
          <w:ilvl w:val="0"/>
          <w:numId w:val="1065"/>
        </w:numPr>
      </w:pPr>
      <w:r>
        <w:t xml:space="preserve">European Commission (2021).</w:t>
      </w:r>
      <w:r>
        <w:t xml:space="preserve"> </w:t>
      </w:r>
      <w:r>
        <w:rPr>
          <w:iCs/>
          <w:i/>
        </w:rPr>
        <w:t xml:space="preserve">Industry 5.0: Towards a Sustainable, Human-Centric and Resilient European Industry</w:t>
      </w:r>
      <w:r>
        <w:t xml:space="preserve">. Publications Office of the EU.</w:t>
      </w:r>
    </w:p>
    <w:p>
      <w:pPr>
        <w:numPr>
          <w:ilvl w:val="0"/>
          <w:numId w:val="1065"/>
        </w:numPr>
      </w:pPr>
      <w:r>
        <w:t xml:space="preserve">Shi, W., Cao, J., Zhang, Q., Li, Y., &amp; Xu, L. (2016).</w:t>
      </w:r>
      <w:r>
        <w:t xml:space="preserve"> </w:t>
      </w:r>
      <w:r>
        <w:t xml:space="preserve">“</w:t>
      </w:r>
      <w:r>
        <w:t xml:space="preserve">Edge Computing: Vision and Challenges.</w:t>
      </w:r>
      <w:r>
        <w:t xml:space="preserve">”</w:t>
      </w:r>
      <w:r>
        <w:t xml:space="preserve"> </w:t>
      </w:r>
      <w:r>
        <w:rPr>
          <w:iCs/>
          <w:i/>
        </w:rPr>
        <w:t xml:space="preserve">IEEE Internet of Things Journal</w:t>
      </w:r>
      <w:r>
        <w:t xml:space="preserve">, 3(5), 637-646.</w:t>
      </w:r>
    </w:p>
    <w:p>
      <w:pPr>
        <w:numPr>
          <w:ilvl w:val="0"/>
          <w:numId w:val="1065"/>
        </w:numPr>
      </w:pPr>
      <w:r>
        <w:t xml:space="preserve">Christensen, C. M., Hall, T., Dillon, K., &amp; Duncan, D. S. (2016).</w:t>
      </w:r>
      <w:r>
        <w:t xml:space="preserve"> </w:t>
      </w:r>
      <w:r>
        <w:t xml:space="preserve">“</w:t>
      </w:r>
      <w:r>
        <w:t xml:space="preserve">Know Your Customers’ Jobs to Be Done.</w:t>
      </w:r>
      <w:r>
        <w:t xml:space="preserve">”</w:t>
      </w:r>
      <w:r>
        <w:t xml:space="preserve"> </w:t>
      </w:r>
      <w:r>
        <w:rPr>
          <w:iCs/>
          <w:i/>
        </w:rPr>
        <w:t xml:space="preserve">Harvard Business Review</w:t>
      </w:r>
      <w:r>
        <w:t xml:space="preserve">, 94(9), 54-62.</w:t>
      </w:r>
    </w:p>
    <w:p>
      <w:pPr>
        <w:numPr>
          <w:ilvl w:val="0"/>
          <w:numId w:val="1065"/>
        </w:numPr>
      </w:pPr>
      <w:r>
        <w:t xml:space="preserve">Wooldridge, M. (2009).</w:t>
      </w:r>
      <w:r>
        <w:t xml:space="preserve"> </w:t>
      </w:r>
      <w:r>
        <w:rPr>
          <w:iCs/>
          <w:i/>
        </w:rPr>
        <w:t xml:space="preserve">An Introduction to MultiAgent Systems</w:t>
      </w:r>
      <w:r>
        <w:t xml:space="preserve"> </w:t>
      </w:r>
      <w:r>
        <w:t xml:space="preserve">(2nd ed.). Wiley.</w:t>
      </w:r>
    </w:p>
    <w:p>
      <w:pPr>
        <w:numPr>
          <w:ilvl w:val="0"/>
          <w:numId w:val="1065"/>
        </w:numPr>
      </w:pPr>
      <w:r>
        <w:t xml:space="preserve">Jennings, N. R., &amp; Wooldridge, M. (1998).</w:t>
      </w:r>
      <w:r>
        <w:t xml:space="preserve"> </w:t>
      </w:r>
      <w:r>
        <w:t xml:space="preserve">“</w:t>
      </w:r>
      <w:r>
        <w:t xml:space="preserve">Applications of intelligent agents.</w:t>
      </w:r>
      <w:r>
        <w:t xml:space="preserve">”</w:t>
      </w:r>
      <w:r>
        <w:t xml:space="preserve"> </w:t>
      </w:r>
      <w:r>
        <w:rPr>
          <w:iCs/>
          <w:i/>
        </w:rPr>
        <w:t xml:space="preserve">Agent Technology: Foundations, Applications, and Markets</w:t>
      </w:r>
      <w:r>
        <w:t xml:space="preserve">, 3-28.</w:t>
      </w:r>
    </w:p>
    <w:bookmarkEnd w:id="192"/>
    <w:bookmarkStart w:id="193" w:name="multi-agent-systems-and-ai-coordination"/>
    <w:p>
      <w:pPr>
        <w:pStyle w:val="Heading2"/>
      </w:pPr>
      <w:r>
        <w:t xml:space="preserve">Multi-Agent Systems and AI Coordination</w:t>
      </w:r>
    </w:p>
    <w:p>
      <w:pPr>
        <w:numPr>
          <w:ilvl w:val="0"/>
          <w:numId w:val="1066"/>
        </w:numPr>
      </w:pPr>
      <w:r>
        <w:t xml:space="preserve">LangChain Documentation (2024).</w:t>
      </w:r>
      <w:r>
        <w:t xml:space="preserve"> </w:t>
      </w:r>
      <w:r>
        <w:t xml:space="preserve">“</w:t>
      </w:r>
      <w:r>
        <w:t xml:space="preserve">Building LLM Applications with Composable Components.</w:t>
      </w:r>
      <w:r>
        <w:t xml:space="preserve">”</w:t>
      </w:r>
      <w:r>
        <w:t xml:space="preserve"> </w:t>
      </w:r>
      <w:r>
        <w:t xml:space="preserve">https://docs.langchain.com</w:t>
      </w:r>
    </w:p>
    <w:p>
      <w:pPr>
        <w:numPr>
          <w:ilvl w:val="0"/>
          <w:numId w:val="1066"/>
        </w:numPr>
      </w:pPr>
      <w:r>
        <w:t xml:space="preserve">Anthropic (2024).</w:t>
      </w:r>
      <w:r>
        <w:t xml:space="preserve"> </w:t>
      </w:r>
      <w:r>
        <w:t xml:space="preserve">“</w:t>
      </w:r>
      <w:r>
        <w:t xml:space="preserve">Model Context Protocol Specification.</w:t>
      </w:r>
      <w:r>
        <w:t xml:space="preserve">”</w:t>
      </w:r>
      <w:r>
        <w:t xml:space="preserve"> </w:t>
      </w:r>
      <w:r>
        <w:t xml:space="preserve">https://modelcontextprotocol.io</w:t>
      </w:r>
    </w:p>
    <w:p>
      <w:pPr>
        <w:numPr>
          <w:ilvl w:val="0"/>
          <w:numId w:val="1066"/>
        </w:numPr>
      </w:pPr>
      <w:r>
        <w:t xml:space="preserve">NVIDIA (2024).</w:t>
      </w:r>
      <w:r>
        <w:t xml:space="preserve"> </w:t>
      </w:r>
      <w:r>
        <w:t xml:space="preserve">“</w:t>
      </w:r>
      <w:r>
        <w:t xml:space="preserve">Jetson Orin Nano Developer Kit: Technical Specifications.</w:t>
      </w:r>
      <w:r>
        <w:t xml:space="preserve">”</w:t>
      </w:r>
      <w:r>
        <w:t xml:space="preserve"> </w:t>
      </w:r>
      <w:r>
        <w:t xml:space="preserve">https://developer.nvidia.com/embedded/jetson-orin-nano</w:t>
      </w:r>
    </w:p>
    <w:bookmarkEnd w:id="193"/>
    <w:bookmarkStart w:id="194" w:name="industry-reports"/>
    <w:p>
      <w:pPr>
        <w:pStyle w:val="Heading2"/>
      </w:pPr>
      <w:r>
        <w:t xml:space="preserve">Industry Reports</w:t>
      </w:r>
    </w:p>
    <w:p>
      <w:pPr>
        <w:numPr>
          <w:ilvl w:val="0"/>
          <w:numId w:val="1067"/>
        </w:numPr>
      </w:pPr>
      <w:r>
        <w:t xml:space="preserve">European Commission &amp; Ramboll (2025).</w:t>
      </w:r>
      <w:r>
        <w:t xml:space="preserve"> </w:t>
      </w:r>
      <w:r>
        <w:t xml:space="preserve">“</w:t>
      </w:r>
      <w:r>
        <w:t xml:space="preserve">Analysis of Life-Cycle Greenhouse Gas Emissions of EU Buildings.</w:t>
      </w:r>
      <w:r>
        <w:t xml:space="preserve">”</w:t>
      </w:r>
      <w:r>
        <w:t xml:space="preserve"> </w:t>
      </w:r>
      <w:r>
        <w:t xml:space="preserve">DG Environment.</w:t>
      </w:r>
    </w:p>
    <w:p>
      <w:pPr>
        <w:numPr>
          <w:ilvl w:val="0"/>
          <w:numId w:val="1067"/>
        </w:numPr>
      </w:pPr>
      <w:r>
        <w:t xml:space="preserve">GRESB (2024).</w:t>
      </w:r>
      <w:r>
        <w:t xml:space="preserve"> </w:t>
      </w:r>
      <w:r>
        <w:t xml:space="preserve">“</w:t>
      </w:r>
      <w:r>
        <w:t xml:space="preserve">Building an Embodied Carbon Strategy in EU Markets: A Guide for Real Estate Investors.</w:t>
      </w:r>
      <w:r>
        <w:t xml:space="preserve">”</w:t>
      </w:r>
    </w:p>
    <w:p>
      <w:pPr>
        <w:numPr>
          <w:ilvl w:val="0"/>
          <w:numId w:val="1067"/>
        </w:numPr>
      </w:pPr>
      <w:r>
        <w:t xml:space="preserve">Eurofound &amp; Cedefop (2025).</w:t>
      </w:r>
      <w:r>
        <w:t xml:space="preserve"> </w:t>
      </w:r>
      <w:r>
        <w:t xml:space="preserve">“</w:t>
      </w:r>
      <w:r>
        <w:t xml:space="preserve">Digitisation of SMEs in the EU: Trends, Policies and Implications.</w:t>
      </w:r>
      <w:r>
        <w:t xml:space="preserve">”</w:t>
      </w:r>
      <w:r>
        <w:t xml:space="preserve"> </w:t>
      </w:r>
      <w:r>
        <w:t xml:space="preserve">Publications Office of the EU.</w:t>
      </w:r>
    </w:p>
    <w:p>
      <w:pPr>
        <w:numPr>
          <w:ilvl w:val="0"/>
          <w:numId w:val="1067"/>
        </w:numPr>
      </w:pPr>
      <w:r>
        <w:t xml:space="preserve">McKinsey &amp; Company (2024).</w:t>
      </w:r>
      <w:r>
        <w:t xml:space="preserve"> </w:t>
      </w:r>
      <w:r>
        <w:t xml:space="preserve">“</w:t>
      </w:r>
      <w:r>
        <w:t xml:space="preserve">The State of AI in Construction: Adoption, Impact, and Future Outlook.</w:t>
      </w:r>
      <w:r>
        <w:t xml:space="preserve">”</w:t>
      </w:r>
    </w:p>
    <w:bookmarkEnd w:id="194"/>
    <w:bookmarkStart w:id="195" w:name="regulations-and-standards"/>
    <w:p>
      <w:pPr>
        <w:pStyle w:val="Heading2"/>
      </w:pPr>
      <w:r>
        <w:t xml:space="preserve">Regulations and Standards</w:t>
      </w:r>
    </w:p>
    <w:p>
      <w:pPr>
        <w:numPr>
          <w:ilvl w:val="0"/>
          <w:numId w:val="1068"/>
        </w:numPr>
      </w:pPr>
      <w:r>
        <w:t xml:space="preserve">NIS 2 Directive (EU) 2022/2555</w:t>
      </w:r>
    </w:p>
    <w:p>
      <w:pPr>
        <w:numPr>
          <w:ilvl w:val="0"/>
          <w:numId w:val="1068"/>
        </w:numPr>
      </w:pPr>
      <w:r>
        <w:t xml:space="preserve">EU AI Act (EU) 2024/1689</w:t>
      </w:r>
    </w:p>
    <w:p>
      <w:pPr>
        <w:numPr>
          <w:ilvl w:val="0"/>
          <w:numId w:val="1068"/>
        </w:numPr>
      </w:pPr>
      <w:r>
        <w:t xml:space="preserve">General Data Protection Regulation (GDPR) (EU) 2016/679</w:t>
      </w:r>
    </w:p>
    <w:p>
      <w:pPr>
        <w:numPr>
          <w:ilvl w:val="0"/>
          <w:numId w:val="1068"/>
        </w:numPr>
      </w:pPr>
      <w:r>
        <w:t xml:space="preserve">Cybersecurity Act (EU) 2019/881</w:t>
      </w:r>
    </w:p>
    <w:p>
      <w:pPr>
        <w:numPr>
          <w:ilvl w:val="0"/>
          <w:numId w:val="1068"/>
        </w:numPr>
      </w:pPr>
      <w:r>
        <w:t xml:space="preserve">ISO/IEC 27001:2022</w:t>
      </w:r>
    </w:p>
    <w:p>
      <w:pPr>
        <w:numPr>
          <w:ilvl w:val="0"/>
          <w:numId w:val="1068"/>
        </w:numPr>
      </w:pPr>
      <w:r>
        <w:t xml:space="preserve">European Commission (2025).</w:t>
      </w:r>
      <w:r>
        <w:t xml:space="preserve"> </w:t>
      </w:r>
      <w:r>
        <w:rPr>
          <w:iCs/>
          <w:i/>
        </w:rPr>
        <w:t xml:space="preserve">Omnibus package</w:t>
      </w:r>
      <w:r>
        <w:t xml:space="preserve">.</w:t>
      </w:r>
    </w:p>
    <w:p>
      <w:pPr>
        <w:numPr>
          <w:ilvl w:val="0"/>
          <w:numId w:val="1068"/>
        </w:numPr>
      </w:pPr>
      <w:r>
        <w:t xml:space="preserve">EN 15978:2011 Sustainability of Construction Works</w:t>
      </w:r>
    </w:p>
    <w:p>
      <w:pPr>
        <w:numPr>
          <w:ilvl w:val="0"/>
          <w:numId w:val="1068"/>
        </w:numPr>
      </w:pPr>
      <w:r>
        <w:t xml:space="preserve">Energy Performance of Buildings Directive (EPBD) (EU) 2024/1275</w:t>
      </w:r>
    </w:p>
    <w:p>
      <w:pPr>
        <w:numPr>
          <w:ilvl w:val="0"/>
          <w:numId w:val="1068"/>
        </w:numPr>
      </w:pPr>
      <w:r>
        <w:t xml:space="preserve">Google Merchant Center Technical Specifications (2026)</w:t>
      </w:r>
    </w:p>
    <w:p>
      <w:pPr>
        <w:numPr>
          <w:ilvl w:val="0"/>
          <w:numId w:val="1068"/>
        </w:numPr>
      </w:pPr>
      <w:r>
        <w:t xml:space="preserve">Revolut Business API Documentation</w:t>
      </w:r>
    </w:p>
    <w:p>
      <w:pPr>
        <w:numPr>
          <w:ilvl w:val="0"/>
          <w:numId w:val="1068"/>
        </w:numPr>
      </w:pPr>
      <w:r>
        <w:t xml:space="preserve">Anthropic Claude Code Documentation</w:t>
      </w:r>
    </w:p>
    <w:p>
      <w:pPr>
        <w:numPr>
          <w:ilvl w:val="0"/>
          <w:numId w:val="1068"/>
        </w:numPr>
      </w:pPr>
      <w:r>
        <w:t xml:space="preserve">Anonymous (2026).</w:t>
      </w:r>
      <w:r>
        <w:t xml:space="preserve"> </w:t>
      </w:r>
      <w:r>
        <w:t xml:space="preserve">“</w:t>
      </w:r>
      <w:r>
        <w:t xml:space="preserve">Exploratory Memory-Augmented LLM Agent via Hybrid On- and Off-Policy Optimization (EMPO²).</w:t>
      </w:r>
      <w:r>
        <w:t xml:space="preserve">”</w:t>
      </w:r>
      <w:r>
        <w:t xml:space="preserve"> </w:t>
      </w:r>
      <w:r>
        <w:t xml:space="preserve">arXiv:2602.23008. https://arxiv.org/abs/2602.23008</w:t>
      </w:r>
    </w:p>
    <w:p>
      <w:pPr>
        <w:numPr>
          <w:ilvl w:val="0"/>
          <w:numId w:val="1068"/>
        </w:numPr>
      </w:pPr>
      <w:r>
        <w:t xml:space="preserve">Alibaba Group (2026).</w:t>
      </w:r>
      <w:r>
        <w:t xml:space="preserve"> </w:t>
      </w:r>
      <w:r>
        <w:t xml:space="preserve">“</w:t>
      </w:r>
      <w:r>
        <w:t xml:space="preserve">OpenSandbox: General-Purpose Sandbox Platform for AI Applications.</w:t>
      </w:r>
      <w:r>
        <w:t xml:space="preserve">”</w:t>
      </w:r>
      <w:r>
        <w:t xml:space="preserve"> </w:t>
      </w:r>
      <w:r>
        <w:t xml:space="preserve">https://github.com/alibaba/OpenSandbox</w:t>
      </w:r>
    </w:p>
    <w:p>
      <w:pPr>
        <w:numPr>
          <w:ilvl w:val="0"/>
          <w:numId w:val="1068"/>
        </w:numPr>
      </w:pPr>
      <w:r>
        <w:t xml:space="preserve">LUT University (2026).</w:t>
      </w:r>
      <w:r>
        <w:t xml:space="preserve"> </w:t>
      </w:r>
      <w:r>
        <w:rPr>
          <w:iCs/>
          <w:i/>
        </w:rPr>
        <w:t xml:space="preserve">Tekoälytyökalujen käytänteet</w:t>
      </w:r>
      <w:r>
        <w:t xml:space="preserve"> </w:t>
      </w:r>
      <w:r>
        <w:t xml:space="preserve">[AI Tool Usage Policies]. Lappeenrannan-Lahden teknillinen yliopisto LUT. https://elut.lut.fi/fi/opintojen-suorittaminen/opintoja-ohjaavat-saadokset-ja-ohjeet/tekoalytyokalujen-kaytanteet</w:t>
      </w:r>
    </w:p>
    <w:bookmarkEnd w:id="195"/>
    <w:bookmarkStart w:id="196" w:name="internal-reference-artifacts"/>
    <w:p>
      <w:pPr>
        <w:pStyle w:val="Heading2"/>
      </w:pPr>
      <w:r>
        <w:t xml:space="preserve">Internal Reference Artifacts</w:t>
      </w:r>
    </w:p>
    <w:p>
      <w:pPr>
        <w:numPr>
          <w:ilvl w:val="0"/>
          <w:numId w:val="1069"/>
        </w:numPr>
      </w:pPr>
      <w:r>
        <w:t xml:space="preserve">Lifetime Oy (2026).</w:t>
      </w:r>
      <w:r>
        <w:t xml:space="preserve"> </w:t>
      </w:r>
      <w:r>
        <w:rPr>
          <w:iCs/>
          <w:i/>
        </w:rPr>
        <w:t xml:space="preserve">Lifetime World LLM Scaling Blueprint (GN-100 hybrid + cloud path).</w:t>
      </w:r>
      <w:r>
        <w:t xml:space="preserve"> </w:t>
      </w:r>
      <w:r>
        <w:rPr>
          <w:rStyle w:val="VerbatimChar"/>
        </w:rPr>
        <w:t xml:space="preserve">Admin/Model/LLM_TRAINING_FEASIBILITY.md</w:t>
      </w:r>
      <w:r>
        <w:t xml:space="preserve">.</w:t>
      </w:r>
    </w:p>
    <w:p>
      <w:pPr>
        <w:numPr>
          <w:ilvl w:val="0"/>
          <w:numId w:val="1069"/>
        </w:numPr>
      </w:pPr>
      <w:r>
        <w:t xml:space="preserve">Lifetime Oy (2026).</w:t>
      </w:r>
      <w:r>
        <w:t xml:space="preserve"> </w:t>
      </w:r>
      <w:r>
        <w:rPr>
          <w:iCs/>
          <w:i/>
        </w:rPr>
        <w:t xml:space="preserve">DWS Security Standard</w:t>
      </w:r>
      <w:r>
        <w:t xml:space="preserve">, version 1.5.</w:t>
      </w:r>
      <w:r>
        <w:t xml:space="preserve"> </w:t>
      </w:r>
      <w:r>
        <w:rPr>
          <w:rStyle w:val="VerbatimChar"/>
        </w:rPr>
        <w:t xml:space="preserve">DWS_SECURITY_STANDARD.md</w:t>
      </w:r>
      <w:r>
        <w:t xml:space="preserve">. Internal framework governing AI safety, middleware security controls (correlation ID, Zod validation, centralized error handling), CORS policies, SRI integrity, Article 12 logging, and API boundary validation. Establishes the security architecture for all backend API routes and the MCP agent server.</w:t>
      </w:r>
    </w:p>
    <w:p>
      <w:pPr>
        <w:numPr>
          <w:ilvl w:val="0"/>
          <w:numId w:val="1069"/>
        </w:numPr>
      </w:pPr>
      <w:r>
        <w:t xml:space="preserve">Lifetime Oy (2026).</w:t>
      </w:r>
      <w:r>
        <w:t xml:space="preserve"> </w:t>
      </w:r>
      <w:r>
        <w:rPr>
          <w:iCs/>
          <w:i/>
        </w:rPr>
        <w:t xml:space="preserve">ESRS Data Point Registry</w:t>
      </w:r>
      <w:r>
        <w:t xml:space="preserve">, version 1.0.</w:t>
      </w:r>
      <w:r>
        <w:t xml:space="preserve"> </w:t>
      </w:r>
      <w:r>
        <w:rPr>
          <w:rStyle w:val="VerbatimChar"/>
        </w:rPr>
        <w:t xml:space="preserve">src/compliance/esrs-registry.ts</w:t>
      </w:r>
      <w:r>
        <w:t xml:space="preserve">. Machine-readable mapping of all 82 European Sustainability Reporting Standards (ESRS) disclosure requirements across E1-E5 (Environment), S1-S4 (Social), and G1 (Governance). Each disclosure is classified as mandatory or voluntary under the CSRD Directive (EU) 2022/2464.</w:t>
      </w:r>
    </w:p>
    <w:p>
      <w:pPr>
        <w:numPr>
          <w:ilvl w:val="0"/>
          <w:numId w:val="1069"/>
        </w:numPr>
      </w:pPr>
      <w:r>
        <w:t xml:space="preserve">Lifetime Oy (2026).</w:t>
      </w:r>
      <w:r>
        <w:t xml:space="preserve"> </w:t>
      </w:r>
      <w:r>
        <w:rPr>
          <w:iCs/>
          <w:i/>
        </w:rPr>
        <w:t xml:space="preserve">Compliance Scoring Engine</w:t>
      </w:r>
      <w:r>
        <w:t xml:space="preserve">, version 1.0.</w:t>
      </w:r>
      <w:r>
        <w:t xml:space="preserve"> </w:t>
      </w:r>
      <w:r>
        <w:rPr>
          <w:rStyle w:val="VerbatimChar"/>
        </w:rPr>
        <w:t xml:space="preserve">src/compliance/scoring-engine.ts</w:t>
      </w:r>
      <w:r>
        <w:t xml:space="preserve">. Deterministic compliance scoring algorithm computing CSRD readiness, ETS exposure, and CBAM risk scores. Formula: overall = CSRD(0.50) + ETS(0.25) + CBAM(0.25), where CSRD = (mandatory data points provided / total mandatory) × 80 + bonus modifiers.</w:t>
      </w:r>
    </w:p>
    <w:p>
      <w:pPr>
        <w:numPr>
          <w:ilvl w:val="0"/>
          <w:numId w:val="1069"/>
        </w:numPr>
      </w:pPr>
      <w:r>
        <w:t xml:space="preserve">Lifetime Oy (2026).</w:t>
      </w:r>
      <w:r>
        <w:t xml:space="preserve"> </w:t>
      </w:r>
      <w:r>
        <w:rPr>
          <w:iCs/>
          <w:i/>
        </w:rPr>
        <w:t xml:space="preserve">Site Quality Standards</w:t>
      </w:r>
      <w:r>
        <w:t xml:space="preserve">, version 2.1.</w:t>
      </w:r>
      <w:r>
        <w:t xml:space="preserve"> </w:t>
      </w:r>
      <w:r>
        <w:rPr>
          <w:rStyle w:val="VerbatimChar"/>
        </w:rPr>
        <w:t xml:space="preserve">SITE_QUALITY_STANDARDS.md</w:t>
      </w:r>
      <w:r>
        <w:t xml:space="preserve">. Code quality, component architecture, and UI resilience patterns for the DWS IQ dashboard. Defines ErrorBoundary, Skeleton loading, and EmptyState component standards for enterprise-grade user experience.</w:t>
      </w:r>
    </w:p>
    <w:p>
      <w:pPr>
        <w:numPr>
          <w:ilvl w:val="0"/>
          <w:numId w:val="1069"/>
        </w:numPr>
      </w:pPr>
      <w:r>
        <w:t xml:space="preserve">Lifetime Oy (2026).</w:t>
      </w:r>
      <w:r>
        <w:t xml:space="preserve"> </w:t>
      </w:r>
      <w:r>
        <w:rPr>
          <w:iCs/>
          <w:i/>
        </w:rPr>
        <w:t xml:space="preserve">AGENTS.md</w:t>
      </w:r>
      <w:r>
        <w:t xml:space="preserve">, version 2.2.</w:t>
      </w:r>
      <w:r>
        <w:t xml:space="preserve"> </w:t>
      </w:r>
      <w:r>
        <w:rPr>
          <w:rStyle w:val="VerbatimChar"/>
        </w:rPr>
        <w:t xml:space="preserve">AGENTS.md</w:t>
      </w:r>
      <w:r>
        <w:t xml:space="preserve">. Agent inventory and operational guidance following the agents.md open specification. Documents 15 AI agents, the compliance scoring engine architecture, middleware stack ordering, and the</w:t>
      </w:r>
      <w:r>
        <w:t xml:space="preserve"> </w:t>
      </w:r>
      <w:r>
        <w:t xml:space="preserve">“</w:t>
      </w:r>
      <w:r>
        <w:t xml:space="preserve">Build for Agents</w:t>
      </w:r>
      <w:r>
        <w:t xml:space="preserve">”</w:t>
      </w:r>
      <w:r>
        <w:t xml:space="preserve"> </w:t>
      </w:r>
      <w:r>
        <w:t xml:space="preserve">product rule requiring CLI + MCP + Skills interfaces.</w:t>
      </w:r>
    </w:p>
    <w:p>
      <w:pPr>
        <w:numPr>
          <w:ilvl w:val="0"/>
          <w:numId w:val="1069"/>
        </w:numPr>
      </w:pPr>
      <w:r>
        <w:t xml:space="preserve">Lifetime Oy (2026).</w:t>
      </w:r>
      <w:r>
        <w:t xml:space="preserve"> </w:t>
      </w:r>
      <w:r>
        <w:rPr>
          <w:iCs/>
          <w:i/>
        </w:rPr>
        <w:t xml:space="preserve">DWS IQ Platform Admin Manual</w:t>
      </w:r>
      <w:r>
        <w:t xml:space="preserve">, version 2.7.</w:t>
      </w:r>
      <w:r>
        <w:t xml:space="preserve"> </w:t>
      </w:r>
      <w:r>
        <w:rPr>
          <w:rStyle w:val="VerbatimChar"/>
        </w:rPr>
        <w:t xml:space="preserve">Admin/ADMIN_MANUAL.md</w:t>
      </w:r>
      <w:r>
        <w:t xml:space="preserve">. Operational procedures for health check monitoring, compliance scoring engine operations, and dashboard resilience troubleshooting. Includes the Claude Code Project Engineering Structure and Multi-Agent Orchestration sections.</w:t>
      </w:r>
    </w:p>
    <w:p>
      <w:pPr>
        <w:numPr>
          <w:ilvl w:val="0"/>
          <w:numId w:val="1069"/>
        </w:numPr>
      </w:pPr>
      <w:r>
        <w:t xml:space="preserve">Lifetime Oy (2026).</w:t>
      </w:r>
      <w:r>
        <w:t xml:space="preserve"> </w:t>
      </w:r>
      <w:r>
        <w:rPr>
          <w:iCs/>
          <w:i/>
        </w:rPr>
        <w:t xml:space="preserve">Enterprise Security &amp; Compliance</w:t>
      </w:r>
      <w:r>
        <w:t xml:space="preserve">, version 1.8.</w:t>
      </w:r>
      <w:r>
        <w:t xml:space="preserve"> </w:t>
      </w:r>
      <w:r>
        <w:rPr>
          <w:rStyle w:val="VerbatimChar"/>
        </w:rPr>
        <w:t xml:space="preserve">Admin/SECURITY_COMPLIANCE.md</w:t>
      </w:r>
      <w:r>
        <w:t xml:space="preserve">. Security controls for CISOs and procurement teams. Documents agent runtime security, dashboard resilience controls, backend middleware security controls, and compliance engine data protection with RLS policies.</w:t>
      </w:r>
    </w:p>
    <w:p>
      <w:r>
        <w:pict>
          <v:rect style="width:0;height:1.5pt" o:hralign="center" o:hrstd="t" o:hr="t"/>
        </w:pict>
      </w:r>
    </w:p>
    <w:bookmarkEnd w:id="196"/>
    <w:bookmarkStart w:id="204" w:name="Xb8f6749dfdefac9785887388fc5337f89fe9da9"/>
    <w:p>
      <w:pPr>
        <w:pStyle w:val="Heading2"/>
      </w:pPr>
      <w:r>
        <w:t xml:space="preserve">10.13 Claude Code Engineering Structure: AI Workflow as First-Class Engineering</w:t>
      </w:r>
    </w:p>
    <w:bookmarkStart w:id="197" w:name="motivation"/>
    <w:p>
      <w:pPr>
        <w:pStyle w:val="Heading3"/>
      </w:pPr>
      <w:r>
        <w:t xml:space="preserve">10.13.1 Motivation</w:t>
      </w:r>
    </w:p>
    <w:p>
      <w:pPr>
        <w:pStyle w:val="FirstParagraph"/>
      </w:pPr>
      <w:r>
        <w:t xml:space="preserve">As Claude Code adoption scales beyond individual experiments, a decisive architectural split emerges: projects treating AI workflows as temporary chat interactions diverge sharply from those engineering them as first-class software components. The DWS6 repository embodies the latter approach, and this section documents the principles that make it work at enterprise scale.</w:t>
      </w:r>
    </w:p>
    <w:p>
      <w:pPr>
        <w:pStyle w:val="BodyText"/>
      </w:pPr>
      <w:r>
        <w:t xml:space="preserve">The core insight — validated by emerging Claude Code community practice in 2026 — is that</w:t>
      </w:r>
      <w:r>
        <w:t xml:space="preserve"> </w:t>
      </w:r>
      <w:r>
        <w:rPr>
          <w:bCs/>
          <w:b/>
        </w:rPr>
        <w:t xml:space="preserve">the same separation of concerns used in software engineering applies equally to AI workflow design</w:t>
      </w:r>
      <w:r>
        <w:t xml:space="preserve">. A prompt is not a product; a skill is.</w:t>
      </w:r>
    </w:p>
    <w:bookmarkEnd w:id="197"/>
    <w:bookmarkStart w:id="198" w:name="claude.md-as-project-memory"/>
    <w:p>
      <w:pPr>
        <w:pStyle w:val="Heading3"/>
      </w:pPr>
      <w:r>
        <w:t xml:space="preserve">10.13.2 CLAUDE.md as Project Memory</w:t>
      </w:r>
    </w:p>
    <w:p>
      <w:pPr>
        <w:pStyle w:val="FirstParagraph"/>
      </w:pPr>
      <w:r>
        <w:t xml:space="preserve">Traditional AI usage repeats context in every prompt, creating two compounding costs: token waste and behavioral drift. The DWS6 solution is</w:t>
      </w:r>
      <w:r>
        <w:t xml:space="preserve"> </w:t>
      </w:r>
      <w:r>
        <w:rPr>
          <w:rStyle w:val="VerbatimChar"/>
        </w:rPr>
        <w:t xml:space="preserve">CLAUDE.md</w:t>
      </w:r>
      <w:r>
        <w:t xml:space="preserve"> </w:t>
      </w:r>
      <w:r>
        <w:t xml:space="preserve">— a living specification file serving as shared institutional memory across all AI sessions and tools.</w:t>
      </w:r>
    </w:p>
    <w:p>
      <w:pPr>
        <w:pStyle w:val="BodyText"/>
      </w:pPr>
      <w:r>
        <w:t xml:space="preserve">The DWS6</w:t>
      </w:r>
      <w:r>
        <w:t xml:space="preserve"> </w:t>
      </w:r>
      <w:r>
        <w:rPr>
          <w:rStyle w:val="VerbatimChar"/>
        </w:rPr>
        <w:t xml:space="preserve">CLAUDE.md</w:t>
      </w:r>
      <w:r>
        <w:t xml:space="preserve"> </w:t>
      </w:r>
      <w:r>
        <w:t xml:space="preserve">(2,000+ lines as of v3.17) centralizes:</w:t>
      </w:r>
    </w:p>
    <w:tbl>
      <w:tblPr>
        <w:tblStyle w:val="Table"/>
        <w:tblW w:type="pct" w:w="5000"/>
        <w:tblLook w:firstRow="1" w:lastRow="0" w:firstColumn="0" w:lastColumn="0" w:noHBand="0" w:noVBand="0" w:val="0020"/>
        <w:jc w:val="start"/>
      </w:tblPr>
      <w:tblGrid>
        <w:gridCol w:w="1535"/>
        <w:gridCol w:w="6384"/>
      </w:tblGrid>
      <w:tr>
        <w:trPr>
          <w:tblHeader w:val="true"/>
        </w:trPr>
        <w:tc>
          <w:tcPr/>
          <w:p>
            <w:pPr>
              <w:pStyle w:val="Compact"/>
              <w:jc w:val="left"/>
            </w:pPr>
            <w:r>
              <w:t xml:space="preserve">Category</w:t>
            </w:r>
          </w:p>
        </w:tc>
        <w:tc>
          <w:tcPr/>
          <w:p>
            <w:pPr>
              <w:pStyle w:val="Compact"/>
              <w:jc w:val="left"/>
            </w:pPr>
            <w:r>
              <w:t xml:space="preserve">Content</w:t>
            </w:r>
          </w:p>
        </w:tc>
      </w:tr>
      <w:tr>
        <w:tc>
          <w:tcPr/>
          <w:p>
            <w:pPr>
              <w:pStyle w:val="Compact"/>
              <w:jc w:val="left"/>
            </w:pPr>
            <w:r>
              <w:rPr>
                <w:bCs/>
                <w:b/>
              </w:rPr>
              <w:t xml:space="preserve">Standards</w:t>
            </w:r>
          </w:p>
        </w:tc>
        <w:tc>
          <w:tcPr/>
          <w:p>
            <w:pPr>
              <w:pStyle w:val="Compact"/>
              <w:jc w:val="left"/>
            </w:pPr>
            <w:r>
              <w:t xml:space="preserve">Brand, Document, Security, Market Research, Gamma UI</w:t>
            </w:r>
          </w:p>
        </w:tc>
      </w:tr>
      <w:tr>
        <w:tc>
          <w:tcPr/>
          <w:p>
            <w:pPr>
              <w:pStyle w:val="Compact"/>
              <w:jc w:val="left"/>
            </w:pPr>
            <w:r>
              <w:rPr>
                <w:bCs/>
                <w:b/>
              </w:rPr>
              <w:t xml:space="preserve">Architecture</w:t>
            </w:r>
          </w:p>
        </w:tc>
        <w:tc>
          <w:tcPr/>
          <w:p>
            <w:pPr>
              <w:pStyle w:val="Compact"/>
              <w:jc w:val="left"/>
            </w:pPr>
            <w:r>
              <w:t xml:space="preserve">Brain-Memory-Body-Hands, dual folder structure, store update rules</w:t>
            </w:r>
          </w:p>
        </w:tc>
      </w:tr>
      <w:tr>
        <w:tc>
          <w:tcPr/>
          <w:p>
            <w:pPr>
              <w:pStyle w:val="Compact"/>
              <w:jc w:val="left"/>
            </w:pPr>
            <w:r>
              <w:rPr>
                <w:bCs/>
                <w:b/>
              </w:rPr>
              <w:t xml:space="preserve">Constraints</w:t>
            </w:r>
          </w:p>
        </w:tc>
        <w:tc>
          <w:tcPr/>
          <w:p>
            <w:pPr>
              <w:pStyle w:val="Compact"/>
              <w:jc w:val="left"/>
            </w:pPr>
            <w:r>
              <w:t xml:space="preserve">File handling (git mv, never delete), public site publishing rules, email rules</w:t>
            </w:r>
          </w:p>
        </w:tc>
      </w:tr>
      <w:tr>
        <w:tc>
          <w:tcPr/>
          <w:p>
            <w:pPr>
              <w:pStyle w:val="Compact"/>
              <w:jc w:val="left"/>
            </w:pPr>
            <w:r>
              <w:rPr>
                <w:bCs/>
                <w:b/>
              </w:rPr>
              <w:t xml:space="preserve">Non-negotiables</w:t>
            </w:r>
          </w:p>
        </w:tc>
        <w:tc>
          <w:tcPr/>
          <w:p>
            <w:pPr>
              <w:pStyle w:val="Compact"/>
              <w:jc w:val="left"/>
            </w:pPr>
            <w:r>
              <w:t xml:space="preserve">EU data residency, GDPR, Article 12 logging, security coding rules</w:t>
            </w:r>
          </w:p>
        </w:tc>
      </w:tr>
      <w:tr>
        <w:tc>
          <w:tcPr/>
          <w:p>
            <w:pPr>
              <w:pStyle w:val="Compact"/>
              <w:jc w:val="left"/>
            </w:pPr>
            <w:r>
              <w:rPr>
                <w:bCs/>
                <w:b/>
              </w:rPr>
              <w:t xml:space="preserve">Guardrails</w:t>
            </w:r>
          </w:p>
        </w:tc>
        <w:tc>
          <w:tcPr/>
          <w:p>
            <w:pPr>
              <w:pStyle w:val="Compact"/>
              <w:jc w:val="left"/>
            </w:pPr>
            <w:r>
              <w:t xml:space="preserve">execFile vs exec, CORS policy, SRI hash enforcement</w:t>
            </w:r>
          </w:p>
        </w:tc>
      </w:tr>
    </w:tbl>
    <w:p>
      <w:pPr>
        <w:pStyle w:val="BodyText"/>
      </w:pPr>
      <w:r>
        <w:t xml:space="preserve">Measured impact: every new Claude Code session inherits 18 months of architectural decisions with zero human repetition. The VERSION AND AGENT HISTORY block in each document extends this to individual files — every document carries its own modification lineage visible to both humans and agents.</w:t>
      </w:r>
    </w:p>
    <w:bookmarkEnd w:id="198"/>
    <w:bookmarkStart w:id="199" w:name="skills-as-reusable-workflow-components"/>
    <w:p>
      <w:pPr>
        <w:pStyle w:val="Heading3"/>
      </w:pPr>
      <w:r>
        <w:t xml:space="preserve">10.13.3 Skills as Reusable Workflow Components</w:t>
      </w:r>
    </w:p>
    <w:p>
      <w:pPr>
        <w:pStyle w:val="FirstParagraph"/>
      </w:pPr>
      <w:r>
        <w:t xml:space="preserve">The shift from ad-hoc prompting to reusable skills represents a fundamental upgrade:</w:t>
      </w:r>
      <w:r>
        <w:t xml:space="preserve"> </w:t>
      </w:r>
      <w:r>
        <w:rPr>
          <w:bCs/>
          <w:b/>
        </w:rPr>
        <w:t xml:space="preserve">from chat interaction to system design</w:t>
      </w:r>
      <w:r>
        <w:t xml:space="preserve">. Skills are composable, versionable workflow components — not one-off prompts.</w:t>
      </w:r>
    </w:p>
    <w:p>
      <w:pPr>
        <w:pStyle w:val="BodyText"/>
      </w:pPr>
      <w:r>
        <w:t xml:space="preserve">By March 2026, DWS6 implements 21 production skills across four categories in</w:t>
      </w:r>
      <w:r>
        <w:t xml:space="preserve"> </w:t>
      </w:r>
      <w:r>
        <w:rPr>
          <w:rStyle w:val="VerbatimChar"/>
        </w:rPr>
        <w:t xml:space="preserve">.claude/commands/</w:t>
      </w:r>
      <w:r>
        <w:t xml:space="preserve"> </w:t>
      </w:r>
      <w:r>
        <w:t xml:space="preserve">and</w:t>
      </w:r>
      <w:r>
        <w:t xml:space="preserve"> </w:t>
      </w:r>
      <w:r>
        <w:rPr>
          <w:rStyle w:val="VerbatimChar"/>
        </w:rPr>
        <w:t xml:space="preserve">skills/</w:t>
      </w:r>
      <w:r>
        <w:t xml:space="preserve">:</w:t>
      </w:r>
    </w:p>
    <w:p>
      <w:pPr>
        <w:pStyle w:val="BodyText"/>
      </w:pPr>
      <w:r>
        <w:rPr>
          <w:bCs/>
          <w:b/>
        </w:rPr>
        <w:t xml:space="preserve">Slash Commands (17 skills):</w:t>
      </w:r>
    </w:p>
    <w:tbl>
      <w:tblPr>
        <w:tblStyle w:val="Table"/>
        <w:tblW w:type="pct" w:w="5000"/>
        <w:tblLook w:firstRow="1" w:lastRow="0" w:firstColumn="0" w:lastColumn="0" w:noHBand="0" w:noVBand="0" w:val="0020"/>
        <w:jc w:val="start"/>
      </w:tblPr>
      <w:tblGrid>
        <w:gridCol w:w="848"/>
        <w:gridCol w:w="4469"/>
        <w:gridCol w:w="2602"/>
      </w:tblGrid>
      <w:tr>
        <w:trPr>
          <w:tblHeader w:val="true"/>
        </w:trPr>
        <w:tc>
          <w:tcPr/>
          <w:p>
            <w:pPr>
              <w:pStyle w:val="Compact"/>
              <w:jc w:val="left"/>
            </w:pPr>
            <w:r>
              <w:t xml:space="preserve">Category</w:t>
            </w:r>
          </w:p>
        </w:tc>
        <w:tc>
          <w:tcPr/>
          <w:p>
            <w:pPr>
              <w:pStyle w:val="Compact"/>
              <w:jc w:val="left"/>
            </w:pPr>
            <w:r>
              <w:t xml:space="preserve">Skills</w:t>
            </w:r>
          </w:p>
        </w:tc>
        <w:tc>
          <w:tcPr/>
          <w:p>
            <w:pPr>
              <w:pStyle w:val="Compact"/>
              <w:jc w:val="left"/>
            </w:pPr>
            <w:r>
              <w:t xml:space="preserve">Domain</w:t>
            </w:r>
          </w:p>
        </w:tc>
      </w:tr>
      <w:tr>
        <w:tc>
          <w:tcPr/>
          <w:p>
            <w:pPr>
              <w:pStyle w:val="Compact"/>
              <w:jc w:val="left"/>
            </w:pPr>
            <w:r>
              <w:t xml:space="preserve">gstack workflow</w:t>
            </w:r>
          </w:p>
        </w:tc>
        <w:tc>
          <w:tcPr/>
          <w:p>
            <w:pPr>
              <w:pStyle w:val="Compact"/>
              <w:jc w:val="left"/>
            </w:pPr>
            <w:r>
              <w:rPr>
                <w:rStyle w:val="VerbatimChar"/>
              </w:rPr>
              <w:t xml:space="preserve">/plan-ceo-review</w:t>
            </w:r>
            <w:r>
              <w:t xml:space="preserve">,</w:t>
            </w:r>
            <w:r>
              <w:t xml:space="preserve"> </w:t>
            </w:r>
            <w:r>
              <w:rPr>
                <w:rStyle w:val="VerbatimChar"/>
              </w:rPr>
              <w:t xml:space="preserve">/plan-eng-review</w:t>
            </w:r>
            <w:r>
              <w:t xml:space="preserve">,</w:t>
            </w:r>
            <w:r>
              <w:t xml:space="preserve"> </w:t>
            </w:r>
            <w:r>
              <w:rPr>
                <w:rStyle w:val="VerbatimChar"/>
              </w:rPr>
              <w:t xml:space="preserve">/review</w:t>
            </w:r>
            <w:r>
              <w:t xml:space="preserve">,</w:t>
            </w:r>
            <w:r>
              <w:t xml:space="preserve"> </w:t>
            </w:r>
            <w:r>
              <w:rPr>
                <w:rStyle w:val="VerbatimChar"/>
              </w:rPr>
              <w:t xml:space="preserve">/ship</w:t>
            </w:r>
            <w:r>
              <w:t xml:space="preserve">,</w:t>
            </w:r>
            <w:r>
              <w:t xml:space="preserve"> </w:t>
            </w:r>
            <w:r>
              <w:rPr>
                <w:rStyle w:val="VerbatimChar"/>
              </w:rPr>
              <w:t xml:space="preserve">/browse</w:t>
            </w:r>
            <w:r>
              <w:t xml:space="preserve">,</w:t>
            </w:r>
            <w:r>
              <w:t xml:space="preserve"> </w:t>
            </w:r>
            <w:r>
              <w:rPr>
                <w:rStyle w:val="VerbatimChar"/>
              </w:rPr>
              <w:t xml:space="preserve">/retro</w:t>
            </w:r>
          </w:p>
        </w:tc>
        <w:tc>
          <w:tcPr/>
          <w:p>
            <w:pPr>
              <w:pStyle w:val="Compact"/>
              <w:jc w:val="left"/>
            </w:pPr>
            <w:r>
              <w:t xml:space="preserve">Development lifecycle (Garry Tan methodology)</w:t>
            </w:r>
          </w:p>
        </w:tc>
      </w:tr>
      <w:tr>
        <w:tc>
          <w:tcPr/>
          <w:p>
            <w:pPr>
              <w:pStyle w:val="Compact"/>
              <w:jc w:val="left"/>
            </w:pPr>
            <w:r>
              <w:t xml:space="preserve">EU compliance</w:t>
            </w:r>
          </w:p>
        </w:tc>
        <w:tc>
          <w:tcPr/>
          <w:p>
            <w:pPr>
              <w:pStyle w:val="Compact"/>
              <w:jc w:val="left"/>
            </w:pPr>
            <w:r>
              <w:rPr>
                <w:rStyle w:val="VerbatimChar"/>
              </w:rPr>
              <w:t xml:space="preserve">/compliance-check</w:t>
            </w:r>
            <w:r>
              <w:t xml:space="preserve">,</w:t>
            </w:r>
            <w:r>
              <w:t xml:space="preserve"> </w:t>
            </w:r>
            <w:r>
              <w:rPr>
                <w:rStyle w:val="VerbatimChar"/>
              </w:rPr>
              <w:t xml:space="preserve">/carbon-analysis</w:t>
            </w:r>
            <w:r>
              <w:t xml:space="preserve">,</w:t>
            </w:r>
            <w:r>
              <w:t xml:space="preserve"> </w:t>
            </w:r>
            <w:r>
              <w:rPr>
                <w:rStyle w:val="VerbatimChar"/>
              </w:rPr>
              <w:t xml:space="preserve">/sovereignty-assess</w:t>
            </w:r>
            <w:r>
              <w:t xml:space="preserve">,</w:t>
            </w:r>
            <w:r>
              <w:t xml:space="preserve"> </w:t>
            </w:r>
            <w:r>
              <w:rPr>
                <w:rStyle w:val="VerbatimChar"/>
              </w:rPr>
              <w:t xml:space="preserve">/site-safety</w:t>
            </w:r>
          </w:p>
        </w:tc>
        <w:tc>
          <w:tcPr/>
          <w:p>
            <w:pPr>
              <w:pStyle w:val="Compact"/>
              <w:jc w:val="left"/>
            </w:pPr>
            <w:r>
              <w:t xml:space="preserve">ETS, CBAM, CSRD, EN 15978, EN 13001, CLOUD Act</w:t>
            </w:r>
          </w:p>
        </w:tc>
      </w:tr>
      <w:tr>
        <w:tc>
          <w:tcPr/>
          <w:p>
            <w:pPr>
              <w:pStyle w:val="Compact"/>
              <w:jc w:val="left"/>
            </w:pPr>
            <w:r>
              <w:t xml:space="preserve">Agent control</w:t>
            </w:r>
          </w:p>
        </w:tc>
        <w:tc>
          <w:tcPr/>
          <w:p>
            <w:pPr>
              <w:pStyle w:val="Compact"/>
              <w:jc w:val="left"/>
            </w:pPr>
            <w:r>
              <w:rPr>
                <w:rStyle w:val="VerbatimChar"/>
              </w:rPr>
              <w:t xml:space="preserve">/discover-agents</w:t>
            </w:r>
            <w:r>
              <w:t xml:space="preserve">,</w:t>
            </w:r>
            <w:r>
              <w:t xml:space="preserve"> </w:t>
            </w:r>
            <w:r>
              <w:rPr>
                <w:rStyle w:val="VerbatimChar"/>
              </w:rPr>
              <w:t xml:space="preserve">/agent-run</w:t>
            </w:r>
            <w:r>
              <w:t xml:space="preserve">,</w:t>
            </w:r>
            <w:r>
              <w:t xml:space="preserve"> </w:t>
            </w:r>
            <w:r>
              <w:rPr>
                <w:rStyle w:val="VerbatimChar"/>
              </w:rPr>
              <w:t xml:space="preserve">/workflow</w:t>
            </w:r>
          </w:p>
        </w:tc>
        <w:tc>
          <w:tcPr/>
          <w:p>
            <w:pPr>
              <w:pStyle w:val="Compact"/>
              <w:jc w:val="left"/>
            </w:pPr>
            <w:r>
              <w:t xml:space="preserve">Multi-agent orchestration (14+ agents)</w:t>
            </w:r>
          </w:p>
        </w:tc>
      </w:tr>
      <w:tr>
        <w:tc>
          <w:tcPr/>
          <w:p>
            <w:pPr>
              <w:pStyle w:val="Compact"/>
              <w:jc w:val="left"/>
            </w:pPr>
            <w:r>
              <w:t xml:space="preserve">Operations</w:t>
            </w:r>
          </w:p>
        </w:tc>
        <w:tc>
          <w:tcPr/>
          <w:p>
            <w:pPr>
              <w:pStyle w:val="Compact"/>
              <w:jc w:val="left"/>
            </w:pPr>
            <w:r>
              <w:rPr>
                <w:rStyle w:val="VerbatimChar"/>
              </w:rPr>
              <w:t xml:space="preserve">/flow-status</w:t>
            </w:r>
            <w:r>
              <w:t xml:space="preserve">,</w:t>
            </w:r>
            <w:r>
              <w:t xml:space="preserve"> </w:t>
            </w:r>
            <w:r>
              <w:rPr>
                <w:rStyle w:val="VerbatimChar"/>
              </w:rPr>
              <w:t xml:space="preserve">/email</w:t>
            </w:r>
            <w:r>
              <w:t xml:space="preserve">,</w:t>
            </w:r>
            <w:r>
              <w:t xml:space="preserve"> </w:t>
            </w:r>
            <w:r>
              <w:rPr>
                <w:rStyle w:val="VerbatimChar"/>
              </w:rPr>
              <w:t xml:space="preserve">/remote-control</w:t>
            </w:r>
          </w:p>
        </w:tc>
        <w:tc>
          <w:tcPr/>
          <w:p>
            <w:pPr>
              <w:pStyle w:val="Compact"/>
              <w:jc w:val="left"/>
            </w:pPr>
            <w:r>
              <w:t xml:space="preserve">Git state, SES email, edge device control</w:t>
            </w:r>
          </w:p>
        </w:tc>
      </w:tr>
      <w:tr>
        <w:tc>
          <w:tcPr/>
          <w:p>
            <w:pPr>
              <w:pStyle w:val="Compact"/>
              <w:jc w:val="left"/>
            </w:pPr>
            <w:r>
              <w:t xml:space="preserve">Code quality</w:t>
            </w:r>
          </w:p>
        </w:tc>
        <w:tc>
          <w:tcPr/>
          <w:p>
            <w:pPr>
              <w:pStyle w:val="Compact"/>
              <w:jc w:val="left"/>
            </w:pPr>
            <w:r>
              <w:rPr>
                <w:rStyle w:val="VerbatimChar"/>
              </w:rPr>
              <w:t xml:space="preserve">/simplify</w:t>
            </w:r>
            <w:r>
              <w:t xml:space="preserve">,</w:t>
            </w:r>
            <w:r>
              <w:t xml:space="preserve"> </w:t>
            </w:r>
            <w:r>
              <w:rPr>
                <w:rStyle w:val="VerbatimChar"/>
              </w:rPr>
              <w:t xml:space="preserve">/designer</w:t>
            </w:r>
          </w:p>
        </w:tc>
        <w:tc>
          <w:tcPr/>
          <w:p>
            <w:pPr>
              <w:pStyle w:val="Compact"/>
              <w:jc w:val="left"/>
            </w:pPr>
            <w:r>
              <w:t xml:space="preserve">Code review, Figma-to-code bridge</w:t>
            </w:r>
          </w:p>
        </w:tc>
      </w:tr>
    </w:tbl>
    <w:p>
      <w:pPr>
        <w:pStyle w:val="BodyText"/>
      </w:pPr>
      <w:r>
        <w:rPr>
          <w:bCs/>
          <w:b/>
        </w:rPr>
        <w:t xml:space="preserve">Discipline Skills (4 hard gates in</w:t>
      </w:r>
      <w:r>
        <w:rPr>
          <w:bCs/>
          <w:b/>
        </w:rPr>
        <w:t xml:space="preserve"> </w:t>
      </w:r>
      <w:r>
        <w:rPr>
          <w:rStyle w:val="VerbatimChar"/>
          <w:bCs/>
          <w:b/>
        </w:rPr>
        <w:t xml:space="preserve">skills/*/SKILL.md</w:t>
      </w:r>
      <w:r>
        <w:rPr>
          <w:bCs/>
          <w:b/>
        </w:rPr>
        <w:t xml:space="preserve">):</w:t>
      </w:r>
    </w:p>
    <w:tbl>
      <w:tblPr>
        <w:tblStyle w:val="Table"/>
        <w:tblW w:type="pct" w:w="5000"/>
        <w:tblLook w:firstRow="1" w:lastRow="0" w:firstColumn="0" w:lastColumn="0" w:noHBand="0" w:noVBand="0" w:val="0020"/>
        <w:jc w:val="start"/>
      </w:tblPr>
      <w:tblGrid>
        <w:gridCol w:w="1355"/>
        <w:gridCol w:w="4709"/>
        <w:gridCol w:w="1855"/>
      </w:tblGrid>
      <w:tr>
        <w:trPr>
          <w:tblHeader w:val="true"/>
        </w:trPr>
        <w:tc>
          <w:tcPr/>
          <w:p>
            <w:pPr>
              <w:pStyle w:val="Compact"/>
              <w:jc w:val="left"/>
            </w:pPr>
            <w:r>
              <w:t xml:space="preserve">Skill</w:t>
            </w:r>
          </w:p>
        </w:tc>
        <w:tc>
          <w:tcPr/>
          <w:p>
            <w:pPr>
              <w:pStyle w:val="Compact"/>
              <w:jc w:val="left"/>
            </w:pPr>
            <w:r>
              <w:t xml:space="preserve">Gate Behavior</w:t>
            </w:r>
          </w:p>
        </w:tc>
        <w:tc>
          <w:tcPr/>
          <w:p>
            <w:pPr>
              <w:pStyle w:val="Compact"/>
              <w:jc w:val="left"/>
            </w:pPr>
            <w:r>
              <w:t xml:space="preserve">Enforcement</w:t>
            </w:r>
          </w:p>
        </w:tc>
      </w:tr>
      <w:tr>
        <w:tc>
          <w:tcPr/>
          <w:p>
            <w:pPr>
              <w:pStyle w:val="Compact"/>
              <w:jc w:val="left"/>
            </w:pPr>
            <w:r>
              <w:rPr>
                <w:rStyle w:val="VerbatimChar"/>
              </w:rPr>
              <w:t xml:space="preserve">verification-gate</w:t>
            </w:r>
          </w:p>
        </w:tc>
        <w:tc>
          <w:tcPr/>
          <w:p>
            <w:pPr>
              <w:pStyle w:val="Compact"/>
              <w:jc w:val="left"/>
            </w:pPr>
            <w:r>
              <w:t xml:space="preserve">Blocks completion claims without fresh test evidence</w:t>
            </w:r>
          </w:p>
        </w:tc>
        <w:tc>
          <w:tcPr/>
          <w:p>
            <w:pPr>
              <w:pStyle w:val="Compact"/>
              <w:jc w:val="left"/>
            </w:pPr>
            <w:r>
              <w:t xml:space="preserve">Exit code 2 (BLOCK)</w:t>
            </w:r>
          </w:p>
        </w:tc>
      </w:tr>
      <w:tr>
        <w:tc>
          <w:tcPr/>
          <w:p>
            <w:pPr>
              <w:pStyle w:val="Compact"/>
              <w:jc w:val="left"/>
            </w:pPr>
            <w:r>
              <w:rPr>
                <w:rStyle w:val="VerbatimChar"/>
              </w:rPr>
              <w:t xml:space="preserve">design-first</w:t>
            </w:r>
          </w:p>
        </w:tc>
        <w:tc>
          <w:tcPr/>
          <w:p>
            <w:pPr>
              <w:pStyle w:val="Compact"/>
              <w:jc w:val="left"/>
            </w:pPr>
            <w:r>
              <w:t xml:space="preserve">Blocks implementation of 3+ file changes without approved design</w:t>
            </w:r>
          </w:p>
        </w:tc>
        <w:tc>
          <w:tcPr/>
          <w:p>
            <w:pPr>
              <w:pStyle w:val="Compact"/>
              <w:jc w:val="left"/>
            </w:pPr>
            <w:r>
              <w:t xml:space="preserve">Exit code 2 (BLOCK)</w:t>
            </w:r>
          </w:p>
        </w:tc>
      </w:tr>
      <w:tr>
        <w:tc>
          <w:tcPr/>
          <w:p>
            <w:pPr>
              <w:pStyle w:val="Compact"/>
              <w:jc w:val="left"/>
            </w:pPr>
            <w:r>
              <w:rPr>
                <w:rStyle w:val="VerbatimChar"/>
              </w:rPr>
              <w:t xml:space="preserve">dual-folder-sync</w:t>
            </w:r>
          </w:p>
        </w:tc>
        <w:tc>
          <w:tcPr/>
          <w:p>
            <w:pPr>
              <w:pStyle w:val="Compact"/>
              <w:jc w:val="left"/>
            </w:pPr>
            <w:r>
              <w:t xml:space="preserve">Blocks commits that change root folders without landing-pages sync</w:t>
            </w:r>
          </w:p>
        </w:tc>
        <w:tc>
          <w:tcPr/>
          <w:p>
            <w:pPr>
              <w:pStyle w:val="Compact"/>
              <w:jc w:val="left"/>
            </w:pPr>
            <w:r>
              <w:t xml:space="preserve">Exit code 2 (BLOCK)</w:t>
            </w:r>
          </w:p>
        </w:tc>
      </w:tr>
      <w:tr>
        <w:tc>
          <w:tcPr/>
          <w:p>
            <w:pPr>
              <w:pStyle w:val="Compact"/>
              <w:jc w:val="left"/>
            </w:pPr>
            <w:r>
              <w:rPr>
                <w:rStyle w:val="VerbatimChar"/>
              </w:rPr>
              <w:t xml:space="preserve">last30days</w:t>
            </w:r>
          </w:p>
        </w:tc>
        <w:tc>
          <w:tcPr/>
          <w:p>
            <w:pPr>
              <w:pStyle w:val="Compact"/>
              <w:jc w:val="left"/>
            </w:pPr>
            <w:r>
              <w:t xml:space="preserve">Research agent for Reddit/X/Web content from last 30 days</w:t>
            </w:r>
          </w:p>
        </w:tc>
        <w:tc>
          <w:tcPr/>
          <w:p>
            <w:pPr>
              <w:pStyle w:val="Compact"/>
              <w:jc w:val="left"/>
            </w:pPr>
            <w:r>
              <w:t xml:space="preserve">Agent-style (non-blocking)</w:t>
            </w:r>
          </w:p>
        </w:tc>
      </w:tr>
    </w:tbl>
    <w:p>
      <w:pPr>
        <w:pStyle w:val="BodyText"/>
      </w:pPr>
      <w:r>
        <w:rPr>
          <w:bCs/>
          <w:b/>
        </w:rPr>
        <w:t xml:space="preserve">Subagents (4 specialized agents in</w:t>
      </w:r>
      <w:r>
        <w:rPr>
          <w:bCs/>
          <w:b/>
        </w:rPr>
        <w:t xml:space="preserve"> </w:t>
      </w:r>
      <w:r>
        <w:rPr>
          <w:rStyle w:val="VerbatimChar"/>
          <w:bCs/>
          <w:b/>
        </w:rPr>
        <w:t xml:space="preserve">.claude/agents/</w:t>
      </w:r>
      <w:r>
        <w:rPr>
          <w:bCs/>
          <w:b/>
        </w:rPr>
        <w:t xml:space="preserve">):</w:t>
      </w:r>
    </w:p>
    <w:tbl>
      <w:tblPr>
        <w:tblStyle w:val="Table"/>
        <w:tblW w:type="pct" w:w="5000"/>
        <w:tblLook w:firstRow="1" w:lastRow="0" w:firstColumn="0" w:lastColumn="0" w:noHBand="0" w:noVBand="0" w:val="0020"/>
        <w:jc w:val="start"/>
      </w:tblPr>
      <w:tblGrid>
        <w:gridCol w:w="1243"/>
        <w:gridCol w:w="3861"/>
        <w:gridCol w:w="2814"/>
      </w:tblGrid>
      <w:tr>
        <w:trPr>
          <w:tblHeader w:val="true"/>
        </w:trPr>
        <w:tc>
          <w:tcPr/>
          <w:p>
            <w:pPr>
              <w:pStyle w:val="Compact"/>
              <w:jc w:val="left"/>
            </w:pPr>
            <w:r>
              <w:t xml:space="preserve">Agent</w:t>
            </w:r>
          </w:p>
        </w:tc>
        <w:tc>
          <w:tcPr/>
          <w:p>
            <w:pPr>
              <w:pStyle w:val="Compact"/>
              <w:jc w:val="left"/>
            </w:pPr>
            <w:r>
              <w:t xml:space="preserve">Role</w:t>
            </w:r>
          </w:p>
        </w:tc>
        <w:tc>
          <w:tcPr/>
          <w:p>
            <w:pPr>
              <w:pStyle w:val="Compact"/>
              <w:jc w:val="left"/>
            </w:pPr>
            <w:r>
              <w:t xml:space="preserve">Isolation Property</w:t>
            </w:r>
          </w:p>
        </w:tc>
      </w:tr>
      <w:tr>
        <w:tc>
          <w:tcPr/>
          <w:p>
            <w:pPr>
              <w:pStyle w:val="Compact"/>
              <w:jc w:val="left"/>
            </w:pPr>
            <w:r>
              <w:rPr>
                <w:rStyle w:val="VerbatimChar"/>
              </w:rPr>
              <w:t xml:space="preserve">mcp-expert</w:t>
            </w:r>
          </w:p>
        </w:tc>
        <w:tc>
          <w:tcPr/>
          <w:p>
            <w:pPr>
              <w:pStyle w:val="Compact"/>
              <w:jc w:val="left"/>
            </w:pPr>
            <w:r>
              <w:t xml:space="preserve">MCP server configuration specialist</w:t>
            </w:r>
          </w:p>
        </w:tc>
        <w:tc>
          <w:tcPr/>
          <w:p>
            <w:pPr>
              <w:pStyle w:val="Compact"/>
              <w:jc w:val="left"/>
            </w:pPr>
            <w:r>
              <w:t xml:space="preserve">Protects main context from protocol details</w:t>
            </w:r>
          </w:p>
        </w:tc>
      </w:tr>
      <w:tr>
        <w:tc>
          <w:tcPr/>
          <w:p>
            <w:pPr>
              <w:pStyle w:val="Compact"/>
              <w:jc w:val="left"/>
            </w:pPr>
            <w:r>
              <w:rPr>
                <w:rStyle w:val="VerbatimChar"/>
              </w:rPr>
              <w:t xml:space="preserve">code-reviewer</w:t>
            </w:r>
          </w:p>
        </w:tc>
        <w:tc>
          <w:tcPr/>
          <w:p>
            <w:pPr>
              <w:pStyle w:val="Compact"/>
              <w:jc w:val="left"/>
            </w:pPr>
            <w:r>
              <w:t xml:space="preserve">Staff Engineer bug finder (logic, security, data integrity)</w:t>
            </w:r>
          </w:p>
        </w:tc>
        <w:tc>
          <w:tcPr/>
          <w:p>
            <w:pPr>
              <w:pStyle w:val="Compact"/>
              <w:jc w:val="left"/>
            </w:pPr>
            <w:r>
              <w:t xml:space="preserve">Reviews without executing changes</w:t>
            </w:r>
          </w:p>
        </w:tc>
      </w:tr>
      <w:tr>
        <w:tc>
          <w:tcPr/>
          <w:p>
            <w:pPr>
              <w:pStyle w:val="Compact"/>
              <w:jc w:val="left"/>
            </w:pPr>
            <w:r>
              <w:rPr>
                <w:rStyle w:val="VerbatimChar"/>
              </w:rPr>
              <w:t xml:space="preserve">security-reviewer</w:t>
            </w:r>
          </w:p>
        </w:tc>
        <w:tc>
          <w:tcPr/>
          <w:p>
            <w:pPr>
              <w:pStyle w:val="Compact"/>
              <w:jc w:val="left"/>
            </w:pPr>
            <w:r>
              <w:t xml:space="preserve">OWASP Top 10 + DWS Security Standard auditor</w:t>
            </w:r>
          </w:p>
        </w:tc>
        <w:tc>
          <w:tcPr/>
          <w:p>
            <w:pPr>
              <w:pStyle w:val="Compact"/>
              <w:jc w:val="left"/>
            </w:pPr>
            <w:r>
              <w:t xml:space="preserve">Scans without modifying code</w:t>
            </w:r>
          </w:p>
        </w:tc>
      </w:tr>
      <w:tr>
        <w:tc>
          <w:tcPr/>
          <w:p>
            <w:pPr>
              <w:pStyle w:val="Compact"/>
              <w:jc w:val="left"/>
            </w:pPr>
            <w:r>
              <w:rPr>
                <w:rStyle w:val="VerbatimChar"/>
              </w:rPr>
              <w:t xml:space="preserve">architect</w:t>
            </w:r>
          </w:p>
        </w:tc>
        <w:tc>
          <w:tcPr/>
          <w:p>
            <w:pPr>
              <w:pStyle w:val="Compact"/>
              <w:jc w:val="left"/>
            </w:pPr>
            <w:r>
              <w:t xml:space="preserve">Minimal design planner, anti-overengineering enforcer</w:t>
            </w:r>
          </w:p>
        </w:tc>
        <w:tc>
          <w:tcPr/>
          <w:p>
            <w:pPr>
              <w:pStyle w:val="Compact"/>
              <w:jc w:val="left"/>
            </w:pPr>
            <w:r>
              <w:t xml:space="preserve">Returns structured plan only</w:t>
            </w:r>
          </w:p>
        </w:tc>
      </w:tr>
    </w:tbl>
    <w:p>
      <w:pPr>
        <w:pStyle w:val="BodyText"/>
      </w:pPr>
      <w:r>
        <w:t xml:space="preserve">Each skill encapsulates input validation, agent execution, and structured output formatting. The discipline skills represent a novel contribution:</w:t>
      </w:r>
      <w:r>
        <w:t xml:space="preserve"> </w:t>
      </w:r>
      <w:r>
        <w:rPr>
          <w:bCs/>
          <w:b/>
        </w:rPr>
        <w:t xml:space="preserve">blocking gates</w:t>
      </w:r>
      <w:r>
        <w:t xml:space="preserve"> </w:t>
      </w:r>
      <w:r>
        <w:t xml:space="preserve">that enforce process discipline structurally rather than behaviorally. Unlike advisory linters, these gates cannot be bypassed — they intercept tool calls via hook exit code 2 (BLOCK) and prevent the action from executing. This directly implements the</w:t>
      </w:r>
      <w:r>
        <w:t xml:space="preserve"> </w:t>
      </w:r>
      <w:r>
        <w:rPr>
          <w:bCs/>
          <w:b/>
        </w:rPr>
        <w:t xml:space="preserve">Build for Agents</w:t>
      </w:r>
      <w:r>
        <w:t xml:space="preserve"> </w:t>
      </w:r>
      <w:r>
        <w:t xml:space="preserve">principle: if a capability cannot be invoked as</w:t>
      </w:r>
      <w:r>
        <w:t xml:space="preserve"> </w:t>
      </w:r>
      <w:r>
        <w:rPr>
          <w:rStyle w:val="VerbatimChar"/>
        </w:rPr>
        <w:t xml:space="preserve">dws &lt;command&gt;</w:t>
      </w:r>
      <w:r>
        <w:t xml:space="preserve">, it is not shipped.</w:t>
      </w:r>
    </w:p>
    <w:bookmarkEnd w:id="199"/>
    <w:bookmarkStart w:id="200" w:name="hooks-for-automated-workflow-validation"/>
    <w:p>
      <w:pPr>
        <w:pStyle w:val="Heading3"/>
      </w:pPr>
      <w:r>
        <w:t xml:space="preserve">10.13.4 Hooks for Automated Workflow Validation</w:t>
      </w:r>
    </w:p>
    <w:p>
      <w:pPr>
        <w:pStyle w:val="FirstParagraph"/>
      </w:pPr>
      <w:r>
        <w:t xml:space="preserve">Hooks are the enforcement layer of AI workflow engineering — and the most underutilized pattern in current practice. Where skills define reusable capabilities, hooks enforce quality constraints automatically and non-negotiably.</w:t>
      </w:r>
    </w:p>
    <w:p>
      <w:pPr>
        <w:pStyle w:val="BodyText"/>
      </w:pPr>
      <w:r>
        <w:t xml:space="preserve">DWS6 implements hooks at two levels:</w:t>
      </w:r>
    </w:p>
    <w:p>
      <w:pPr>
        <w:pStyle w:val="BodyText"/>
      </w:pPr>
      <w:r>
        <w:rPr>
          <w:bCs/>
          <w:b/>
        </w:rPr>
        <w:t xml:space="preserve">Claude Code hooks</w:t>
      </w:r>
      <w:r>
        <w:t xml:space="preserve"> </w:t>
      </w:r>
      <w:r>
        <w:t xml:space="preserve">(</w:t>
      </w:r>
      <w:r>
        <w:rPr>
          <w:rStyle w:val="VerbatimChar"/>
        </w:rPr>
        <w:t xml:space="preserve">.claude/hooks/</w:t>
      </w:r>
      <w:r>
        <w:t xml:space="preserve">):</w:t>
      </w:r>
    </w:p>
    <w:p>
      <w:pPr>
        <w:numPr>
          <w:ilvl w:val="0"/>
          <w:numId w:val="1070"/>
        </w:numPr>
        <w:pStyle w:val="Compact"/>
      </w:pPr>
      <w:r>
        <w:t xml:space="preserve">Tool output transformation — normalize agent JSON responses to consistent schema</w:t>
      </w:r>
    </w:p>
    <w:p>
      <w:pPr>
        <w:numPr>
          <w:ilvl w:val="0"/>
          <w:numId w:val="1070"/>
        </w:numPr>
        <w:pStyle w:val="Compact"/>
      </w:pPr>
      <w:r>
        <w:t xml:space="preserve">Structured output verification — ensure all CLI commands produce valid JSON</w:t>
      </w:r>
    </w:p>
    <w:p>
      <w:pPr>
        <w:numPr>
          <w:ilvl w:val="0"/>
          <w:numId w:val="1070"/>
        </w:numPr>
        <w:pStyle w:val="Compact"/>
      </w:pPr>
      <w:r>
        <w:t xml:space="preserve">Session start validation — verify environment readiness before agent work begins</w:t>
      </w:r>
    </w:p>
    <w:p>
      <w:pPr>
        <w:pStyle w:val="FirstParagraph"/>
      </w:pPr>
      <w:r>
        <w:rPr>
          <w:bCs/>
          <w:b/>
        </w:rPr>
        <w:t xml:space="preserve">Git hooks</w:t>
      </w:r>
      <w:r>
        <w:t xml:space="preserve"> </w:t>
      </w:r>
      <w:r>
        <w:t xml:space="preserve">(</w:t>
      </w:r>
      <w:r>
        <w:rPr>
          <w:rStyle w:val="VerbatimChar"/>
        </w:rPr>
        <w:t xml:space="preserve">.githooks/</w:t>
      </w:r>
      <w:r>
        <w:t xml:space="preserve">):</w:t>
      </w:r>
    </w:p>
    <w:p>
      <w:pPr>
        <w:numPr>
          <w:ilvl w:val="0"/>
          <w:numId w:val="1071"/>
        </w:numPr>
        <w:pStyle w:val="Compact"/>
      </w:pPr>
      <w:r>
        <w:t xml:space="preserve">Branch name enforcement —</w:t>
      </w:r>
      <w:r>
        <w:t xml:space="preserve"> </w:t>
      </w:r>
      <w:r>
        <w:rPr>
          <w:rStyle w:val="VerbatimChar"/>
        </w:rPr>
        <w:t xml:space="preserve">claude/&lt;feature&gt;-&lt;id&gt;</w:t>
      </w:r>
      <w:r>
        <w:t xml:space="preserve"> </w:t>
      </w:r>
      <w:r>
        <w:t xml:space="preserve">naming convention before commit</w:t>
      </w:r>
    </w:p>
    <w:p>
      <w:pPr>
        <w:numPr>
          <w:ilvl w:val="0"/>
          <w:numId w:val="1071"/>
        </w:numPr>
        <w:pStyle w:val="Compact"/>
      </w:pPr>
      <w:r>
        <w:t xml:space="preserve">Pre-commit security checks — detect hardcoded secrets, unsafe exec() patterns</w:t>
      </w:r>
    </w:p>
    <w:p>
      <w:pPr>
        <w:pStyle w:val="FirstParagraph"/>
      </w:pPr>
      <w:r>
        <w:t xml:space="preserve">The critical property of hooks is</w:t>
      </w:r>
      <w:r>
        <w:t xml:space="preserve"> </w:t>
      </w:r>
      <w:r>
        <w:rPr>
          <w:bCs/>
          <w:b/>
        </w:rPr>
        <w:t xml:space="preserve">non-negotiability</w:t>
      </w:r>
      <w:r>
        <w:t xml:space="preserve">: unlike CLAUDE.md guidance (which an agent may follow imperfectly), hooks intercept tool calls and either transform or block them. This is essential for production AI workflows where manual review is not scalable and quality guarantees must be structural, not behavioral.</w:t>
      </w:r>
    </w:p>
    <w:bookmarkEnd w:id="200"/>
    <w:bookmarkStart w:id="201" w:name="subagents-and-parallel-execution"/>
    <w:p>
      <w:pPr>
        <w:pStyle w:val="Heading3"/>
      </w:pPr>
      <w:r>
        <w:t xml:space="preserve">10.13.5 Subagents and Parallel Execution</w:t>
      </w:r>
    </w:p>
    <w:p>
      <w:pPr>
        <w:pStyle w:val="FirstParagraph"/>
      </w:pPr>
      <w:r>
        <w:t xml:space="preserve">The DWS6 architecture employs specialized subagents for distinct task classes, extending the multi-agent orchestration principle from Firehorse production workflows into the development workflow itself:</w:t>
      </w:r>
    </w:p>
    <w:tbl>
      <w:tblPr>
        <w:tblStyle w:val="Table"/>
        <w:tblW w:type="pct" w:w="5000"/>
        <w:tblLook w:firstRow="1" w:lastRow="0" w:firstColumn="0" w:lastColumn="0" w:noHBand="0" w:noVBand="0" w:val="0020"/>
        <w:jc w:val="start"/>
      </w:tblPr>
      <w:tblGrid>
        <w:gridCol w:w="1406"/>
        <w:gridCol w:w="2886"/>
        <w:gridCol w:w="3626"/>
      </w:tblGrid>
      <w:tr>
        <w:trPr>
          <w:tblHeader w:val="true"/>
        </w:trPr>
        <w:tc>
          <w:tcPr/>
          <w:p>
            <w:pPr>
              <w:pStyle w:val="Compact"/>
              <w:jc w:val="left"/>
            </w:pPr>
            <w:r>
              <w:t xml:space="preserve">Subagent Type</w:t>
            </w:r>
          </w:p>
        </w:tc>
        <w:tc>
          <w:tcPr/>
          <w:p>
            <w:pPr>
              <w:pStyle w:val="Compact"/>
              <w:jc w:val="left"/>
            </w:pPr>
            <w:r>
              <w:t xml:space="preserve">Role</w:t>
            </w:r>
          </w:p>
        </w:tc>
        <w:tc>
          <w:tcPr/>
          <w:p>
            <w:pPr>
              <w:pStyle w:val="Compact"/>
              <w:jc w:val="left"/>
            </w:pPr>
            <w:r>
              <w:t xml:space="preserve">Isolation Property</w:t>
            </w:r>
          </w:p>
        </w:tc>
      </w:tr>
      <w:tr>
        <w:tc>
          <w:tcPr/>
          <w:p>
            <w:pPr>
              <w:pStyle w:val="Compact"/>
              <w:jc w:val="left"/>
            </w:pPr>
            <w:r>
              <w:rPr>
                <w:bCs/>
                <w:b/>
              </w:rPr>
              <w:t xml:space="preserve">Explore</w:t>
            </w:r>
          </w:p>
        </w:tc>
        <w:tc>
          <w:tcPr/>
          <w:p>
            <w:pPr>
              <w:pStyle w:val="Compact"/>
              <w:jc w:val="left"/>
            </w:pPr>
            <w:r>
              <w:t xml:space="preserve">Codebase search, file pattern matching</w:t>
            </w:r>
          </w:p>
        </w:tc>
        <w:tc>
          <w:tcPr/>
          <w:p>
            <w:pPr>
              <w:pStyle w:val="Compact"/>
              <w:jc w:val="left"/>
            </w:pPr>
            <w:r>
              <w:t xml:space="preserve">Protects main context from large result sets</w:t>
            </w:r>
          </w:p>
        </w:tc>
      </w:tr>
      <w:tr>
        <w:tc>
          <w:tcPr/>
          <w:p>
            <w:pPr>
              <w:pStyle w:val="Compact"/>
              <w:jc w:val="left"/>
            </w:pPr>
            <w:r>
              <w:rPr>
                <w:bCs/>
                <w:b/>
              </w:rPr>
              <w:t xml:space="preserve">Plan</w:t>
            </w:r>
          </w:p>
        </w:tc>
        <w:tc>
          <w:tcPr/>
          <w:p>
            <w:pPr>
              <w:pStyle w:val="Compact"/>
              <w:jc w:val="left"/>
            </w:pPr>
            <w:r>
              <w:t xml:space="preserve">Architecture design, trade-off analysis</w:t>
            </w:r>
          </w:p>
        </w:tc>
        <w:tc>
          <w:tcPr/>
          <w:p>
            <w:pPr>
              <w:pStyle w:val="Compact"/>
              <w:jc w:val="left"/>
            </w:pPr>
            <w:r>
              <w:t xml:space="preserve">Returns structured plan without executing changes</w:t>
            </w:r>
          </w:p>
        </w:tc>
      </w:tr>
      <w:tr>
        <w:tc>
          <w:tcPr/>
          <w:p>
            <w:pPr>
              <w:pStyle w:val="Compact"/>
              <w:jc w:val="left"/>
            </w:pPr>
            <w:r>
              <w:rPr>
                <w:bCs/>
                <w:b/>
              </w:rPr>
              <w:t xml:space="preserve">General-purpose</w:t>
            </w:r>
          </w:p>
        </w:tc>
        <w:tc>
          <w:tcPr/>
          <w:p>
            <w:pPr>
              <w:pStyle w:val="Compact"/>
              <w:jc w:val="left"/>
            </w:pPr>
            <w:r>
              <w:t xml:space="preserve">Multi-step research, document analysis</w:t>
            </w:r>
          </w:p>
        </w:tc>
        <w:tc>
          <w:tcPr/>
          <w:p>
            <w:pPr>
              <w:pStyle w:val="Compact"/>
              <w:jc w:val="left"/>
            </w:pPr>
            <w:r>
              <w:t xml:space="preserve">Full tool access for complex investigation</w:t>
            </w:r>
          </w:p>
        </w:tc>
      </w:tr>
      <w:tr>
        <w:tc>
          <w:tcPr/>
          <w:p>
            <w:pPr>
              <w:pStyle w:val="Compact"/>
              <w:jc w:val="left"/>
            </w:pPr>
            <w:r>
              <w:rPr>
                <w:bCs/>
                <w:b/>
              </w:rPr>
              <w:t xml:space="preserve">Background</w:t>
            </w:r>
          </w:p>
        </w:tc>
        <w:tc>
          <w:tcPr/>
          <w:p>
            <w:pPr>
              <w:pStyle w:val="Compact"/>
              <w:jc w:val="left"/>
            </w:pPr>
            <w:r>
              <w:t xml:space="preserve">Independent parallel tasks</w:t>
            </w:r>
          </w:p>
        </w:tc>
        <w:tc>
          <w:tcPr/>
          <w:p>
            <w:pPr>
              <w:pStyle w:val="Compact"/>
              <w:jc w:val="left"/>
            </w:pPr>
            <w:r>
              <w:t xml:space="preserve">Non-blocking; notifies on completion</w:t>
            </w:r>
          </w:p>
        </w:tc>
      </w:tr>
    </w:tbl>
    <w:p>
      <w:pPr>
        <w:pStyle w:val="BodyText"/>
      </w:pPr>
      <w:r>
        <w:t xml:space="preserve">The isolation property is critical at scale: subagents prevent context window exhaustion on large codebases while enabling parallel execution of independent tasks. The Firehorse production orchestration (Temporal.io + event bus, Section 10.7) extends this same pattern to customer-facing agent workflows.</w:t>
      </w:r>
    </w:p>
    <w:bookmarkEnd w:id="201"/>
    <w:bookmarkStart w:id="202" w:name="Xbd5283222cb8e2b9484c6525212db24f484ccdc"/>
    <w:p>
      <w:pPr>
        <w:pStyle w:val="Heading3"/>
      </w:pPr>
      <w:r>
        <w:t xml:space="preserve">10.13.6 Implications for the Solution Factory Model</w:t>
      </w:r>
    </w:p>
    <w:p>
      <w:pPr>
        <w:pStyle w:val="FirstParagraph"/>
      </w:pPr>
      <w:r>
        <w:t xml:space="preserve">This engineering structure validates and extends the Solution Factory model (Section 5) with a concrete implementation layer that maps directly to the Brain-Memory-Body-Hands architecture:</w:t>
      </w:r>
    </w:p>
    <w:tbl>
      <w:tblPr>
        <w:tblStyle w:val="Table"/>
        <w:tblW w:type="pct" w:w="5000"/>
        <w:tblLook w:firstRow="1" w:lastRow="0" w:firstColumn="0" w:lastColumn="0" w:noHBand="0" w:noVBand="0" w:val="0020"/>
        <w:jc w:val="start"/>
      </w:tblPr>
      <w:tblGrid>
        <w:gridCol w:w="2233"/>
        <w:gridCol w:w="3858"/>
        <w:gridCol w:w="1827"/>
      </w:tblGrid>
      <w:tr>
        <w:trPr>
          <w:tblHeader w:val="true"/>
        </w:trPr>
        <w:tc>
          <w:tcPr/>
          <w:p>
            <w:pPr>
              <w:pStyle w:val="Compact"/>
              <w:jc w:val="left"/>
            </w:pPr>
            <w:r>
              <w:t xml:space="preserve">Solution Factory Layer</w:t>
            </w:r>
          </w:p>
        </w:tc>
        <w:tc>
          <w:tcPr/>
          <w:p>
            <w:pPr>
              <w:pStyle w:val="Compact"/>
              <w:jc w:val="left"/>
            </w:pPr>
            <w:r>
              <w:t xml:space="preserve">Claude Code Implementation</w:t>
            </w:r>
          </w:p>
        </w:tc>
        <w:tc>
          <w:tcPr/>
          <w:p>
            <w:pPr>
              <w:pStyle w:val="Compact"/>
              <w:jc w:val="left"/>
            </w:pPr>
            <w:r>
              <w:t xml:space="preserve">Architecture Layer</w:t>
            </w:r>
          </w:p>
        </w:tc>
      </w:tr>
      <w:tr>
        <w:tc>
          <w:tcPr/>
          <w:p>
            <w:pPr>
              <w:pStyle w:val="Compact"/>
              <w:jc w:val="left"/>
            </w:pPr>
            <w:r>
              <w:t xml:space="preserve">Knowledge persistence</w:t>
            </w:r>
          </w:p>
        </w:tc>
        <w:tc>
          <w:tcPr/>
          <w:p>
            <w:pPr>
              <w:pStyle w:val="Compact"/>
              <w:jc w:val="left"/>
            </w:pPr>
            <w:r>
              <w:t xml:space="preserve">CLAUDE.md + VERSION AND AGENT HISTORY</w:t>
            </w:r>
          </w:p>
        </w:tc>
        <w:tc>
          <w:tcPr/>
          <w:p>
            <w:pPr>
              <w:pStyle w:val="Compact"/>
              <w:jc w:val="left"/>
            </w:pPr>
            <w:r>
              <w:t xml:space="preserve">Memory</w:t>
            </w:r>
          </w:p>
        </w:tc>
      </w:tr>
      <w:tr>
        <w:tc>
          <w:tcPr/>
          <w:p>
            <w:pPr>
              <w:pStyle w:val="Compact"/>
              <w:jc w:val="left"/>
            </w:pPr>
            <w:r>
              <w:t xml:space="preserve">Agent coordination</w:t>
            </w:r>
          </w:p>
        </w:tc>
        <w:tc>
          <w:tcPr/>
          <w:p>
            <w:pPr>
              <w:pStyle w:val="Compact"/>
              <w:jc w:val="left"/>
            </w:pPr>
            <w:r>
              <w:t xml:space="preserve">Subagents + shared CLAUDE.md context</w:t>
            </w:r>
          </w:p>
        </w:tc>
        <w:tc>
          <w:tcPr/>
          <w:p>
            <w:pPr>
              <w:pStyle w:val="Compact"/>
              <w:jc w:val="left"/>
            </w:pPr>
            <w:r>
              <w:t xml:space="preserve">Brain</w:t>
            </w:r>
          </w:p>
        </w:tc>
      </w:tr>
      <w:tr>
        <w:tc>
          <w:tcPr/>
          <w:p>
            <w:pPr>
              <w:pStyle w:val="Compact"/>
              <w:jc w:val="left"/>
            </w:pPr>
            <w:r>
              <w:t xml:space="preserve">Reusable capabilities</w:t>
            </w:r>
          </w:p>
        </w:tc>
        <w:tc>
          <w:tcPr/>
          <w:p>
            <w:pPr>
              <w:pStyle w:val="Compact"/>
              <w:jc w:val="left"/>
            </w:pPr>
            <w:r>
              <w:t xml:space="preserve">Skills (</w:t>
            </w:r>
            <w:r>
              <w:rPr>
                <w:rStyle w:val="VerbatimChar"/>
              </w:rPr>
              <w:t xml:space="preserve">.claude/commands/</w:t>
            </w:r>
            <w:r>
              <w:t xml:space="preserve">)</w:t>
            </w:r>
          </w:p>
        </w:tc>
        <w:tc>
          <w:tcPr/>
          <w:p>
            <w:pPr>
              <w:pStyle w:val="Compact"/>
              <w:jc w:val="left"/>
            </w:pPr>
            <w:r>
              <w:t xml:space="preserve">Body</w:t>
            </w:r>
          </w:p>
        </w:tc>
      </w:tr>
      <w:tr>
        <w:tc>
          <w:tcPr/>
          <w:p>
            <w:pPr>
              <w:pStyle w:val="Compact"/>
              <w:jc w:val="left"/>
            </w:pPr>
            <w:r>
              <w:t xml:space="preserve">Quality enforcement</w:t>
            </w:r>
          </w:p>
        </w:tc>
        <w:tc>
          <w:tcPr/>
          <w:p>
            <w:pPr>
              <w:pStyle w:val="Compact"/>
              <w:jc w:val="left"/>
            </w:pPr>
            <w:r>
              <w:t xml:space="preserve">Hooks (</w:t>
            </w:r>
            <w:r>
              <w:rPr>
                <w:rStyle w:val="VerbatimChar"/>
              </w:rPr>
              <w:t xml:space="preserve">.claude/hooks/</w:t>
            </w:r>
            <w:r>
              <w:t xml:space="preserve">,</w:t>
            </w:r>
            <w:r>
              <w:t xml:space="preserve"> </w:t>
            </w:r>
            <w:r>
              <w:rPr>
                <w:rStyle w:val="VerbatimChar"/>
              </w:rPr>
              <w:t xml:space="preserve">.githooks/</w:t>
            </w:r>
            <w:r>
              <w:t xml:space="preserve">)</w:t>
            </w:r>
          </w:p>
        </w:tc>
        <w:tc>
          <w:tcPr/>
          <w:p>
            <w:pPr>
              <w:pStyle w:val="Compact"/>
              <w:jc w:val="left"/>
            </w:pPr>
            <w:r>
              <w:t xml:space="preserve">Hands</w:t>
            </w:r>
          </w:p>
        </w:tc>
      </w:tr>
      <w:tr>
        <w:tc>
          <w:tcPr/>
          <w:p>
            <w:pPr>
              <w:pStyle w:val="Compact"/>
              <w:jc w:val="left"/>
            </w:pPr>
            <w:r>
              <w:t xml:space="preserve">Parallel execution</w:t>
            </w:r>
          </w:p>
        </w:tc>
        <w:tc>
          <w:tcPr/>
          <w:p>
            <w:pPr>
              <w:pStyle w:val="Compact"/>
              <w:jc w:val="left"/>
            </w:pPr>
            <w:r>
              <w:t xml:space="preserve">Background agents + Temporal.io</w:t>
            </w:r>
          </w:p>
        </w:tc>
        <w:tc>
          <w:tcPr/>
          <w:p>
            <w:pPr>
              <w:pStyle w:val="Compact"/>
              <w:jc w:val="left"/>
            </w:pPr>
            <w:r>
              <w:t xml:space="preserve">Brain</w:t>
            </w:r>
          </w:p>
        </w:tc>
      </w:tr>
    </w:tbl>
    <w:p>
      <w:pPr>
        <w:pStyle w:val="BodyText"/>
      </w:pPr>
      <w:r>
        <w:rPr>
          <w:bCs/>
          <w:b/>
        </w:rPr>
        <w:t xml:space="preserve">Key research finding:</w:t>
      </w:r>
      <w:r>
        <w:t xml:space="preserve"> </w:t>
      </w:r>
      <w:r>
        <w:t xml:space="preserve">treating AI workflows as first-class engineering components — with the same modularity, testability, and separation of concerns applied to production software — is the distinguishing factor between AI experiments and AI products. The DWS6 repository structure demonstrates this distinction at production scale: CLAUDE.md reduces behavioral drift to near-zero, skills eliminate repeated prompting, and hooks enforce quality without human intervention.</w:t>
      </w:r>
    </w:p>
    <w:p>
      <w:pPr>
        <w:pStyle w:val="BodyText"/>
      </w:pPr>
      <w:r>
        <w:t xml:space="preserve">This aligns with the broader principle documented throughout this thesis: the Firehorse Operations Model succeeds not because it uses AI, but because it engineers AI into a disciplined system.</w:t>
      </w:r>
    </w:p>
    <w:bookmarkEnd w:id="202"/>
    <w:bookmarkStart w:id="203" w:name="X637496a0b1d3fdab6b016b43381d52031e87a6a"/>
    <w:p>
      <w:pPr>
        <w:pStyle w:val="Heading3"/>
      </w:pPr>
      <w:r>
        <w:t xml:space="preserve">10.13.7 Competitive Analysis: Domain-Specific vs Generic AI Harness</w:t>
      </w:r>
    </w:p>
    <w:p>
      <w:pPr>
        <w:pStyle w:val="FirstParagraph"/>
      </w:pPr>
      <w:r>
        <w:t xml:space="preserve">A March 2026 benchmarking study compared the DWS6 harness architecture against</w:t>
      </w:r>
      <w:r>
        <w:t xml:space="preserve"> </w:t>
      </w:r>
      <w:r>
        <w:rPr>
          <w:bCs/>
          <w:b/>
        </w:rPr>
        <w:t xml:space="preserve">everything-claude-code (ECC)</w:t>
      </w:r>
      <w:r>
        <w:t xml:space="preserve"> </w:t>
      </w:r>
      <w:r>
        <w:t xml:space="preserve">— a 120,000-star MIT-licensed framework providing 136 skills, 30 subagents, 60 slash commands, 34 rule files, and 14 MCP server templates. The comparison reveals a fundamental architectural trade-off between genericity and domain specificity in AI workflow engineering.</w:t>
      </w:r>
    </w:p>
    <w:p>
      <w:pPr>
        <w:pStyle w:val="BodyText"/>
      </w:pPr>
      <w:r>
        <w:rPr>
          <w:bCs/>
          <w:b/>
        </w:rPr>
        <w:t xml:space="preserve">ECC Architecture (Generic):</w:t>
      </w:r>
      <w:r>
        <w:t xml:space="preserve"> </w:t>
      </w:r>
      <w:r>
        <w:t xml:space="preserve">ECC answers the question:</w:t>
      </w:r>
      <w:r>
        <w:t xml:space="preserve"> </w:t>
      </w:r>
      <w:r>
        <w:t xml:space="preserve">“</w:t>
      </w:r>
      <w:r>
        <w:t xml:space="preserve">How do I use Claude Code effectively for any project?</w:t>
      </w:r>
      <w:r>
        <w:t xml:space="preserve">”</w:t>
      </w:r>
      <w:r>
        <w:t xml:space="preserve"> </w:t>
      </w:r>
      <w:r>
        <w:t xml:space="preserve">It provides language-specific agents (TypeScript, Python, Go, Java, Rust, C++, Swift, PHP), cross-IDE adapters (Cursor, VS Code, Codex, OpenCode), PM2-based lifecycle management, SQLite session persistence, and a 997-test validation suite. Installation is modular via profiles.</w:t>
      </w:r>
    </w:p>
    <w:p>
      <w:pPr>
        <w:pStyle w:val="BodyText"/>
      </w:pPr>
      <w:r>
        <w:rPr>
          <w:bCs/>
          <w:b/>
        </w:rPr>
        <w:t xml:space="preserve">DWS6 Architecture (Domain-Specific):</w:t>
      </w:r>
      <w:r>
        <w:t xml:space="preserve"> </w:t>
      </w:r>
      <w:r>
        <w:t xml:space="preserve">DWS6 answers a different question:</w:t>
      </w:r>
      <w:r>
        <w:t xml:space="preserve"> </w:t>
      </w:r>
      <w:r>
        <w:t xml:space="preserve">“</w:t>
      </w:r>
      <w:r>
        <w:t xml:space="preserve">How do I run enterprise industrial AI agents safely in the EU?</w:t>
      </w:r>
      <w:r>
        <w:t xml:space="preserve">”</w:t>
      </w:r>
      <w:r>
        <w:t xml:space="preserve"> </w:t>
      </w:r>
      <w:r>
        <w:t xml:space="preserve">The 21 skills encode regulated domain knowledge — EU ETS emission factors, CBAM import thresholds, CSRD disclosure requirements, EN 15978 lifecycle stages, EN 13001 crane safety standards — that no generic framework provides. This domain knowledge is the product’s moat.</w:t>
      </w:r>
    </w:p>
    <w:p>
      <w:pPr>
        <w:pStyle w:val="BodyText"/>
      </w:pPr>
      <w:r>
        <w:rPr>
          <w:bCs/>
          <w:b/>
        </w:rPr>
        <w:t xml:space="preserve">Six competitive differentiators identified:</w:t>
      </w:r>
    </w:p>
    <w:tbl>
      <w:tblPr>
        <w:tblStyle w:val="Table"/>
        <w:tblW w:type="pct" w:w="5000"/>
        <w:tblLook w:firstRow="1" w:lastRow="0" w:firstColumn="0" w:lastColumn="0" w:noHBand="0" w:noVBand="0" w:val="0020"/>
        <w:jc w:val="start"/>
      </w:tblPr>
      <w:tblGrid>
        <w:gridCol w:w="132"/>
        <w:gridCol w:w="3344"/>
        <w:gridCol w:w="1452"/>
        <w:gridCol w:w="2992"/>
      </w:tblGrid>
      <w:tr>
        <w:trPr>
          <w:tblHeader w:val="true"/>
        </w:trPr>
        <w:tc>
          <w:tcPr/>
          <w:p>
            <w:pPr>
              <w:pStyle w:val="Compact"/>
              <w:jc w:val="left"/>
            </w:pPr>
            <w:r>
              <w:t xml:space="preserve">#</w:t>
            </w:r>
          </w:p>
        </w:tc>
        <w:tc>
          <w:tcPr/>
          <w:p>
            <w:pPr>
              <w:pStyle w:val="Compact"/>
              <w:jc w:val="left"/>
            </w:pPr>
            <w:r>
              <w:t xml:space="preserve">DWS6 Advantage</w:t>
            </w:r>
          </w:p>
        </w:tc>
        <w:tc>
          <w:tcPr/>
          <w:p>
            <w:pPr>
              <w:pStyle w:val="Compact"/>
              <w:jc w:val="left"/>
            </w:pPr>
            <w:r>
              <w:t xml:space="preserve">ECC Equivalent</w:t>
            </w:r>
          </w:p>
        </w:tc>
        <w:tc>
          <w:tcPr/>
          <w:p>
            <w:pPr>
              <w:pStyle w:val="Compact"/>
              <w:jc w:val="left"/>
            </w:pPr>
            <w:r>
              <w:t xml:space="preserve">Research Significance</w:t>
            </w:r>
          </w:p>
        </w:tc>
      </w:tr>
      <w:tr>
        <w:tc>
          <w:tcPr/>
          <w:p>
            <w:pPr>
              <w:pStyle w:val="Compact"/>
              <w:jc w:val="left"/>
            </w:pPr>
            <w:r>
              <w:t xml:space="preserve">1</w:t>
            </w:r>
          </w:p>
        </w:tc>
        <w:tc>
          <w:tcPr/>
          <w:p>
            <w:pPr>
              <w:pStyle w:val="Compact"/>
              <w:jc w:val="left"/>
            </w:pPr>
            <w:r>
              <w:rPr>
                <w:bCs/>
                <w:b/>
              </w:rPr>
              <w:t xml:space="preserve">Domain-specific skills</w:t>
            </w:r>
            <w:r>
              <w:t xml:space="preserve"> </w:t>
            </w:r>
            <w:r>
              <w:t xml:space="preserve">encoding EU regulation</w:t>
            </w:r>
          </w:p>
        </w:tc>
        <w:tc>
          <w:tcPr/>
          <w:p>
            <w:pPr>
              <w:pStyle w:val="Compact"/>
              <w:jc w:val="left"/>
            </w:pPr>
            <w:r>
              <w:t xml:space="preserve">Generic language/framework skills</w:t>
            </w:r>
          </w:p>
        </w:tc>
        <w:tc>
          <w:tcPr/>
          <w:p>
            <w:pPr>
              <w:pStyle w:val="Compact"/>
              <w:jc w:val="left"/>
            </w:pPr>
            <w:r>
              <w:t xml:space="preserve">Domain knowledge as competitive moat — not replicable by skill count</w:t>
            </w:r>
          </w:p>
        </w:tc>
      </w:tr>
      <w:tr>
        <w:tc>
          <w:tcPr/>
          <w:p>
            <w:pPr>
              <w:pStyle w:val="Compact"/>
              <w:jc w:val="left"/>
            </w:pPr>
            <w:r>
              <w:t xml:space="preserve">2</w:t>
            </w:r>
          </w:p>
        </w:tc>
        <w:tc>
          <w:tcPr/>
          <w:p>
            <w:pPr>
              <w:pStyle w:val="Compact"/>
              <w:jc w:val="left"/>
            </w:pPr>
            <w:r>
              <w:rPr>
                <w:bCs/>
                <w:b/>
              </w:rPr>
              <w:t xml:space="preserve">Six-layer information architecture</w:t>
            </w:r>
            <w:r>
              <w:t xml:space="preserve"> </w:t>
            </w:r>
            <w:r>
              <w:t xml:space="preserve">(L0-L6) controlling context injection</w:t>
            </w:r>
          </w:p>
        </w:tc>
        <w:tc>
          <w:tcPr/>
          <w:p>
            <w:pPr>
              <w:pStyle w:val="Compact"/>
              <w:jc w:val="left"/>
            </w:pPr>
            <w:r>
              <w:t xml:space="preserve">Operates at L2-L3 only</w:t>
            </w:r>
          </w:p>
        </w:tc>
        <w:tc>
          <w:tcPr/>
          <w:p>
            <w:pPr>
              <w:pStyle w:val="Compact"/>
              <w:jc w:val="left"/>
            </w:pPr>
            <w:r>
              <w:t xml:space="preserve">Deeper control over agent behavior at every layer</w:t>
            </w:r>
          </w:p>
        </w:tc>
      </w:tr>
      <w:tr>
        <w:tc>
          <w:tcPr/>
          <w:p>
            <w:pPr>
              <w:pStyle w:val="Compact"/>
              <w:jc w:val="left"/>
            </w:pPr>
            <w:r>
              <w:t xml:space="preserve">3</w:t>
            </w:r>
          </w:p>
        </w:tc>
        <w:tc>
          <w:tcPr/>
          <w:p>
            <w:pPr>
              <w:pStyle w:val="Compact"/>
              <w:jc w:val="left"/>
            </w:pPr>
            <w:r>
              <w:rPr>
                <w:bCs/>
                <w:b/>
              </w:rPr>
              <w:t xml:space="preserve">Hard gates</w:t>
            </w:r>
            <w:r>
              <w:t xml:space="preserve"> </w:t>
            </w:r>
            <w:r>
              <w:t xml:space="preserve">(verification-gate, design-first, dual-folder-sync)</w:t>
            </w:r>
          </w:p>
        </w:tc>
        <w:tc>
          <w:tcPr/>
          <w:p>
            <w:pPr>
              <w:pStyle w:val="Compact"/>
              <w:jc w:val="left"/>
            </w:pPr>
            <w:r>
              <w:t xml:space="preserve">Advisory-only skills</w:t>
            </w:r>
          </w:p>
        </w:tc>
        <w:tc>
          <w:tcPr/>
          <w:p>
            <w:pPr>
              <w:pStyle w:val="Compact"/>
              <w:jc w:val="left"/>
            </w:pPr>
            <w:r>
              <w:t xml:space="preserve">Structural enforcement vs behavioral suggestion</w:t>
            </w:r>
          </w:p>
        </w:tc>
      </w:tr>
      <w:tr>
        <w:tc>
          <w:tcPr/>
          <w:p>
            <w:pPr>
              <w:pStyle w:val="Compact"/>
              <w:jc w:val="left"/>
            </w:pPr>
            <w:r>
              <w:t xml:space="preserve">4</w:t>
            </w:r>
          </w:p>
        </w:tc>
        <w:tc>
          <w:tcPr/>
          <w:p>
            <w:pPr>
              <w:pStyle w:val="Compact"/>
              <w:jc w:val="left"/>
            </w:pPr>
            <w:r>
              <w:rPr>
                <w:bCs/>
                <w:b/>
              </w:rPr>
              <w:t xml:space="preserve">Trust boundary zones</w:t>
            </w:r>
            <w:r>
              <w:t xml:space="preserve"> </w:t>
            </w:r>
            <w:r>
              <w:t xml:space="preserve">(GREEN/YELLOW/RED) with action classification</w:t>
            </w:r>
          </w:p>
        </w:tc>
        <w:tc>
          <w:tcPr/>
          <w:p>
            <w:pPr>
              <w:pStyle w:val="Compact"/>
              <w:jc w:val="left"/>
            </w:pPr>
            <w:r>
              <w:t xml:space="preserve">Secret scanning only</w:t>
            </w:r>
          </w:p>
        </w:tc>
        <w:tc>
          <w:tcPr/>
          <w:p>
            <w:pPr>
              <w:pStyle w:val="Compact"/>
              <w:jc w:val="left"/>
            </w:pPr>
            <w:r>
              <w:t xml:space="preserve">Risk-proportionate automation — not binary allow/deny</w:t>
            </w:r>
          </w:p>
        </w:tc>
      </w:tr>
      <w:tr>
        <w:tc>
          <w:tcPr/>
          <w:p>
            <w:pPr>
              <w:pStyle w:val="Compact"/>
              <w:jc w:val="left"/>
            </w:pPr>
            <w:r>
              <w:t xml:space="preserve">5</w:t>
            </w:r>
          </w:p>
        </w:tc>
        <w:tc>
          <w:tcPr/>
          <w:p>
            <w:pPr>
              <w:pStyle w:val="Compact"/>
              <w:jc w:val="left"/>
            </w:pPr>
            <w:r>
              <w:rPr>
                <w:bCs/>
                <w:b/>
              </w:rPr>
              <w:t xml:space="preserve">gstack workflow</w:t>
            </w:r>
            <w:r>
              <w:t xml:space="preserve"> </w:t>
            </w:r>
            <w:r>
              <w:t xml:space="preserve">with enforced role separation</w:t>
            </w:r>
          </w:p>
        </w:tc>
        <w:tc>
          <w:tcPr/>
          <w:p>
            <w:pPr>
              <w:pStyle w:val="Compact"/>
              <w:jc w:val="left"/>
            </w:pPr>
            <w:r>
              <w:t xml:space="preserve">Independent unorchestrated skills</w:t>
            </w:r>
          </w:p>
        </w:tc>
        <w:tc>
          <w:tcPr/>
          <w:p>
            <w:pPr>
              <w:pStyle w:val="Compact"/>
              <w:jc w:val="left"/>
            </w:pPr>
            <w:r>
              <w:t xml:space="preserve">Cognitive mode switching prevents tunnel vision</w:t>
            </w:r>
          </w:p>
        </w:tc>
      </w:tr>
      <w:tr>
        <w:tc>
          <w:tcPr/>
          <w:p>
            <w:pPr>
              <w:pStyle w:val="Compact"/>
              <w:jc w:val="left"/>
            </w:pPr>
            <w:r>
              <w:t xml:space="preserve">6</w:t>
            </w:r>
          </w:p>
        </w:tc>
        <w:tc>
          <w:tcPr/>
          <w:p>
            <w:pPr>
              <w:pStyle w:val="Compact"/>
              <w:jc w:val="left"/>
            </w:pPr>
            <w:r>
              <w:rPr>
                <w:bCs/>
                <w:b/>
              </w:rPr>
              <w:t xml:space="preserve">Agent-first product rule</w:t>
            </w:r>
            <w:r>
              <w:t xml:space="preserve"> </w:t>
            </w:r>
            <w:r>
              <w:t xml:space="preserve">(5-gate shipping checklist)</w:t>
            </w:r>
          </w:p>
        </w:tc>
        <w:tc>
          <w:tcPr/>
          <w:p>
            <w:pPr>
              <w:pStyle w:val="Compact"/>
              <w:jc w:val="left"/>
            </w:pPr>
            <w:r>
              <w:t xml:space="preserve">Developer convenience tools</w:t>
            </w:r>
          </w:p>
        </w:tc>
        <w:tc>
          <w:tcPr/>
          <w:p>
            <w:pPr>
              <w:pStyle w:val="Compact"/>
              <w:jc w:val="left"/>
            </w:pPr>
            <w:r>
              <w:t xml:space="preserve">Skills as product interfaces, not developer tooling</w:t>
            </w:r>
          </w:p>
        </w:tc>
      </w:tr>
    </w:tbl>
    <w:p>
      <w:pPr>
        <w:pStyle w:val="BodyText"/>
      </w:pPr>
      <w:r>
        <w:rPr>
          <w:bCs/>
          <w:b/>
        </w:rPr>
        <w:t xml:space="preserve">Key research finding:</w:t>
      </w:r>
      <w:r>
        <w:t xml:space="preserve"> </w:t>
      </w:r>
      <w:r>
        <w:t xml:space="preserve">The ECC framework optimizes for</w:t>
      </w:r>
      <w:r>
        <w:t xml:space="preserve"> </w:t>
      </w:r>
      <w:r>
        <w:rPr>
          <w:bCs/>
          <w:b/>
        </w:rPr>
        <w:t xml:space="preserve">breadth</w:t>
      </w:r>
      <w:r>
        <w:t xml:space="preserve"> </w:t>
      </w:r>
      <w:r>
        <w:t xml:space="preserve">(136 skills × multiple languages × multiple IDEs), while DWS6 optimizes for</w:t>
      </w:r>
      <w:r>
        <w:t xml:space="preserve"> </w:t>
      </w:r>
      <w:r>
        <w:rPr>
          <w:bCs/>
          <w:b/>
        </w:rPr>
        <w:t xml:space="preserve">depth</w:t>
      </w:r>
      <w:r>
        <w:t xml:space="preserve"> </w:t>
      </w:r>
      <w:r>
        <w:t xml:space="preserve">(21 skills × deep EU regulatory knowledge × structural enforcement). At the token budget level, breadth is counterproductive: loading 136 skills consumes context window capacity that domain-specific agents need for regulatory reasoning. The DWS6 design constraint of &lt;150 words per discipline skill is not a limitation — it is a token budget optimization that enables deeper domain reasoning within the same context window.</w:t>
      </w:r>
    </w:p>
    <w:p>
      <w:pPr>
        <w:pStyle w:val="BodyText"/>
      </w:pPr>
      <w:r>
        <w:t xml:space="preserve">This validates the harness engineering thesis (Section 10.16): the difference between AI experiments and AI products is not the model or the number of skills — it is the engineering discipline applied to how knowledge is structured, enforced, and composed. A 21-skill domain-specific harness outperforms a 136-skill generic harness when the domain requires regulatory precision, because depth of knowledge matters more than breadth of capability.</w:t>
      </w:r>
    </w:p>
    <w:p>
      <w:r>
        <w:pict>
          <v:rect style="width:0;height:1.5pt" o:hralign="center" o:hrstd="t" o:hr="t"/>
        </w:pict>
      </w:r>
    </w:p>
    <w:bookmarkEnd w:id="203"/>
    <w:bookmarkEnd w:id="204"/>
    <w:bookmarkEnd w:id="205"/>
    <w:bookmarkStart w:id="358" w:name="appendices"/>
    <w:p>
      <w:pPr>
        <w:pStyle w:val="Heading1"/>
      </w:pPr>
      <w:r>
        <w:t xml:space="preserve">12. Appendices</w:t>
      </w:r>
    </w:p>
    <w:bookmarkStart w:id="206" w:name="appendix-a-solution-factory-canvas"/>
    <w:p>
      <w:pPr>
        <w:pStyle w:val="Heading2"/>
      </w:pPr>
      <w:r>
        <w:t xml:space="preserve">Appendix A: Solution Factory Canvas</w:t>
      </w:r>
    </w:p>
    <w:p>
      <w:pPr>
        <w:pStyle w:val="SourceCode"/>
      </w:pPr>
      <w:r>
        <w:rPr>
          <w:rStyle w:val="VerbatimChar"/>
        </w:rPr>
        <w:t xml:space="preserve">+-------------------------------------------------------------------------+</w:t>
      </w:r>
      <w:r>
        <w:br/>
      </w:r>
      <w:r>
        <w:rPr>
          <w:rStyle w:val="VerbatimChar"/>
        </w:rPr>
        <w:t xml:space="preserve">|                     FIREHORSE SOLUTION FACTORY CANVAS                    |</w:t>
      </w:r>
      <w:r>
        <w:br/>
      </w:r>
      <w:r>
        <w:rPr>
          <w:rStyle w:val="VerbatimChar"/>
        </w:rPr>
        <w:t xml:space="preserve">+-------------------------------------------------------------------------+</w:t>
      </w:r>
      <w:r>
        <w:br/>
      </w:r>
      <w:r>
        <w:rPr>
          <w:rStyle w:val="VerbatimChar"/>
        </w:rPr>
        <w:t xml:space="preserve">|                                                                          |</w:t>
      </w:r>
      <w:r>
        <w:br/>
      </w:r>
      <w:r>
        <w:rPr>
          <w:rStyle w:val="VerbatimChar"/>
        </w:rPr>
        <w:t xml:space="preserve">|  PROBLEM                          |  SOLUTION                           |</w:t>
      </w:r>
      <w:r>
        <w:br/>
      </w:r>
      <w:r>
        <w:rPr>
          <w:rStyle w:val="VerbatimChar"/>
        </w:rPr>
        <w:t xml:space="preserve">|  * EU compliance deadlines        |  * Phased AI deployment             |</w:t>
      </w:r>
      <w:r>
        <w:br/>
      </w:r>
      <w:r>
        <w:rPr>
          <w:rStyle w:val="VerbatimChar"/>
        </w:rPr>
        <w:t xml:space="preserve">|  * High SaaS costs                |  * AI-assisted development          |</w:t>
      </w:r>
      <w:r>
        <w:br/>
      </w:r>
      <w:r>
        <w:rPr>
          <w:rStyle w:val="VerbatimChar"/>
        </w:rPr>
        <w:t xml:space="preserve">|    (EUR 1,400+)                   |  * Edge AI (&lt;100ms)                 |</w:t>
      </w:r>
      <w:r>
        <w:br/>
      </w:r>
      <w:r>
        <w:rPr>
          <w:rStyle w:val="VerbatimChar"/>
        </w:rPr>
        <w:t xml:space="preserve">|  * Cloud-only latency             |  * EUR 0-350/month pricing          |</w:t>
      </w:r>
      <w:r>
        <w:br/>
      </w:r>
      <w:r>
        <w:rPr>
          <w:rStyle w:val="VerbatimChar"/>
        </w:rPr>
        <w:t xml:space="preserve">|  * No SME-accessible options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KEY METRICS                      |  UNFAIR ADVANTAGE                   |</w:t>
      </w:r>
      <w:r>
        <w:br/>
      </w:r>
      <w:r>
        <w:rPr>
          <w:rStyle w:val="VerbatimChar"/>
        </w:rPr>
        <w:t xml:space="preserve">|  * Payback: &lt;=2 months            |  * Lifetime Scope Signals           |</w:t>
      </w:r>
      <w:r>
        <w:br/>
      </w:r>
      <w:r>
        <w:rPr>
          <w:rStyle w:val="VerbatimChar"/>
        </w:rPr>
        <w:t xml:space="preserve">|  * Cost: 82% cheaper              |  * AgentFoundry templates           |</w:t>
      </w:r>
      <w:r>
        <w:br/>
      </w:r>
      <w:r>
        <w:rPr>
          <w:rStyle w:val="VerbatimChar"/>
        </w:rPr>
        <w:t xml:space="preserve">|  * Velocity: +62%                 |  * EU compliance native             |</w:t>
      </w:r>
      <w:r>
        <w:br/>
      </w:r>
      <w:r>
        <w:rPr>
          <w:rStyle w:val="VerbatimChar"/>
        </w:rPr>
        <w:t xml:space="preserve">|  * Retention: 100%                |  * 8 vertical coverage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CUSTOMER SEGMENTS                |  CHANNELS                           |</w:t>
      </w:r>
      <w:r>
        <w:br/>
      </w:r>
      <w:r>
        <w:rPr>
          <w:rStyle w:val="VerbatimChar"/>
        </w:rPr>
        <w:t xml:space="preserve">|  * Construction SMEs              |  * dws6.com (direct)                |</w:t>
      </w:r>
      <w:r>
        <w:br/>
      </w:r>
      <w:r>
        <w:rPr>
          <w:rStyle w:val="VerbatimChar"/>
        </w:rPr>
        <w:t xml:space="preserve">|  * Logistics companies            |  * Partner network                  |</w:t>
      </w:r>
      <w:r>
        <w:br/>
      </w:r>
      <w:r>
        <w:rPr>
          <w:rStyle w:val="VerbatimChar"/>
        </w:rPr>
        <w:t xml:space="preserve">|  * Manufacturing                  |  * LinkedIn (B2B)                   |</w:t>
      </w:r>
      <w:r>
        <w:br/>
      </w:r>
      <w:r>
        <w:rPr>
          <w:rStyle w:val="VerbatimChar"/>
        </w:rPr>
        <w:t xml:space="preserve">|  * 5 additional verticals         |  * GitHub (developer trust)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COST STRUCTURE                   |  REVENUE STREAMS                    |</w:t>
      </w:r>
      <w:r>
        <w:br/>
      </w:r>
      <w:r>
        <w:rPr>
          <w:rStyle w:val="VerbatimChar"/>
        </w:rPr>
        <w:t xml:space="preserve">|  * EUR 0-350/month infrastructure |  * SaaS subscriptions               |</w:t>
      </w:r>
      <w:r>
        <w:br/>
      </w:r>
      <w:r>
        <w:rPr>
          <w:rStyle w:val="VerbatimChar"/>
        </w:rPr>
        <w:t xml:space="preserve">|  * Cursor Pro + Claude Code Max   |  * Edge hardware margin             |</w:t>
      </w:r>
      <w:r>
        <w:br/>
      </w:r>
      <w:r>
        <w:rPr>
          <w:rStyle w:val="VerbatimChar"/>
        </w:rPr>
        <w:t xml:space="preserve">|  * Single developer (bootstrap)   |  * Professional services            |</w:t>
      </w:r>
      <w:r>
        <w:br/>
      </w:r>
      <w:r>
        <w:rPr>
          <w:rStyle w:val="VerbatimChar"/>
        </w:rPr>
        <w:t xml:space="preserve">|  * No marketing spend (organic)   |  * Solution Factory licensing       |</w:t>
      </w:r>
      <w:r>
        <w:br/>
      </w:r>
      <w:r>
        <w:rPr>
          <w:rStyle w:val="VerbatimChar"/>
        </w:rPr>
        <w:t xml:space="preserve">|                                   |                                     |</w:t>
      </w:r>
      <w:r>
        <w:br/>
      </w:r>
      <w:r>
        <w:rPr>
          <w:rStyle w:val="VerbatimChar"/>
        </w:rPr>
        <w:t xml:space="preserve">+-------------------------------------------------------------------------+</w:t>
      </w:r>
    </w:p>
    <w:bookmarkEnd w:id="206"/>
    <w:bookmarkStart w:id="207" w:name="appendix-b-product-catalog-summary"/>
    <w:p>
      <w:pPr>
        <w:pStyle w:val="Heading2"/>
      </w:pPr>
      <w:r>
        <w:t xml:space="preserve">Appendix B: Product Catalog Summary</w:t>
      </w:r>
    </w:p>
    <w:tbl>
      <w:tblPr>
        <w:tblStyle w:val="Table"/>
        <w:tblW w:type="pct" w:w="5000"/>
        <w:tblLook w:firstRow="1" w:lastRow="0" w:firstColumn="0" w:lastColumn="0" w:noHBand="0" w:noVBand="0" w:val="0020"/>
        <w:jc w:val="start"/>
      </w:tblPr>
      <w:tblGrid>
        <w:gridCol w:w="2329"/>
        <w:gridCol w:w="2911"/>
        <w:gridCol w:w="1747"/>
        <w:gridCol w:w="931"/>
      </w:tblGrid>
      <w:tr>
        <w:trPr>
          <w:tblHeader w:val="true"/>
        </w:trPr>
        <w:tc>
          <w:tcPr/>
          <w:p>
            <w:pPr>
              <w:pStyle w:val="Compact"/>
              <w:jc w:val="left"/>
            </w:pPr>
            <w:r>
              <w:t xml:space="preserve">ID</w:t>
            </w:r>
          </w:p>
        </w:tc>
        <w:tc>
          <w:tcPr/>
          <w:p>
            <w:pPr>
              <w:pStyle w:val="Compact"/>
              <w:jc w:val="left"/>
            </w:pPr>
            <w:r>
              <w:t xml:space="preserve">Product</w:t>
            </w:r>
          </w:p>
        </w:tc>
        <w:tc>
          <w:tcPr/>
          <w:p>
            <w:pPr>
              <w:pStyle w:val="Compact"/>
              <w:jc w:val="left"/>
            </w:pPr>
            <w:r>
              <w:t xml:space="preserve">Price</w:t>
            </w:r>
          </w:p>
        </w:tc>
        <w:tc>
          <w:tcPr/>
          <w:p>
            <w:pPr>
              <w:pStyle w:val="Compact"/>
              <w:jc w:val="left"/>
            </w:pPr>
            <w:r>
              <w:t xml:space="preserve">Type</w:t>
            </w:r>
          </w:p>
        </w:tc>
      </w:tr>
      <w:tr>
        <w:tc>
          <w:tcPr/>
          <w:p>
            <w:pPr>
              <w:pStyle w:val="Compact"/>
              <w:jc w:val="left"/>
            </w:pPr>
            <w:r>
              <w:t xml:space="preserve">DWS-IQ-006</w:t>
            </w:r>
          </w:p>
        </w:tc>
        <w:tc>
          <w:tcPr/>
          <w:p>
            <w:pPr>
              <w:pStyle w:val="Compact"/>
              <w:jc w:val="left"/>
            </w:pPr>
            <w:r>
              <w:t xml:space="preserve">DWS IQ Platform v6</w:t>
            </w:r>
          </w:p>
        </w:tc>
        <w:tc>
          <w:tcPr/>
          <w:p>
            <w:pPr>
              <w:pStyle w:val="Compact"/>
              <w:jc w:val="left"/>
            </w:pPr>
            <w:r>
              <w:t xml:space="preserve">EUR 4,999</w:t>
            </w:r>
          </w:p>
        </w:tc>
        <w:tc>
          <w:tcPr/>
          <w:p>
            <w:pPr>
              <w:pStyle w:val="Compact"/>
              <w:jc w:val="left"/>
            </w:pPr>
            <w:r>
              <w:t xml:space="preserve">Platform</w:t>
            </w:r>
          </w:p>
        </w:tc>
      </w:tr>
      <w:tr>
        <w:tc>
          <w:tcPr/>
          <w:p>
            <w:pPr>
              <w:pStyle w:val="Compact"/>
              <w:jc w:val="left"/>
            </w:pPr>
            <w:r>
              <w:t xml:space="preserve">DWS-IQ-005</w:t>
            </w:r>
          </w:p>
        </w:tc>
        <w:tc>
          <w:tcPr/>
          <w:p>
            <w:pPr>
              <w:pStyle w:val="Compact"/>
              <w:jc w:val="left"/>
            </w:pPr>
            <w:r>
              <w:t xml:space="preserve">DWS IQ Platform v5</w:t>
            </w:r>
          </w:p>
        </w:tc>
        <w:tc>
          <w:tcPr/>
          <w:p>
            <w:pPr>
              <w:pStyle w:val="Compact"/>
              <w:jc w:val="left"/>
            </w:pPr>
            <w:r>
              <w:t xml:space="preserve">EUR 6,995</w:t>
            </w:r>
          </w:p>
        </w:tc>
        <w:tc>
          <w:tcPr/>
          <w:p>
            <w:pPr>
              <w:pStyle w:val="Compact"/>
              <w:jc w:val="left"/>
            </w:pPr>
            <w:r>
              <w:t xml:space="preserve">Platform</w:t>
            </w:r>
          </w:p>
        </w:tc>
      </w:tr>
      <w:tr>
        <w:tc>
          <w:tcPr/>
          <w:p>
            <w:pPr>
              <w:pStyle w:val="Compact"/>
              <w:jc w:val="left"/>
            </w:pPr>
            <w:r>
              <w:t xml:space="preserve">FH-AUTO-001</w:t>
            </w:r>
          </w:p>
        </w:tc>
        <w:tc>
          <w:tcPr/>
          <w:p>
            <w:pPr>
              <w:pStyle w:val="Compact"/>
              <w:jc w:val="left"/>
            </w:pPr>
            <w:r>
              <w:t xml:space="preserve">Firehorse Automation</w:t>
            </w:r>
          </w:p>
        </w:tc>
        <w:tc>
          <w:tcPr/>
          <w:p>
            <w:pPr>
              <w:pStyle w:val="Compact"/>
              <w:jc w:val="left"/>
            </w:pPr>
            <w:r>
              <w:t xml:space="preserve">EUR 4,950</w:t>
            </w:r>
          </w:p>
        </w:tc>
        <w:tc>
          <w:tcPr/>
          <w:p>
            <w:pPr>
              <w:pStyle w:val="Compact"/>
              <w:jc w:val="left"/>
            </w:pPr>
            <w:r>
              <w:t xml:space="preserve">Software</w:t>
            </w:r>
          </w:p>
        </w:tc>
      </w:tr>
      <w:tr>
        <w:tc>
          <w:tcPr/>
          <w:p>
            <w:pPr>
              <w:pStyle w:val="Compact"/>
              <w:jc w:val="left"/>
            </w:pPr>
            <w:r>
              <w:t xml:space="preserve">FH-RPT-001</w:t>
            </w:r>
          </w:p>
        </w:tc>
        <w:tc>
          <w:tcPr/>
          <w:p>
            <w:pPr>
              <w:pStyle w:val="Compact"/>
              <w:jc w:val="left"/>
            </w:pPr>
            <w:r>
              <w:t xml:space="preserve">Firehorse Report</w:t>
            </w:r>
          </w:p>
        </w:tc>
        <w:tc>
          <w:tcPr/>
          <w:p>
            <w:pPr>
              <w:pStyle w:val="Compact"/>
              <w:jc w:val="left"/>
            </w:pPr>
            <w:r>
              <w:t xml:space="preserve">EUR 1,999</w:t>
            </w:r>
          </w:p>
        </w:tc>
        <w:tc>
          <w:tcPr/>
          <w:p>
            <w:pPr>
              <w:pStyle w:val="Compact"/>
              <w:jc w:val="left"/>
            </w:pPr>
            <w:r>
              <w:t xml:space="preserve">Software</w:t>
            </w:r>
          </w:p>
        </w:tc>
      </w:tr>
      <w:tr>
        <w:tc>
          <w:tcPr/>
          <w:p>
            <w:pPr>
              <w:pStyle w:val="Compact"/>
              <w:jc w:val="left"/>
            </w:pPr>
            <w:r>
              <w:t xml:space="preserve">FH-CMS-001</w:t>
            </w:r>
          </w:p>
        </w:tc>
        <w:tc>
          <w:tcPr/>
          <w:p>
            <w:pPr>
              <w:pStyle w:val="Compact"/>
              <w:jc w:val="left"/>
            </w:pPr>
            <w:r>
              <w:t xml:space="preserve">Firehorse CMS</w:t>
            </w:r>
          </w:p>
        </w:tc>
        <w:tc>
          <w:tcPr/>
          <w:p>
            <w:pPr>
              <w:pStyle w:val="Compact"/>
              <w:jc w:val="left"/>
            </w:pPr>
            <w:r>
              <w:t xml:space="preserve">EUR 2,999</w:t>
            </w:r>
          </w:p>
        </w:tc>
        <w:tc>
          <w:tcPr/>
          <w:p>
            <w:pPr>
              <w:pStyle w:val="Compact"/>
              <w:jc w:val="left"/>
            </w:pPr>
            <w:r>
              <w:t xml:space="preserve">Software</w:t>
            </w:r>
          </w:p>
        </w:tc>
      </w:tr>
      <w:tr>
        <w:tc>
          <w:tcPr/>
          <w:p>
            <w:pPr>
              <w:pStyle w:val="Compact"/>
              <w:jc w:val="left"/>
            </w:pPr>
            <w:r>
              <w:t xml:space="preserve">FH-OMNI-001</w:t>
            </w:r>
          </w:p>
        </w:tc>
        <w:tc>
          <w:tcPr/>
          <w:p>
            <w:pPr>
              <w:pStyle w:val="Compact"/>
              <w:jc w:val="left"/>
            </w:pPr>
            <w:r>
              <w:t xml:space="preserve">Firehorse Omnichannel</w:t>
            </w:r>
          </w:p>
        </w:tc>
        <w:tc>
          <w:tcPr/>
          <w:p>
            <w:pPr>
              <w:pStyle w:val="Compact"/>
              <w:jc w:val="left"/>
            </w:pPr>
            <w:r>
              <w:t xml:space="preserve">EUR 499</w:t>
            </w:r>
          </w:p>
        </w:tc>
        <w:tc>
          <w:tcPr/>
          <w:p>
            <w:pPr>
              <w:pStyle w:val="Compact"/>
              <w:jc w:val="left"/>
            </w:pPr>
            <w:r>
              <w:t xml:space="preserve">Software</w:t>
            </w:r>
          </w:p>
        </w:tc>
      </w:tr>
      <w:tr>
        <w:tc>
          <w:tcPr/>
          <w:p>
            <w:pPr>
              <w:pStyle w:val="Compact"/>
              <w:jc w:val="left"/>
            </w:pPr>
            <w:r>
              <w:t xml:space="preserve">LIFETIME-BUNDLE-2026</w:t>
            </w:r>
          </w:p>
        </w:tc>
        <w:tc>
          <w:tcPr/>
          <w:p>
            <w:pPr>
              <w:pStyle w:val="Compact"/>
              <w:jc w:val="left"/>
            </w:pPr>
            <w:r>
              <w:t xml:space="preserve">Climate Bundle</w:t>
            </w:r>
          </w:p>
        </w:tc>
        <w:tc>
          <w:tcPr/>
          <w:p>
            <w:pPr>
              <w:pStyle w:val="Compact"/>
              <w:jc w:val="left"/>
            </w:pPr>
            <w:r>
              <w:t xml:space="preserve">EUR 6,500</w:t>
            </w:r>
          </w:p>
        </w:tc>
        <w:tc>
          <w:tcPr/>
          <w:p>
            <w:pPr>
              <w:pStyle w:val="Compact"/>
              <w:jc w:val="left"/>
            </w:pPr>
            <w:r>
              <w:t xml:space="preserve">Bundle</w:t>
            </w:r>
          </w:p>
        </w:tc>
      </w:tr>
      <w:tr>
        <w:tc>
          <w:tcPr/>
          <w:p>
            <w:pPr>
              <w:pStyle w:val="Compact"/>
              <w:jc w:val="left"/>
            </w:pPr>
            <w:r>
              <w:t xml:space="preserve">consulting-hourly</w:t>
            </w:r>
          </w:p>
        </w:tc>
        <w:tc>
          <w:tcPr/>
          <w:p>
            <w:pPr>
              <w:pStyle w:val="Compact"/>
              <w:jc w:val="left"/>
            </w:pPr>
            <w:r>
              <w:t xml:space="preserve">Consulting hourly rate</w:t>
            </w:r>
          </w:p>
        </w:tc>
        <w:tc>
          <w:tcPr/>
          <w:p>
            <w:pPr>
              <w:pStyle w:val="Compact"/>
              <w:jc w:val="left"/>
            </w:pPr>
            <w:r>
              <w:t xml:space="preserve">EUR 98/h</w:t>
            </w:r>
          </w:p>
        </w:tc>
        <w:tc>
          <w:tcPr/>
          <w:p>
            <w:pPr>
              <w:pStyle w:val="Compact"/>
              <w:jc w:val="left"/>
            </w:pPr>
            <w:r>
              <w:t xml:space="preserve">Service</w:t>
            </w:r>
          </w:p>
        </w:tc>
      </w:tr>
      <w:tr>
        <w:tc>
          <w:tcPr/>
          <w:p>
            <w:pPr>
              <w:pStyle w:val="Compact"/>
              <w:jc w:val="left"/>
            </w:pPr>
            <w:r>
              <w:t xml:space="preserve">consulting-fit55</w:t>
            </w:r>
          </w:p>
        </w:tc>
        <w:tc>
          <w:tcPr/>
          <w:p>
            <w:pPr>
              <w:pStyle w:val="Compact"/>
              <w:jc w:val="left"/>
            </w:pPr>
            <w:r>
              <w:t xml:space="preserve">Fit55 expert advisory</w:t>
            </w:r>
          </w:p>
        </w:tc>
        <w:tc>
          <w:tcPr/>
          <w:p>
            <w:pPr>
              <w:pStyle w:val="Compact"/>
              <w:jc w:val="left"/>
            </w:pPr>
            <w:r>
              <w:t xml:space="preserve">EUR 3,000/month</w:t>
            </w:r>
          </w:p>
        </w:tc>
        <w:tc>
          <w:tcPr/>
          <w:p>
            <w:pPr>
              <w:pStyle w:val="Compact"/>
              <w:jc w:val="left"/>
            </w:pPr>
            <w:r>
              <w:t xml:space="preserve">Service</w:t>
            </w:r>
          </w:p>
        </w:tc>
      </w:tr>
      <w:tr>
        <w:tc>
          <w:tcPr/>
          <w:p>
            <w:pPr>
              <w:pStyle w:val="Compact"/>
              <w:jc w:val="left"/>
            </w:pPr>
            <w:r>
              <w:t xml:space="preserve">secure-email-proton</w:t>
            </w:r>
          </w:p>
        </w:tc>
        <w:tc>
          <w:tcPr/>
          <w:p>
            <w:pPr>
              <w:pStyle w:val="Compact"/>
              <w:jc w:val="left"/>
            </w:pPr>
            <w:r>
              <w:t xml:space="preserve">Protonmail implementation</w:t>
            </w:r>
          </w:p>
        </w:tc>
        <w:tc>
          <w:tcPr/>
          <w:p>
            <w:pPr>
              <w:pStyle w:val="Compact"/>
              <w:jc w:val="left"/>
            </w:pPr>
            <w:r>
              <w:t xml:space="preserve">EUR 499</w:t>
            </w:r>
          </w:p>
        </w:tc>
        <w:tc>
          <w:tcPr/>
          <w:p>
            <w:pPr>
              <w:pStyle w:val="Compact"/>
              <w:jc w:val="left"/>
            </w:pPr>
            <w:r>
              <w:t xml:space="preserve">Service</w:t>
            </w:r>
          </w:p>
        </w:tc>
      </w:tr>
      <w:tr>
        <w:tc>
          <w:tcPr/>
          <w:p>
            <w:pPr>
              <w:pStyle w:val="Compact"/>
              <w:jc w:val="left"/>
            </w:pPr>
            <w:r>
              <w:t xml:space="preserve">ai-koulutus-3d</w:t>
            </w:r>
          </w:p>
        </w:tc>
        <w:tc>
          <w:tcPr/>
          <w:p>
            <w:pPr>
              <w:pStyle w:val="Compact"/>
              <w:jc w:val="left"/>
            </w:pPr>
            <w:r>
              <w:t xml:space="preserve">AI Training 3 days</w:t>
            </w:r>
          </w:p>
        </w:tc>
        <w:tc>
          <w:tcPr/>
          <w:p>
            <w:pPr>
              <w:pStyle w:val="Compact"/>
              <w:jc w:val="left"/>
            </w:pPr>
            <w:r>
              <w:t xml:space="preserve">EUR 6,250</w:t>
            </w:r>
          </w:p>
        </w:tc>
        <w:tc>
          <w:tcPr/>
          <w:p>
            <w:pPr>
              <w:pStyle w:val="Compact"/>
              <w:jc w:val="left"/>
            </w:pPr>
            <w:r>
              <w:t xml:space="preserve">Training</w:t>
            </w:r>
          </w:p>
        </w:tc>
      </w:tr>
    </w:tbl>
    <w:bookmarkEnd w:id="207"/>
    <w:bookmarkStart w:id="208" w:name="X7002632e99d82ed2e4d65b16818534ba5d08a94"/>
    <w:p>
      <w:pPr>
        <w:pStyle w:val="Heading2"/>
      </w:pPr>
      <w:r>
        <w:t xml:space="preserve">Appendix C: Lifetime Scope Signals Protocol Schema</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"Lifetime Scope Signals v1.0"</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"launch_date"</w:t>
      </w:r>
      <w:r>
        <w:rPr>
          <w:rStyle w:val="FunctionTok"/>
        </w:rPr>
        <w:t xml:space="preserve">:</w:t>
      </w:r>
      <w:r>
        <w:rPr>
          <w:rStyle w:val="NormalTok"/>
        </w:rPr>
        <w:t xml:space="preserve"> </w:t>
      </w:r>
      <w:r>
        <w:rPr>
          <w:rStyle w:val="StringTok"/>
        </w:rPr>
        <w:t xml:space="preserve">"2026-02-23"</w:t>
      </w:r>
      <w:r>
        <w:rPr>
          <w:rStyle w:val="FunctionTok"/>
        </w:rPr>
        <w:t xml:space="preserve">,</w:t>
      </w:r>
      <w:r>
        <w:br/>
      </w:r>
      <w:r>
        <w:rPr>
          <w:rStyle w:val="NormalTok"/>
        </w:rPr>
        <w:t xml:space="preserve">  </w:t>
      </w:r>
      <w:r>
        <w:rPr>
          <w:rStyle w:val="DataTypeTok"/>
        </w:rPr>
        <w:t xml:space="preserve">"signal_format"</w:t>
      </w:r>
      <w:r>
        <w:rPr>
          <w:rStyle w:val="FunctionTok"/>
        </w:rPr>
        <w:t xml:space="preserve">:</w:t>
      </w:r>
      <w:r>
        <w:rPr>
          <w:rStyle w:val="NormalTok"/>
        </w:rPr>
        <w:t xml:space="preserve"> </w:t>
      </w:r>
      <w:r>
        <w:rPr>
          <w:rStyle w:val="StringTok"/>
        </w:rPr>
        <w:t xml:space="preserve">"[AGENT-XX]:SIGNAL_TYPE:MILESTONE:TIMESTAMP"</w:t>
      </w:r>
      <w:r>
        <w:rPr>
          <w:rStyle w:val="FunctionTok"/>
        </w:rPr>
        <w:t xml:space="preserve">,</w:t>
      </w:r>
      <w:r>
        <w:br/>
      </w:r>
      <w:r>
        <w:rPr>
          <w:rStyle w:val="NormalTok"/>
        </w:rPr>
        <w:t xml:space="preserve">  </w:t>
      </w:r>
      <w:r>
        <w:rPr>
          <w:rStyle w:val="DataTypeTok"/>
        </w:rPr>
        <w:t xml:space="preserve">"signal_types"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"READY"</w:t>
      </w:r>
      <w:r>
        <w:rPr>
          <w:rStyle w:val="FunctionTok"/>
        </w:rPr>
        <w:t xml:space="preserve">:</w:t>
      </w:r>
      <w:r>
        <w:rPr>
          <w:rStyle w:val="NormalTok"/>
        </w:rPr>
        <w:t xml:space="preserve"> </w:t>
      </w:r>
      <w:r>
        <w:rPr>
          <w:rStyle w:val="StringTok"/>
        </w:rPr>
        <w:t xml:space="preserve">"Milestone achieved, unblocks downstream agents"</w:t>
      </w:r>
      <w:r>
        <w:rPr>
          <w:rStyle w:val="FunctionTok"/>
        </w:rPr>
        <w:t xml:space="preserve">,</w:t>
      </w:r>
      <w:r>
        <w:br/>
      </w:r>
      <w:r>
        <w:rPr>
          <w:rStyle w:val="NormalTok"/>
        </w:rPr>
        <w:t xml:space="preserve">    </w:t>
      </w:r>
      <w:r>
        <w:rPr>
          <w:rStyle w:val="DataTypeTok"/>
        </w:rPr>
        <w:t xml:space="preserve">"COMPLETE"</w:t>
      </w:r>
      <w:r>
        <w:rPr>
          <w:rStyle w:val="FunctionTok"/>
        </w:rPr>
        <w:t xml:space="preserve">:</w:t>
      </w:r>
      <w:r>
        <w:rPr>
          <w:rStyle w:val="NormalTok"/>
        </w:rPr>
        <w:t xml:space="preserve"> </w:t>
      </w:r>
      <w:r>
        <w:rPr>
          <w:rStyle w:val="StringTok"/>
        </w:rPr>
        <w:t xml:space="preserve">"All agent work finished"</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"Agent encountered an error"</w:t>
      </w:r>
      <w:r>
        <w:rPr>
          <w:rStyle w:val="FunctionTok"/>
        </w:rPr>
        <w:t xml:space="preserve">,</w:t>
      </w:r>
      <w:r>
        <w:br/>
      </w:r>
      <w:r>
        <w:rPr>
          <w:rStyle w:val="NormalTok"/>
        </w:rPr>
        <w:t xml:space="preserve">    </w:t>
      </w:r>
      <w:r>
        <w:rPr>
          <w:rStyle w:val="DataTypeTok"/>
        </w:rPr>
        <w:t xml:space="preserve">"BLOCKED"</w:t>
      </w:r>
      <w:r>
        <w:rPr>
          <w:rStyle w:val="FunctionTok"/>
        </w:rPr>
        <w:t xml:space="preserve">:</w:t>
      </w:r>
      <w:r>
        <w:rPr>
          <w:rStyle w:val="NormalTok"/>
        </w:rPr>
        <w:t xml:space="preserve"> </w:t>
      </w:r>
      <w:r>
        <w:rPr>
          <w:rStyle w:val="StringTok"/>
        </w:rPr>
        <w:t xml:space="preserve">"Waiting for external dependency"</w:t>
      </w:r>
      <w:r>
        <w:br/>
      </w:r>
      <w:r>
        <w:rPr>
          <w:rStyle w:val="NormalTok"/>
        </w:rPr>
        <w:t xml:space="preserve">  </w:t>
      </w:r>
      <w:r>
        <w:rPr>
          <w:rStyle w:val="FunctionTok"/>
        </w:rPr>
        <w:t xml:space="preserve">}</w:t>
      </w:r>
      <w:r>
        <w:br/>
      </w:r>
      <w:r>
        <w:rPr>
          <w:rStyle w:val="FunctionTok"/>
        </w:rPr>
        <w:t xml:space="preserve">}</w:t>
      </w:r>
    </w:p>
    <w:bookmarkEnd w:id="208"/>
    <w:bookmarkStart w:id="213" w:name="Xcb9df346946d60fb9ff26730b3c0e0b0e4140cc"/>
    <w:p>
      <w:pPr>
        <w:pStyle w:val="Heading2"/>
      </w:pPr>
      <w:r>
        <w:t xml:space="preserve">Appendix D: AI Agent Behavioral Guidelines (Karpathy Principles)</w:t>
      </w:r>
    </w:p>
    <w:bookmarkStart w:id="209" w:name="d.1-background"/>
    <w:p>
      <w:pPr>
        <w:pStyle w:val="Heading3"/>
      </w:pPr>
      <w:r>
        <w:t xml:space="preserve">D.1 Background</w:t>
      </w:r>
    </w:p>
    <w:p>
      <w:pPr>
        <w:pStyle w:val="FirstParagraph"/>
      </w:pPr>
      <w:r>
        <w:t xml:space="preserve">The DWS6 project adopted AI coding agent behavioral guidelines based on</w:t>
      </w:r>
      <w:r>
        <w:t xml:space="preserve"> </w:t>
      </w:r>
      <w:r>
        <w:rPr>
          <w:bCs/>
          <w:b/>
        </w:rPr>
        <w:t xml:space="preserve">Andrej Karpathy’s viral AI coding guidelines</w:t>
      </w:r>
      <w:r>
        <w:t xml:space="preserve">. These guidelines are documented in the repository’s</w:t>
      </w:r>
      <w:r>
        <w:t xml:space="preserve"> </w:t>
      </w:r>
      <w:r>
        <w:rPr>
          <w:rStyle w:val="VerbatimChar"/>
        </w:rPr>
        <w:t xml:space="preserve">CLAUDE.md</w:t>
      </w:r>
      <w:r>
        <w:t xml:space="preserve"> </w:t>
      </w:r>
      <w:r>
        <w:t xml:space="preserve">file and ensure consistent, high-quality AI-human collaboration in agent-based coding workflows.</w:t>
      </w:r>
    </w:p>
    <w:bookmarkEnd w:id="209"/>
    <w:bookmarkStart w:id="210" w:name="d.2-core-philosophy"/>
    <w:p>
      <w:pPr>
        <w:pStyle w:val="Heading3"/>
      </w:pPr>
      <w:r>
        <w:t xml:space="preserve">D.2 Core Philosophy</w:t>
      </w:r>
    </w:p>
    <w:p>
      <w:pPr>
        <w:pStyle w:val="SourceCode"/>
      </w:pPr>
      <w:r>
        <w:rPr>
          <w:rStyle w:val="VerbatimChar"/>
        </w:rPr>
        <w:t xml:space="preserve">"You are the hands; the human is the architect.</w:t>
      </w:r>
      <w:r>
        <w:br/>
      </w:r>
      <w:r>
        <w:rPr>
          <w:rStyle w:val="VerbatimChar"/>
        </w:rPr>
        <w:t xml:space="preserve">Move fast, but never faster than the human can verify.</w:t>
      </w:r>
      <w:r>
        <w:br/>
      </w:r>
      <w:r>
        <w:rPr>
          <w:rStyle w:val="VerbatimChar"/>
        </w:rPr>
        <w:t xml:space="preserve">Your code will be watched -- write accordingly."</w:t>
      </w:r>
    </w:p>
    <w:bookmarkEnd w:id="210"/>
    <w:bookmarkStart w:id="211" w:name="d.3-critical-behavioral-patterns"/>
    <w:p>
      <w:pPr>
        <w:pStyle w:val="Heading3"/>
      </w:pPr>
      <w:r>
        <w:t xml:space="preserve">D.3 Critical Behavioral Patterns</w:t>
      </w:r>
    </w:p>
    <w:tbl>
      <w:tblPr>
        <w:tblStyle w:val="Table"/>
        <w:tblW w:type="pct" w:w="5000"/>
        <w:tblLook w:firstRow="1" w:lastRow="0" w:firstColumn="0" w:lastColumn="0" w:noHBand="0" w:noVBand="0" w:val="0020"/>
        <w:jc w:val="start"/>
      </w:tblPr>
      <w:tblGrid>
        <w:gridCol w:w="198"/>
        <w:gridCol w:w="1848"/>
        <w:gridCol w:w="3300"/>
        <w:gridCol w:w="2574"/>
      </w:tblGrid>
      <w:tr>
        <w:trPr>
          <w:tblHeader w:val="true"/>
        </w:trPr>
        <w:tc>
          <w:tcPr/>
          <w:p>
            <w:pPr>
              <w:pStyle w:val="Compact"/>
              <w:jc w:val="left"/>
            </w:pPr>
            <w:r>
              <w:t xml:space="preserve">#</w:t>
            </w:r>
          </w:p>
        </w:tc>
        <w:tc>
          <w:tcPr/>
          <w:p>
            <w:pPr>
              <w:pStyle w:val="Compact"/>
              <w:jc w:val="left"/>
            </w:pPr>
            <w:r>
              <w:t xml:space="preserve">Behavior</w:t>
            </w:r>
          </w:p>
        </w:tc>
        <w:tc>
          <w:tcPr/>
          <w:p>
            <w:pPr>
              <w:pStyle w:val="Compact"/>
              <w:jc w:val="left"/>
            </w:pPr>
            <w:r>
              <w:t xml:space="preserve">Description</w:t>
            </w:r>
          </w:p>
        </w:tc>
        <w:tc>
          <w:tcPr/>
          <w:p>
            <w:pPr>
              <w:pStyle w:val="Compact"/>
              <w:jc w:val="left"/>
            </w:pPr>
            <w:r>
              <w:t xml:space="preserve">EU AI Act Alignment</w:t>
            </w:r>
          </w:p>
        </w:tc>
      </w:tr>
      <w:tr>
        <w:tc>
          <w:tcPr/>
          <w:p>
            <w:pPr>
              <w:pStyle w:val="Compact"/>
              <w:jc w:val="left"/>
            </w:pPr>
            <w:r>
              <w:t xml:space="preserve">1</w:t>
            </w:r>
          </w:p>
        </w:tc>
        <w:tc>
          <w:tcPr/>
          <w:p>
            <w:pPr>
              <w:pStyle w:val="Compact"/>
              <w:jc w:val="left"/>
            </w:pPr>
            <w:r>
              <w:rPr>
                <w:bCs/>
                <w:b/>
              </w:rPr>
              <w:t xml:space="preserve">Assumption surfacing</w:t>
            </w:r>
          </w:p>
        </w:tc>
        <w:tc>
          <w:tcPr/>
          <w:p>
            <w:pPr>
              <w:pStyle w:val="Compact"/>
              <w:jc w:val="left"/>
            </w:pPr>
            <w:r>
              <w:t xml:space="preserve">State assumptions explicitly before implementation</w:t>
            </w:r>
          </w:p>
        </w:tc>
        <w:tc>
          <w:tcPr/>
          <w:p>
            <w:pPr>
              <w:pStyle w:val="Compact"/>
              <w:jc w:val="left"/>
            </w:pPr>
            <w:r>
              <w:t xml:space="preserve">Supports reasoning lineage (Article 12)</w:t>
            </w:r>
          </w:p>
        </w:tc>
      </w:tr>
      <w:tr>
        <w:tc>
          <w:tcPr/>
          <w:p>
            <w:pPr>
              <w:pStyle w:val="Compact"/>
              <w:jc w:val="left"/>
            </w:pPr>
            <w:r>
              <w:t xml:space="preserve">2</w:t>
            </w:r>
          </w:p>
        </w:tc>
        <w:tc>
          <w:tcPr/>
          <w:p>
            <w:pPr>
              <w:pStyle w:val="Compact"/>
              <w:jc w:val="left"/>
            </w:pPr>
            <w:r>
              <w:rPr>
                <w:bCs/>
                <w:b/>
              </w:rPr>
              <w:t xml:space="preserve">Confusion management</w:t>
            </w:r>
          </w:p>
        </w:tc>
        <w:tc>
          <w:tcPr/>
          <w:p>
            <w:pPr>
              <w:pStyle w:val="Compact"/>
              <w:jc w:val="left"/>
            </w:pPr>
            <w:r>
              <w:t xml:space="preserve">STOP when confused; ask clarifying questions</w:t>
            </w:r>
          </w:p>
        </w:tc>
        <w:tc>
          <w:tcPr/>
          <w:p>
            <w:pPr>
              <w:pStyle w:val="Compact"/>
              <w:jc w:val="left"/>
            </w:pPr>
            <w:r>
              <w:t xml:space="preserve">Prevents autonomous errors</w:t>
            </w:r>
          </w:p>
        </w:tc>
      </w:tr>
      <w:tr>
        <w:tc>
          <w:tcPr/>
          <w:p>
            <w:pPr>
              <w:pStyle w:val="Compact"/>
              <w:jc w:val="left"/>
            </w:pPr>
            <w:r>
              <w:t xml:space="preserve">3</w:t>
            </w:r>
          </w:p>
        </w:tc>
        <w:tc>
          <w:tcPr/>
          <w:p>
            <w:pPr>
              <w:pStyle w:val="Compact"/>
              <w:jc w:val="left"/>
            </w:pPr>
            <w:r>
              <w:rPr>
                <w:bCs/>
                <w:b/>
              </w:rPr>
              <w:t xml:space="preserve">Push back when warranted</w:t>
            </w:r>
          </w:p>
        </w:tc>
        <w:tc>
          <w:tcPr/>
          <w:p>
            <w:pPr>
              <w:pStyle w:val="Compact"/>
              <w:jc w:val="left"/>
            </w:pPr>
            <w:r>
              <w:t xml:space="preserve">Point out issues directly</w:t>
            </w:r>
          </w:p>
        </w:tc>
        <w:tc>
          <w:tcPr/>
          <w:p>
            <w:pPr>
              <w:pStyle w:val="Compact"/>
              <w:jc w:val="left"/>
            </w:pPr>
            <w:r>
              <w:t xml:space="preserve">Ensures human oversight</w:t>
            </w:r>
          </w:p>
        </w:tc>
      </w:tr>
      <w:tr>
        <w:tc>
          <w:tcPr/>
          <w:p>
            <w:pPr>
              <w:pStyle w:val="Compact"/>
              <w:jc w:val="left"/>
            </w:pPr>
            <w:r>
              <w:t xml:space="preserve">4</w:t>
            </w:r>
          </w:p>
        </w:tc>
        <w:tc>
          <w:tcPr/>
          <w:p>
            <w:pPr>
              <w:pStyle w:val="Compact"/>
              <w:jc w:val="left"/>
            </w:pPr>
            <w:r>
              <w:rPr>
                <w:bCs/>
                <w:b/>
              </w:rPr>
              <w:t xml:space="preserve">Simplicity enforcement</w:t>
            </w:r>
          </w:p>
        </w:tc>
        <w:tc>
          <w:tcPr/>
          <w:p>
            <w:pPr>
              <w:pStyle w:val="Compact"/>
              <w:jc w:val="left"/>
            </w:pPr>
            <w:r>
              <w:t xml:space="preserve">Actively resist overcomplication</w:t>
            </w:r>
          </w:p>
        </w:tc>
        <w:tc>
          <w:tcPr/>
          <w:p>
            <w:pPr>
              <w:pStyle w:val="Compact"/>
              <w:jc w:val="left"/>
            </w:pPr>
            <w:r>
              <w:t xml:space="preserve">Maintainability</w:t>
            </w:r>
          </w:p>
        </w:tc>
      </w:tr>
      <w:tr>
        <w:tc>
          <w:tcPr/>
          <w:p>
            <w:pPr>
              <w:pStyle w:val="Compact"/>
              <w:jc w:val="left"/>
            </w:pPr>
            <w:r>
              <w:t xml:space="preserve">5</w:t>
            </w:r>
          </w:p>
        </w:tc>
        <w:tc>
          <w:tcPr/>
          <w:p>
            <w:pPr>
              <w:pStyle w:val="Compact"/>
              <w:jc w:val="left"/>
            </w:pPr>
            <w:r>
              <w:rPr>
                <w:bCs/>
                <w:b/>
              </w:rPr>
              <w:t xml:space="preserve">Scope discipline</w:t>
            </w:r>
          </w:p>
        </w:tc>
        <w:tc>
          <w:tcPr/>
          <w:p>
            <w:pPr>
              <w:pStyle w:val="Compact"/>
              <w:jc w:val="left"/>
            </w:pPr>
            <w:r>
              <w:t xml:space="preserve">Touch only what is asked</w:t>
            </w:r>
          </w:p>
        </w:tc>
        <w:tc>
          <w:tcPr/>
          <w:p>
            <w:pPr>
              <w:pStyle w:val="Compact"/>
              <w:jc w:val="left"/>
            </w:pPr>
            <w:r>
              <w:t xml:space="preserve">Audit trail clarity</w:t>
            </w:r>
          </w:p>
        </w:tc>
      </w:tr>
      <w:tr>
        <w:tc>
          <w:tcPr/>
          <w:p>
            <w:pPr>
              <w:pStyle w:val="Compact"/>
              <w:jc w:val="left"/>
            </w:pPr>
            <w:r>
              <w:t xml:space="preserve">6</w:t>
            </w:r>
          </w:p>
        </w:tc>
        <w:tc>
          <w:tcPr/>
          <w:p>
            <w:pPr>
              <w:pStyle w:val="Compact"/>
              <w:jc w:val="left"/>
            </w:pPr>
            <w:r>
              <w:rPr>
                <w:bCs/>
                <w:b/>
              </w:rPr>
              <w:t xml:space="preserve">Dead code hygiene</w:t>
            </w:r>
          </w:p>
        </w:tc>
        <w:tc>
          <w:tcPr/>
          <w:p>
            <w:pPr>
              <w:pStyle w:val="Compact"/>
              <w:jc w:val="left"/>
            </w:pPr>
            <w:r>
              <w:t xml:space="preserve">Ask before removing unused code</w:t>
            </w:r>
          </w:p>
        </w:tc>
        <w:tc>
          <w:tcPr/>
          <w:p>
            <w:pPr>
              <w:pStyle w:val="Compact"/>
              <w:jc w:val="left"/>
            </w:pPr>
            <w:r>
              <w:t xml:space="preserve">Change documentation</w:t>
            </w:r>
          </w:p>
        </w:tc>
      </w:tr>
    </w:tbl>
    <w:bookmarkEnd w:id="211"/>
    <w:bookmarkStart w:id="212" w:name="d.4-implementation-outcomes"/>
    <w:p>
      <w:pPr>
        <w:pStyle w:val="Heading3"/>
      </w:pPr>
      <w:r>
        <w:t xml:space="preserve">D.4 Implementation Outcomes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Code review rejections</w:t>
            </w:r>
          </w:p>
        </w:tc>
        <w:tc>
          <w:tcPr/>
          <w:p>
            <w:pPr>
              <w:pStyle w:val="Compact"/>
              <w:jc w:val="left"/>
            </w:pPr>
            <w:r>
              <w:t xml:space="preserve">15%</w:t>
            </w:r>
          </w:p>
        </w:tc>
        <w:tc>
          <w:tcPr/>
          <w:p>
            <w:pPr>
              <w:pStyle w:val="Compact"/>
              <w:jc w:val="left"/>
            </w:pPr>
            <w:r>
              <w:t xml:space="preserve">3%</w:t>
            </w:r>
          </w:p>
        </w:tc>
        <w:tc>
          <w:tcPr/>
          <w:p>
            <w:pPr>
              <w:pStyle w:val="Compact"/>
              <w:jc w:val="left"/>
            </w:pPr>
            <w:r>
              <w:t xml:space="preserve">80% reduction</w:t>
            </w:r>
          </w:p>
        </w:tc>
      </w:tr>
      <w:tr>
        <w:tc>
          <w:tcPr/>
          <w:p>
            <w:pPr>
              <w:pStyle w:val="Compact"/>
              <w:jc w:val="left"/>
            </w:pPr>
            <w:r>
              <w:t xml:space="preserve">Unclear change rationale</w:t>
            </w:r>
          </w:p>
        </w:tc>
        <w:tc>
          <w:tcPr/>
          <w:p>
            <w:pPr>
              <w:pStyle w:val="Compact"/>
              <w:jc w:val="left"/>
            </w:pPr>
            <w:r>
              <w:t xml:space="preserve">25%</w:t>
            </w:r>
          </w:p>
        </w:tc>
        <w:tc>
          <w:tcPr/>
          <w:p>
            <w:pPr>
              <w:pStyle w:val="Compact"/>
              <w:jc w:val="left"/>
            </w:pPr>
            <w:r>
              <w:t xml:space="preserve">5%</w:t>
            </w:r>
          </w:p>
        </w:tc>
        <w:tc>
          <w:tcPr/>
          <w:p>
            <w:pPr>
              <w:pStyle w:val="Compact"/>
              <w:jc w:val="left"/>
            </w:pPr>
            <w:r>
              <w:t xml:space="preserve">80% reduction</w:t>
            </w:r>
          </w:p>
        </w:tc>
      </w:tr>
      <w:tr>
        <w:tc>
          <w:tcPr/>
          <w:p>
            <w:pPr>
              <w:pStyle w:val="Compact"/>
              <w:jc w:val="left"/>
            </w:pPr>
            <w:r>
              <w:t xml:space="preserve">Unauthorized scope changes</w:t>
            </w:r>
          </w:p>
        </w:tc>
        <w:tc>
          <w:tcPr/>
          <w:p>
            <w:pPr>
              <w:pStyle w:val="Compact"/>
              <w:jc w:val="left"/>
            </w:pPr>
            <w:r>
              <w:t xml:space="preserve">10%</w:t>
            </w:r>
          </w:p>
        </w:tc>
        <w:tc>
          <w:tcPr/>
          <w:p>
            <w:pPr>
              <w:pStyle w:val="Compact"/>
              <w:jc w:val="left"/>
            </w:pPr>
            <w:r>
              <w:t xml:space="preserve">&lt;1%</w:t>
            </w:r>
          </w:p>
        </w:tc>
        <w:tc>
          <w:tcPr/>
          <w:p>
            <w:pPr>
              <w:pStyle w:val="Compact"/>
              <w:jc w:val="left"/>
            </w:pPr>
            <w:r>
              <w:t xml:space="preserve">90% reduction</w:t>
            </w:r>
          </w:p>
        </w:tc>
      </w:tr>
      <w:tr>
        <w:tc>
          <w:tcPr/>
          <w:p>
            <w:pPr>
              <w:pStyle w:val="Compact"/>
              <w:jc w:val="left"/>
            </w:pPr>
            <w:r>
              <w:t xml:space="preserve">Documentation coverage</w:t>
            </w:r>
          </w:p>
        </w:tc>
        <w:tc>
          <w:tcPr/>
          <w:p>
            <w:pPr>
              <w:pStyle w:val="Compact"/>
              <w:jc w:val="left"/>
            </w:pPr>
            <w:r>
              <w:t xml:space="preserve">60%</w:t>
            </w:r>
          </w:p>
        </w:tc>
        <w:tc>
          <w:tcPr/>
          <w:p>
            <w:pPr>
              <w:pStyle w:val="Compact"/>
              <w:jc w:val="left"/>
            </w:pPr>
            <w:r>
              <w:t xml:space="preserve">95%</w:t>
            </w:r>
          </w:p>
        </w:tc>
        <w:tc>
          <w:tcPr/>
          <w:p>
            <w:pPr>
              <w:pStyle w:val="Compact"/>
              <w:jc w:val="left"/>
            </w:pPr>
            <w:r>
              <w:t xml:space="preserve">58% improvement</w:t>
            </w:r>
          </w:p>
        </w:tc>
      </w:tr>
    </w:tbl>
    <w:bookmarkEnd w:id="212"/>
    <w:bookmarkEnd w:id="213"/>
    <w:bookmarkStart w:id="215" w:name="X426344c2f10a3420b0bf0c81e39f821e695a313"/>
    <w:p>
      <w:pPr>
        <w:pStyle w:val="Heading2"/>
      </w:pPr>
      <w:r>
        <w:t xml:space="preserve">Appendix E: AI Model Training Infrastructure</w:t>
      </w:r>
    </w:p>
    <w:bookmarkStart w:id="214" w:name="X201736bd7a6d39b9c43700f25e58f856f339699"/>
    <w:p>
      <w:pPr>
        <w:pStyle w:val="Heading3"/>
      </w:pPr>
      <w:r>
        <w:t xml:space="preserve">Lifetime World Model (LWM) Training Pipeline</w:t>
      </w:r>
    </w:p>
    <w:p>
      <w:pPr>
        <w:pStyle w:val="FirstParagraph"/>
      </w:pPr>
      <w:r>
        <w:rPr>
          <w:bCs/>
          <w:b/>
        </w:rPr>
        <w:t xml:space="preserve">Hardware:</w:t>
      </w:r>
    </w:p>
    <w:p>
      <w:pPr>
        <w:numPr>
          <w:ilvl w:val="0"/>
          <w:numId w:val="1072"/>
        </w:numPr>
        <w:pStyle w:val="Compact"/>
      </w:pPr>
      <w:r>
        <w:rPr>
          <w:bCs/>
          <w:b/>
        </w:rPr>
        <w:t xml:space="preserve">Primary:</w:t>
      </w:r>
      <w:r>
        <w:t xml:space="preserve"> </w:t>
      </w:r>
      <w:r>
        <w:t xml:space="preserve">Acer Veriton GN-100 (dedicated, on-premises)</w:t>
      </w:r>
    </w:p>
    <w:p>
      <w:pPr>
        <w:numPr>
          <w:ilvl w:val="0"/>
          <w:numId w:val="1072"/>
        </w:numPr>
        <w:pStyle w:val="Compact"/>
      </w:pPr>
      <w:r>
        <w:rPr>
          <w:bCs/>
          <w:b/>
        </w:rPr>
        <w:t xml:space="preserve">Accelerator:</w:t>
      </w:r>
      <w:r>
        <w:t xml:space="preserve"> </w:t>
      </w:r>
      <w:r>
        <w:t xml:space="preserve">NVIDIA GB10 Grace Blackwell Superchip</w:t>
      </w:r>
    </w:p>
    <w:p>
      <w:pPr>
        <w:numPr>
          <w:ilvl w:val="0"/>
          <w:numId w:val="1072"/>
        </w:numPr>
        <w:pStyle w:val="Compact"/>
      </w:pPr>
      <w:r>
        <w:rPr>
          <w:bCs/>
          <w:b/>
        </w:rPr>
        <w:t xml:space="preserve">Compute:</w:t>
      </w:r>
      <w:r>
        <w:t xml:space="preserve"> </w:t>
      </w:r>
      <w:r>
        <w:t xml:space="preserve">1 PetaFLOP local inference</w:t>
      </w:r>
    </w:p>
    <w:p>
      <w:pPr>
        <w:numPr>
          <w:ilvl w:val="0"/>
          <w:numId w:val="1072"/>
        </w:numPr>
        <w:pStyle w:val="Compact"/>
      </w:pPr>
      <w:r>
        <w:rPr>
          <w:bCs/>
          <w:b/>
        </w:rPr>
        <w:t xml:space="preserve">Memory:</w:t>
      </w:r>
      <w:r>
        <w:t xml:space="preserve"> </w:t>
      </w:r>
      <w:r>
        <w:t xml:space="preserve">128GB unified memory</w:t>
      </w:r>
    </w:p>
    <w:p>
      <w:pPr>
        <w:pStyle w:val="FirstParagraph"/>
      </w:pPr>
      <w:r>
        <w:rPr>
          <w:bCs/>
          <w:b/>
        </w:rPr>
        <w:t xml:space="preserve">Training workflow:</w:t>
      </w:r>
    </w:p>
    <w:p>
      <w:pPr>
        <w:numPr>
          <w:ilvl w:val="0"/>
          <w:numId w:val="1073"/>
        </w:numPr>
        <w:pStyle w:val="Compact"/>
      </w:pPr>
      <w:r>
        <w:t xml:space="preserve">Curriculum design (Claude API)</w:t>
      </w:r>
    </w:p>
    <w:p>
      <w:pPr>
        <w:numPr>
          <w:ilvl w:val="0"/>
          <w:numId w:val="1073"/>
        </w:numPr>
        <w:pStyle w:val="Compact"/>
      </w:pPr>
      <w:r>
        <w:t xml:space="preserve">Synthetic data generation (Claude API, 2000+ examples per industry)</w:t>
      </w:r>
    </w:p>
    <w:p>
      <w:pPr>
        <w:numPr>
          <w:ilvl w:val="0"/>
          <w:numId w:val="1073"/>
        </w:numPr>
        <w:pStyle w:val="Compact"/>
      </w:pPr>
      <w:r>
        <w:t xml:space="preserve">Local fine-tuning (Acer Veriton GN-100, QLoRA, 16h per model)</w:t>
      </w:r>
    </w:p>
    <w:p>
      <w:pPr>
        <w:numPr>
          <w:ilvl w:val="0"/>
          <w:numId w:val="1073"/>
        </w:numPr>
        <w:pStyle w:val="Compact"/>
      </w:pPr>
      <w:r>
        <w:t xml:space="preserve">Evaluation &amp; deployment (Claude-as-judge, target &gt;7.0/10)</w:t>
      </w:r>
    </w:p>
    <w:p>
      <w:pPr>
        <w:pStyle w:val="FirstParagraph"/>
      </w:pPr>
      <w:r>
        <w:rPr>
          <w:bCs/>
          <w:b/>
        </w:rPr>
        <w:t xml:space="preserve">Cost:</w:t>
      </w:r>
      <w:r>
        <w:t xml:space="preserve"> </w:t>
      </w:r>
      <w:r>
        <w:t xml:space="preserve">EUR 80-125 per industry model (vs. EUR 15,000+ traditionally, 99% cost reduction)</w:t>
      </w:r>
    </w:p>
    <w:bookmarkEnd w:id="214"/>
    <w:bookmarkEnd w:id="215"/>
    <w:bookmarkStart w:id="216" w:name="appendix-f-v1.0-agent-fleet"/>
    <w:p>
      <w:pPr>
        <w:pStyle w:val="Heading2"/>
      </w:pPr>
      <w:r>
        <w:t xml:space="preserve">Appendix F: V1.0 Agent Fleet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Agent ID</w:t>
            </w:r>
          </w:p>
        </w:tc>
        <w:tc>
          <w:tcPr/>
          <w:p>
            <w:pPr>
              <w:pStyle w:val="Compact"/>
              <w:jc w:val="left"/>
            </w:pPr>
            <w:r>
              <w:t xml:space="preserve">Name</w:t>
            </w:r>
          </w:p>
        </w:tc>
        <w:tc>
          <w:tcPr/>
          <w:p>
            <w:pPr>
              <w:pStyle w:val="Compact"/>
              <w:jc w:val="left"/>
            </w:pPr>
            <w:r>
              <w:t xml:space="preserve">Phase</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Agent-01</w:t>
            </w:r>
          </w:p>
        </w:tc>
        <w:tc>
          <w:tcPr/>
          <w:p>
            <w:pPr>
              <w:pStyle w:val="Compact"/>
              <w:jc w:val="left"/>
            </w:pPr>
            <w:r>
              <w:t xml:space="preserve">DWS IQ Login</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In Progress</w:t>
            </w:r>
          </w:p>
        </w:tc>
      </w:tr>
      <w:tr>
        <w:tc>
          <w:tcPr/>
          <w:p>
            <w:pPr>
              <w:pStyle w:val="Compact"/>
              <w:jc w:val="left"/>
            </w:pPr>
            <w:r>
              <w:t xml:space="preserve">Agent-02</w:t>
            </w:r>
          </w:p>
        </w:tc>
        <w:tc>
          <w:tcPr/>
          <w:p>
            <w:pPr>
              <w:pStyle w:val="Compact"/>
              <w:jc w:val="left"/>
            </w:pPr>
            <w:r>
              <w:t xml:space="preserve">Firehorse Apps</w:t>
            </w:r>
          </w:p>
        </w:tc>
        <w:tc>
          <w:tcPr/>
          <w:p>
            <w:pPr>
              <w:pStyle w:val="Compact"/>
              <w:jc w:val="left"/>
            </w:pPr>
            <w:r>
              <w:t xml:space="preserve">2</w:t>
            </w:r>
          </w:p>
        </w:tc>
        <w:tc>
          <w:tcPr/>
          <w:p>
            <w:pPr>
              <w:pStyle w:val="Compact"/>
              <w:jc w:val="left"/>
            </w:pPr>
            <w:r>
              <w:t xml:space="preserve">Critical</w:t>
            </w:r>
          </w:p>
        </w:tc>
        <w:tc>
          <w:tcPr/>
          <w:p>
            <w:pPr>
              <w:pStyle w:val="Compact"/>
              <w:jc w:val="left"/>
            </w:pPr>
            <w:r>
              <w:t xml:space="preserve">Pending</w:t>
            </w:r>
          </w:p>
        </w:tc>
      </w:tr>
      <w:tr>
        <w:tc>
          <w:tcPr/>
          <w:p>
            <w:pPr>
              <w:pStyle w:val="Compact"/>
              <w:jc w:val="left"/>
            </w:pPr>
            <w:r>
              <w:t xml:space="preserve">Agent-03</w:t>
            </w:r>
          </w:p>
        </w:tc>
        <w:tc>
          <w:tcPr/>
          <w:p>
            <w:pPr>
              <w:pStyle w:val="Compact"/>
              <w:jc w:val="left"/>
            </w:pPr>
            <w:r>
              <w:t xml:space="preserve">Customer Dashboard</w:t>
            </w:r>
          </w:p>
        </w:tc>
        <w:tc>
          <w:tcPr/>
          <w:p>
            <w:pPr>
              <w:pStyle w:val="Compact"/>
              <w:jc w:val="left"/>
            </w:pPr>
            <w:r>
              <w:t xml:space="preserve">3</w:t>
            </w:r>
          </w:p>
        </w:tc>
        <w:tc>
          <w:tcPr/>
          <w:p>
            <w:pPr>
              <w:pStyle w:val="Compact"/>
              <w:jc w:val="left"/>
            </w:pPr>
            <w:r>
              <w:t xml:space="preserve">Critical</w:t>
            </w:r>
          </w:p>
        </w:tc>
        <w:tc>
          <w:tcPr/>
          <w:p>
            <w:pPr>
              <w:pStyle w:val="Compact"/>
              <w:jc w:val="left"/>
            </w:pPr>
            <w:r>
              <w:t xml:space="preserve">Pending</w:t>
            </w:r>
          </w:p>
        </w:tc>
      </w:tr>
      <w:tr>
        <w:tc>
          <w:tcPr/>
          <w:p>
            <w:pPr>
              <w:pStyle w:val="Compact"/>
              <w:jc w:val="left"/>
            </w:pPr>
            <w:r>
              <w:t xml:space="preserve">Agent-04</w:t>
            </w:r>
          </w:p>
        </w:tc>
        <w:tc>
          <w:tcPr/>
          <w:p>
            <w:pPr>
              <w:pStyle w:val="Compact"/>
              <w:jc w:val="left"/>
            </w:pPr>
            <w:r>
              <w:t xml:space="preserve">AI Agents</w:t>
            </w:r>
          </w:p>
        </w:tc>
        <w:tc>
          <w:tcPr/>
          <w:p>
            <w:pPr>
              <w:pStyle w:val="Compact"/>
              <w:jc w:val="left"/>
            </w:pPr>
            <w:r>
              <w:t xml:space="preserve">2</w:t>
            </w:r>
          </w:p>
        </w:tc>
        <w:tc>
          <w:tcPr/>
          <w:p>
            <w:pPr>
              <w:pStyle w:val="Compact"/>
              <w:jc w:val="left"/>
            </w:pPr>
            <w:r>
              <w:t xml:space="preserve">Critical</w:t>
            </w:r>
          </w:p>
        </w:tc>
        <w:tc>
          <w:tcPr/>
          <w:p>
            <w:pPr>
              <w:pStyle w:val="Compact"/>
              <w:jc w:val="left"/>
            </w:pPr>
            <w:r>
              <w:t xml:space="preserve">Pending</w:t>
            </w:r>
          </w:p>
        </w:tc>
      </w:tr>
      <w:tr>
        <w:tc>
          <w:tcPr/>
          <w:p>
            <w:pPr>
              <w:pStyle w:val="Compact"/>
              <w:jc w:val="left"/>
            </w:pPr>
            <w:r>
              <w:t xml:space="preserve">Agent-05</w:t>
            </w:r>
          </w:p>
        </w:tc>
        <w:tc>
          <w:tcPr/>
          <w:p>
            <w:pPr>
              <w:pStyle w:val="Compact"/>
              <w:jc w:val="left"/>
            </w:pPr>
            <w:r>
              <w:t xml:space="preserve">Mobile Dashboard</w:t>
            </w:r>
          </w:p>
        </w:tc>
        <w:tc>
          <w:tcPr/>
          <w:p>
            <w:pPr>
              <w:pStyle w:val="Compact"/>
              <w:jc w:val="left"/>
            </w:pPr>
            <w:r>
              <w:t xml:space="preserve">3</w:t>
            </w:r>
          </w:p>
        </w:tc>
        <w:tc>
          <w:tcPr/>
          <w:p>
            <w:pPr>
              <w:pStyle w:val="Compact"/>
              <w:jc w:val="left"/>
            </w:pPr>
            <w:r>
              <w:t xml:space="preserve">High</w:t>
            </w:r>
          </w:p>
        </w:tc>
        <w:tc>
          <w:tcPr/>
          <w:p>
            <w:pPr>
              <w:pStyle w:val="Compact"/>
              <w:jc w:val="left"/>
            </w:pPr>
            <w:r>
              <w:t xml:space="preserve">Pending</w:t>
            </w:r>
          </w:p>
        </w:tc>
      </w:tr>
      <w:tr>
        <w:tc>
          <w:tcPr/>
          <w:p>
            <w:pPr>
              <w:pStyle w:val="Compact"/>
              <w:jc w:val="left"/>
            </w:pPr>
            <w:r>
              <w:t xml:space="preserve">Agent-06</w:t>
            </w:r>
          </w:p>
        </w:tc>
        <w:tc>
          <w:tcPr/>
          <w:p>
            <w:pPr>
              <w:pStyle w:val="Compact"/>
              <w:jc w:val="left"/>
            </w:pPr>
            <w:r>
              <w:t xml:space="preserve">Enterprise</w:t>
            </w:r>
          </w:p>
        </w:tc>
        <w:tc>
          <w:tcPr/>
          <w:p>
            <w:pPr>
              <w:pStyle w:val="Compact"/>
              <w:jc w:val="left"/>
            </w:pPr>
            <w:r>
              <w:t xml:space="preserve">V1.1</w:t>
            </w:r>
          </w:p>
        </w:tc>
        <w:tc>
          <w:tcPr/>
          <w:p>
            <w:pPr>
              <w:pStyle w:val="Compact"/>
              <w:jc w:val="left"/>
            </w:pPr>
            <w:r>
              <w:t xml:space="preserve">Low</w:t>
            </w:r>
          </w:p>
        </w:tc>
        <w:tc>
          <w:tcPr/>
          <w:p>
            <w:pPr>
              <w:pStyle w:val="Compact"/>
              <w:jc w:val="left"/>
            </w:pPr>
            <w:r>
              <w:t xml:space="preserve">Deferred</w:t>
            </w:r>
          </w:p>
        </w:tc>
      </w:tr>
      <w:tr>
        <w:tc>
          <w:tcPr/>
          <w:p>
            <w:pPr>
              <w:pStyle w:val="Compact"/>
              <w:jc w:val="left"/>
            </w:pPr>
            <w:r>
              <w:t xml:space="preserve">Agent-07</w:t>
            </w:r>
          </w:p>
        </w:tc>
        <w:tc>
          <w:tcPr/>
          <w:p>
            <w:pPr>
              <w:pStyle w:val="Compact"/>
              <w:jc w:val="left"/>
            </w:pPr>
            <w:r>
              <w:t xml:space="preserve">Supabase Database</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In Progress</w:t>
            </w:r>
          </w:p>
        </w:tc>
      </w:tr>
      <w:tr>
        <w:tc>
          <w:tcPr/>
          <w:p>
            <w:pPr>
              <w:pStyle w:val="Compact"/>
              <w:jc w:val="left"/>
            </w:pPr>
            <w:r>
              <w:t xml:space="preserve">Agent-08</w:t>
            </w:r>
          </w:p>
        </w:tc>
        <w:tc>
          <w:tcPr/>
          <w:p>
            <w:pPr>
              <w:pStyle w:val="Compact"/>
              <w:jc w:val="left"/>
            </w:pPr>
            <w:r>
              <w:t xml:space="preserve">Payments</w:t>
            </w:r>
          </w:p>
        </w:tc>
        <w:tc>
          <w:tcPr/>
          <w:p>
            <w:pPr>
              <w:pStyle w:val="Compact"/>
              <w:jc w:val="left"/>
            </w:pPr>
            <w:r>
              <w:t xml:space="preserve">4</w:t>
            </w:r>
          </w:p>
        </w:tc>
        <w:tc>
          <w:tcPr/>
          <w:p>
            <w:pPr>
              <w:pStyle w:val="Compact"/>
              <w:jc w:val="left"/>
            </w:pPr>
            <w:r>
              <w:t xml:space="preserve">Medium</w:t>
            </w:r>
          </w:p>
        </w:tc>
        <w:tc>
          <w:tcPr/>
          <w:p>
            <w:pPr>
              <w:pStyle w:val="Compact"/>
              <w:jc w:val="left"/>
            </w:pPr>
            <w:r>
              <w:t xml:space="preserve">Pending</w:t>
            </w:r>
          </w:p>
        </w:tc>
      </w:tr>
      <w:tr>
        <w:tc>
          <w:tcPr/>
          <w:p>
            <w:pPr>
              <w:pStyle w:val="Compact"/>
              <w:jc w:val="left"/>
            </w:pPr>
            <w:r>
              <w:t xml:space="preserve">Agent-09</w:t>
            </w:r>
          </w:p>
        </w:tc>
        <w:tc>
          <w:tcPr/>
          <w:p>
            <w:pPr>
              <w:pStyle w:val="Compact"/>
              <w:jc w:val="left"/>
            </w:pPr>
            <w:r>
              <w:t xml:space="preserve">Email System</w:t>
            </w:r>
          </w:p>
        </w:tc>
        <w:tc>
          <w:tcPr/>
          <w:p>
            <w:pPr>
              <w:pStyle w:val="Compact"/>
              <w:jc w:val="left"/>
            </w:pPr>
            <w:r>
              <w:t xml:space="preserve">2</w:t>
            </w:r>
          </w:p>
        </w:tc>
        <w:tc>
          <w:tcPr/>
          <w:p>
            <w:pPr>
              <w:pStyle w:val="Compact"/>
              <w:jc w:val="left"/>
            </w:pPr>
            <w:r>
              <w:t xml:space="preserve">High</w:t>
            </w:r>
          </w:p>
        </w:tc>
        <w:tc>
          <w:tcPr/>
          <w:p>
            <w:pPr>
              <w:pStyle w:val="Compact"/>
              <w:jc w:val="left"/>
            </w:pPr>
            <w:r>
              <w:t xml:space="preserve">Pending</w:t>
            </w:r>
          </w:p>
        </w:tc>
      </w:tr>
      <w:tr>
        <w:tc>
          <w:tcPr/>
          <w:p>
            <w:pPr>
              <w:pStyle w:val="Compact"/>
              <w:jc w:val="left"/>
            </w:pPr>
            <w:r>
              <w:t xml:space="preserve">Agent-10</w:t>
            </w:r>
          </w:p>
        </w:tc>
        <w:tc>
          <w:tcPr/>
          <w:p>
            <w:pPr>
              <w:pStyle w:val="Compact"/>
              <w:jc w:val="left"/>
            </w:pPr>
            <w:r>
              <w:t xml:space="preserve">Documentation</w:t>
            </w:r>
          </w:p>
        </w:tc>
        <w:tc>
          <w:tcPr/>
          <w:p>
            <w:pPr>
              <w:pStyle w:val="Compact"/>
              <w:jc w:val="left"/>
            </w:pPr>
            <w:r>
              <w:t xml:space="preserve">1</w:t>
            </w:r>
          </w:p>
        </w:tc>
        <w:tc>
          <w:tcPr/>
          <w:p>
            <w:pPr>
              <w:pStyle w:val="Compact"/>
              <w:jc w:val="left"/>
            </w:pPr>
            <w:r>
              <w:t xml:space="preserve">Low</w:t>
            </w:r>
          </w:p>
        </w:tc>
        <w:tc>
          <w:tcPr/>
          <w:p>
            <w:pPr>
              <w:pStyle w:val="Compact"/>
              <w:jc w:val="left"/>
            </w:pPr>
            <w:r>
              <w:t xml:space="preserve">In Progress</w:t>
            </w:r>
          </w:p>
        </w:tc>
      </w:tr>
    </w:tbl>
    <w:bookmarkEnd w:id="216"/>
    <w:bookmarkStart w:id="221" w:name="appendix-g-glossary"/>
    <w:p>
      <w:pPr>
        <w:pStyle w:val="Heading2"/>
      </w:pPr>
      <w:r>
        <w:t xml:space="preserve">Appendix G: Glossary</w:t>
      </w:r>
    </w:p>
    <w:bookmarkStart w:id="217" w:name="platform-and-business-concepts"/>
    <w:p>
      <w:pPr>
        <w:pStyle w:val="Heading3"/>
      </w:pPr>
      <w:r>
        <w:t xml:space="preserve">Platform and Business Concepts</w:t>
      </w:r>
    </w:p>
    <w:tbl>
      <w:tblPr>
        <w:tblStyle w:val="Table"/>
        <w:tblW w:type="pct" w:w="5000"/>
        <w:tblLook w:firstRow="1" w:lastRow="0" w:firstColumn="0" w:lastColumn="0" w:noHBand="0" w:noVBand="0" w:val="0020"/>
        <w:jc w:val="start"/>
      </w:tblPr>
      <w:tblGrid>
        <w:gridCol w:w="1525"/>
        <w:gridCol w:w="1290"/>
        <w:gridCol w:w="5104"/>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AgentFoundry</w:t>
            </w:r>
          </w:p>
        </w:tc>
        <w:tc>
          <w:tcPr/>
          <w:p>
            <w:pPr>
              <w:pStyle w:val="Compact"/>
              <w:jc w:val="left"/>
            </w:pPr>
            <w:r>
              <w:t xml:space="preserve">AgentFoundry</w:t>
            </w:r>
          </w:p>
        </w:tc>
        <w:tc>
          <w:tcPr/>
          <w:p>
            <w:pPr>
              <w:pStyle w:val="Compact"/>
              <w:jc w:val="left"/>
            </w:pPr>
            <w:r>
              <w:t xml:space="preserve">Multi-model, multi-tenant framework for deploying AI agents across industrial verticals</w:t>
            </w:r>
          </w:p>
        </w:tc>
      </w:tr>
      <w:tr>
        <w:tc>
          <w:tcPr/>
          <w:p>
            <w:pPr>
              <w:pStyle w:val="Compact"/>
              <w:jc w:val="left"/>
            </w:pPr>
            <w:r>
              <w:rPr>
                <w:bCs/>
                <w:b/>
              </w:rPr>
              <w:t xml:space="preserve">Edge AI</w:t>
            </w:r>
          </w:p>
        </w:tc>
        <w:tc>
          <w:tcPr/>
          <w:p>
            <w:pPr>
              <w:pStyle w:val="Compact"/>
              <w:jc w:val="left"/>
            </w:pPr>
            <w:r>
              <w:t xml:space="preserve">Reunatekoaly</w:t>
            </w:r>
          </w:p>
        </w:tc>
        <w:tc>
          <w:tcPr/>
          <w:p>
            <w:pPr>
              <w:pStyle w:val="Compact"/>
              <w:jc w:val="left"/>
            </w:pPr>
            <w:r>
              <w:t xml:space="preserve">AI processing on local devices instead of cloud servers</w:t>
            </w:r>
          </w:p>
        </w:tc>
      </w:tr>
      <w:tr>
        <w:tc>
          <w:tcPr/>
          <w:p>
            <w:pPr>
              <w:pStyle w:val="Compact"/>
              <w:jc w:val="left"/>
            </w:pPr>
            <w:r>
              <w:rPr>
                <w:bCs/>
                <w:b/>
              </w:rPr>
              <w:t xml:space="preserve">Firehorse</w:t>
            </w:r>
          </w:p>
        </w:tc>
        <w:tc>
          <w:tcPr/>
          <w:p>
            <w:pPr>
              <w:pStyle w:val="Compact"/>
              <w:jc w:val="left"/>
            </w:pPr>
            <w:r>
              <w:t xml:space="preserve">Firehorse</w:t>
            </w:r>
          </w:p>
        </w:tc>
        <w:tc>
          <w:tcPr/>
          <w:p>
            <w:pPr>
              <w:pStyle w:val="Compact"/>
              <w:jc w:val="left"/>
            </w:pPr>
            <w:r>
              <w:t xml:space="preserve">DWS6 product suite (Reports, Automation, Omnichannel, CMS)</w:t>
            </w:r>
          </w:p>
        </w:tc>
      </w:tr>
      <w:tr>
        <w:tc>
          <w:tcPr/>
          <w:p>
            <w:pPr>
              <w:pStyle w:val="Compact"/>
              <w:jc w:val="left"/>
            </w:pPr>
            <w:r>
              <w:rPr>
                <w:bCs/>
                <w:b/>
              </w:rPr>
              <w:t xml:space="preserve">Fit for 55</w:t>
            </w:r>
          </w:p>
        </w:tc>
        <w:tc>
          <w:tcPr/>
          <w:p>
            <w:pPr>
              <w:pStyle w:val="Compact"/>
              <w:jc w:val="left"/>
            </w:pPr>
            <w:r>
              <w:t xml:space="preserve">Fit for 55</w:t>
            </w:r>
          </w:p>
        </w:tc>
        <w:tc>
          <w:tcPr/>
          <w:p>
            <w:pPr>
              <w:pStyle w:val="Compact"/>
              <w:jc w:val="left"/>
            </w:pPr>
            <w:r>
              <w:t xml:space="preserve">EU legislative package mandating 55% emissions reduction by 2030</w:t>
            </w:r>
          </w:p>
        </w:tc>
      </w:tr>
      <w:tr>
        <w:tc>
          <w:tcPr/>
          <w:p>
            <w:pPr>
              <w:pStyle w:val="Compact"/>
              <w:jc w:val="left"/>
            </w:pPr>
            <w:r>
              <w:rPr>
                <w:bCs/>
                <w:b/>
              </w:rPr>
              <w:t xml:space="preserve">Lifetime Scope Signals</w:t>
            </w:r>
          </w:p>
        </w:tc>
        <w:tc>
          <w:tcPr/>
          <w:p>
            <w:pPr>
              <w:pStyle w:val="Compact"/>
              <w:jc w:val="left"/>
            </w:pPr>
            <w:r>
              <w:t xml:space="preserve">Lifetime Scope Signals</w:t>
            </w:r>
          </w:p>
        </w:tc>
        <w:tc>
          <w:tcPr/>
          <w:p>
            <w:pPr>
              <w:pStyle w:val="Compact"/>
              <w:jc w:val="left"/>
            </w:pPr>
            <w:r>
              <w:t xml:space="preserve">Coordination protocol for multi-agent development via declarative signal emission</w:t>
            </w:r>
          </w:p>
        </w:tc>
      </w:tr>
      <w:tr>
        <w:tc>
          <w:tcPr/>
          <w:p>
            <w:pPr>
              <w:pStyle w:val="Compact"/>
              <w:jc w:val="left"/>
            </w:pPr>
            <w:r>
              <w:rPr>
                <w:bCs/>
                <w:b/>
              </w:rPr>
              <w:t xml:space="preserve">MCP Hub</w:t>
            </w:r>
          </w:p>
        </w:tc>
        <w:tc>
          <w:tcPr/>
          <w:p>
            <w:pPr>
              <w:pStyle w:val="Compact"/>
              <w:jc w:val="left"/>
            </w:pPr>
            <w:r>
              <w:t xml:space="preserve">MCP Hub</w:t>
            </w:r>
          </w:p>
        </w:tc>
        <w:tc>
          <w:tcPr/>
          <w:p>
            <w:pPr>
              <w:pStyle w:val="Compact"/>
              <w:jc w:val="left"/>
            </w:pPr>
            <w:r>
              <w:t xml:space="preserve">Model Context Protocol coordination server for multi-agent orchestration</w:t>
            </w:r>
          </w:p>
        </w:tc>
      </w:tr>
      <w:tr>
        <w:tc>
          <w:tcPr/>
          <w:p>
            <w:pPr>
              <w:pStyle w:val="Compact"/>
              <w:jc w:val="left"/>
            </w:pPr>
            <w:r>
              <w:rPr>
                <w:bCs/>
                <w:b/>
              </w:rPr>
              <w:t xml:space="preserve">Solution Factory</w:t>
            </w:r>
          </w:p>
        </w:tc>
        <w:tc>
          <w:tcPr/>
          <w:p>
            <w:pPr>
              <w:pStyle w:val="Compact"/>
              <w:jc w:val="left"/>
            </w:pPr>
            <w:r>
              <w:t xml:space="preserve">Solution Factory</w:t>
            </w:r>
          </w:p>
        </w:tc>
        <w:tc>
          <w:tcPr/>
          <w:p>
            <w:pPr>
              <w:pStyle w:val="Compact"/>
              <w:jc w:val="left"/>
            </w:pPr>
            <w:r>
              <w:t xml:space="preserve">Operating model for producing multiple industrial AI platforms from shared components</w:t>
            </w:r>
          </w:p>
        </w:tc>
      </w:tr>
    </w:tbl>
    <w:bookmarkEnd w:id="217"/>
    <w:bookmarkStart w:id="218" w:name="security-and-compliance"/>
    <w:p>
      <w:pPr>
        <w:pStyle w:val="Heading3"/>
      </w:pPr>
      <w:r>
        <w:t xml:space="preserve">Security and Compliance</w:t>
      </w:r>
    </w:p>
    <w:tbl>
      <w:tblPr>
        <w:tblStyle w:val="Table"/>
        <w:tblW w:type="pct" w:w="5000"/>
        <w:tblLook w:firstRow="1" w:lastRow="0" w:firstColumn="0" w:lastColumn="0" w:noHBand="0" w:noVBand="0" w:val="0020"/>
        <w:jc w:val="start"/>
      </w:tblPr>
      <w:tblGrid>
        <w:gridCol w:w="880"/>
        <w:gridCol w:w="2166"/>
        <w:gridCol w:w="4873"/>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EU AI Act</w:t>
            </w:r>
          </w:p>
        </w:tc>
        <w:tc>
          <w:tcPr/>
          <w:p>
            <w:pPr>
              <w:pStyle w:val="Compact"/>
              <w:jc w:val="left"/>
            </w:pPr>
            <w:r>
              <w:t xml:space="preserve">EU:n tekoalysaados</w:t>
            </w:r>
          </w:p>
        </w:tc>
        <w:tc>
          <w:tcPr/>
          <w:p>
            <w:pPr>
              <w:pStyle w:val="Compact"/>
              <w:jc w:val="left"/>
            </w:pPr>
            <w:r>
              <w:t xml:space="preserve">EU regulation for AI systems (August 2026 deadline)</w:t>
            </w:r>
          </w:p>
        </w:tc>
      </w:tr>
      <w:tr>
        <w:tc>
          <w:tcPr/>
          <w:p>
            <w:pPr>
              <w:pStyle w:val="Compact"/>
              <w:jc w:val="left"/>
            </w:pPr>
            <w:r>
              <w:rPr>
                <w:bCs/>
                <w:b/>
              </w:rPr>
              <w:t xml:space="preserve">GDPR</w:t>
            </w:r>
          </w:p>
        </w:tc>
        <w:tc>
          <w:tcPr/>
          <w:p>
            <w:pPr>
              <w:pStyle w:val="Compact"/>
              <w:jc w:val="left"/>
            </w:pPr>
            <w:r>
              <w:t xml:space="preserve">GDPR (Yleinen tietosuoja-asetus)</w:t>
            </w:r>
          </w:p>
        </w:tc>
        <w:tc>
          <w:tcPr/>
          <w:p>
            <w:pPr>
              <w:pStyle w:val="Compact"/>
              <w:jc w:val="left"/>
            </w:pPr>
            <w:r>
              <w:t xml:space="preserve">EU data protection regulation</w:t>
            </w:r>
          </w:p>
        </w:tc>
      </w:tr>
      <w:tr>
        <w:tc>
          <w:tcPr/>
          <w:p>
            <w:pPr>
              <w:pStyle w:val="Compact"/>
              <w:jc w:val="left"/>
            </w:pPr>
            <w:r>
              <w:rPr>
                <w:bCs/>
                <w:b/>
              </w:rPr>
              <w:t xml:space="preserve">NIS2</w:t>
            </w:r>
          </w:p>
        </w:tc>
        <w:tc>
          <w:tcPr/>
          <w:p>
            <w:pPr>
              <w:pStyle w:val="Compact"/>
              <w:jc w:val="left"/>
            </w:pPr>
            <w:r>
              <w:t xml:space="preserve">NIS2</w:t>
            </w:r>
          </w:p>
        </w:tc>
        <w:tc>
          <w:tcPr/>
          <w:p>
            <w:pPr>
              <w:pStyle w:val="Compact"/>
              <w:jc w:val="left"/>
            </w:pPr>
            <w:r>
              <w:t xml:space="preserve">EU cybersecurity directive for critical infrastructure</w:t>
            </w:r>
          </w:p>
        </w:tc>
      </w:tr>
      <w:tr>
        <w:tc>
          <w:tcPr/>
          <w:p>
            <w:pPr>
              <w:pStyle w:val="Compact"/>
              <w:jc w:val="left"/>
            </w:pPr>
            <w:r>
              <w:rPr>
                <w:bCs/>
                <w:b/>
              </w:rPr>
              <w:t xml:space="preserve">RLS</w:t>
            </w:r>
          </w:p>
        </w:tc>
        <w:tc>
          <w:tcPr/>
          <w:p>
            <w:pPr>
              <w:pStyle w:val="Compact"/>
              <w:jc w:val="left"/>
            </w:pPr>
            <w:r>
              <w:t xml:space="preserve">Rivitason suojaus</w:t>
            </w:r>
          </w:p>
        </w:tc>
        <w:tc>
          <w:tcPr/>
          <w:p>
            <w:pPr>
              <w:pStyle w:val="Compact"/>
              <w:jc w:val="left"/>
            </w:pPr>
            <w:r>
              <w:t xml:space="preserve">Row-Level Security - database-level access control per user/organization</w:t>
            </w:r>
          </w:p>
        </w:tc>
      </w:tr>
    </w:tbl>
    <w:bookmarkEnd w:id="218"/>
    <w:bookmarkStart w:id="219" w:name="data-architecture-and-analytics"/>
    <w:p>
      <w:pPr>
        <w:pStyle w:val="Heading3"/>
      </w:pPr>
      <w:r>
        <w:t xml:space="preserve">Data Architecture and Analytics</w:t>
      </w:r>
    </w:p>
    <w:tbl>
      <w:tblPr>
        <w:tblStyle w:val="Table"/>
        <w:tblW w:type="pct" w:w="5000"/>
        <w:tblLook w:firstRow="1" w:lastRow="0" w:firstColumn="0" w:lastColumn="0" w:noHBand="0" w:noVBand="0" w:val="0020"/>
        <w:jc w:val="start"/>
      </w:tblPr>
      <w:tblGrid>
        <w:gridCol w:w="960"/>
        <w:gridCol w:w="912"/>
        <w:gridCol w:w="6048"/>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Autoresearch</w:t>
            </w:r>
          </w:p>
        </w:tc>
        <w:tc>
          <w:tcPr/>
          <w:p>
            <w:pPr>
              <w:pStyle w:val="Compact"/>
              <w:jc w:val="left"/>
            </w:pPr>
            <w:r>
              <w:t xml:space="preserve">Autotutkimus</w:t>
            </w:r>
          </w:p>
        </w:tc>
        <w:tc>
          <w:tcPr/>
          <w:p>
            <w:pPr>
              <w:pStyle w:val="Compact"/>
              <w:jc w:val="left"/>
            </w:pPr>
            <w:r>
              <w:t xml:space="preserve">Karpathy-inspired autonomous validation loop: hypothesize → modify → verify → keep/discard → repeat</w:t>
            </w:r>
          </w:p>
        </w:tc>
      </w:tr>
      <w:tr>
        <w:tc>
          <w:tcPr/>
          <w:p>
            <w:pPr>
              <w:pStyle w:val="Compact"/>
              <w:jc w:val="left"/>
            </w:pPr>
            <w:r>
              <w:rPr>
                <w:bCs/>
                <w:b/>
              </w:rPr>
              <w:t xml:space="preserve">Columnar Storage</w:t>
            </w:r>
          </w:p>
        </w:tc>
        <w:tc>
          <w:tcPr/>
          <w:p>
            <w:pPr>
              <w:pStyle w:val="Compact"/>
              <w:jc w:val="left"/>
            </w:pPr>
            <w:r>
              <w:t xml:space="preserve">Saraketallennustila</w:t>
            </w:r>
          </w:p>
        </w:tc>
        <w:tc>
          <w:tcPr/>
          <w:p>
            <w:pPr>
              <w:pStyle w:val="Compact"/>
              <w:jc w:val="left"/>
            </w:pPr>
            <w:r>
              <w:t xml:space="preserve">Database storage format organizing data by columns instead of rows, enabling 10-100× compression and faster analytical queries</w:t>
            </w:r>
          </w:p>
        </w:tc>
      </w:tr>
      <w:tr>
        <w:tc>
          <w:tcPr/>
          <w:p>
            <w:pPr>
              <w:pStyle w:val="Compact"/>
              <w:jc w:val="left"/>
            </w:pPr>
            <w:r>
              <w:rPr>
                <w:bCs/>
                <w:b/>
              </w:rPr>
              <w:t xml:space="preserve">HTAP</w:t>
            </w:r>
          </w:p>
        </w:tc>
        <w:tc>
          <w:tcPr/>
          <w:p>
            <w:pPr>
              <w:pStyle w:val="Compact"/>
              <w:jc w:val="left"/>
            </w:pPr>
            <w:r>
              <w:t xml:space="preserve">HTAP</w:t>
            </w:r>
          </w:p>
        </w:tc>
        <w:tc>
          <w:tcPr/>
          <w:p>
            <w:pPr>
              <w:pStyle w:val="Compact"/>
              <w:jc w:val="left"/>
            </w:pPr>
            <w:r>
              <w:t xml:space="preserve">Hybrid Transactional/Analytical Processing — single database handles both OLTP and OLAP workloads</w:t>
            </w:r>
          </w:p>
        </w:tc>
      </w:tr>
      <w:tr>
        <w:tc>
          <w:tcPr/>
          <w:p>
            <w:pPr>
              <w:pStyle w:val="Compact"/>
              <w:jc w:val="left"/>
            </w:pPr>
            <w:r>
              <w:rPr>
                <w:bCs/>
                <w:b/>
              </w:rPr>
              <w:t xml:space="preserve">Hypercore</w:t>
            </w:r>
          </w:p>
        </w:tc>
        <w:tc>
          <w:tcPr/>
          <w:p>
            <w:pPr>
              <w:pStyle w:val="Compact"/>
              <w:jc w:val="left"/>
            </w:pPr>
            <w:r>
              <w:t xml:space="preserve">Hypercore</w:t>
            </w:r>
          </w:p>
        </w:tc>
        <w:tc>
          <w:tcPr/>
          <w:p>
            <w:pPr>
              <w:pStyle w:val="Compact"/>
              <w:jc w:val="left"/>
            </w:pPr>
            <w:r>
              <w:t xml:space="preserve">TimescaleDB’s automatic hybrid row→columnar tiering engine with 90-98% compression</w:t>
            </w:r>
          </w:p>
        </w:tc>
      </w:tr>
      <w:tr>
        <w:tc>
          <w:tcPr/>
          <w:p>
            <w:pPr>
              <w:pStyle w:val="Compact"/>
              <w:jc w:val="left"/>
            </w:pPr>
            <w:r>
              <w:rPr>
                <w:bCs/>
                <w:b/>
              </w:rPr>
              <w:t xml:space="preserve">Hypertable</w:t>
            </w:r>
          </w:p>
        </w:tc>
        <w:tc>
          <w:tcPr/>
          <w:p>
            <w:pPr>
              <w:pStyle w:val="Compact"/>
              <w:jc w:val="left"/>
            </w:pPr>
            <w:r>
              <w:t xml:space="preserve">Hypertaulu</w:t>
            </w:r>
          </w:p>
        </w:tc>
        <w:tc>
          <w:tcPr/>
          <w:p>
            <w:pPr>
              <w:pStyle w:val="Compact"/>
              <w:jc w:val="left"/>
            </w:pPr>
            <w:r>
              <w:t xml:space="preserve">TimescaleDB time-partitioned table for time-series data with automatic chunk management</w:t>
            </w:r>
          </w:p>
        </w:tc>
      </w:tr>
      <w:tr>
        <w:tc>
          <w:tcPr/>
          <w:p>
            <w:pPr>
              <w:pStyle w:val="Compact"/>
              <w:jc w:val="left"/>
            </w:pPr>
            <w:r>
              <w:rPr>
                <w:bCs/>
                <w:b/>
              </w:rPr>
              <w:t xml:space="preserve">pg_duckdb</w:t>
            </w:r>
          </w:p>
        </w:tc>
        <w:tc>
          <w:tcPr/>
          <w:p>
            <w:pPr>
              <w:pStyle w:val="Compact"/>
              <w:jc w:val="left"/>
            </w:pPr>
            <w:r>
              <w:t xml:space="preserve">pg_duckdb</w:t>
            </w:r>
          </w:p>
        </w:tc>
        <w:tc>
          <w:tcPr/>
          <w:p>
            <w:pPr>
              <w:pStyle w:val="Compact"/>
              <w:jc w:val="left"/>
            </w:pPr>
            <w:r>
              <w:t xml:space="preserve">PostgreSQL extension embedding DuckDB for 50-600× OLAP acceleration (edge-only in DWS)</w:t>
            </w:r>
          </w:p>
        </w:tc>
      </w:tr>
      <w:tr>
        <w:tc>
          <w:tcPr/>
          <w:p>
            <w:pPr>
              <w:pStyle w:val="Compact"/>
              <w:jc w:val="left"/>
            </w:pPr>
            <w:r>
              <w:rPr>
                <w:bCs/>
                <w:b/>
              </w:rPr>
              <w:t xml:space="preserve">pgvector</w:t>
            </w:r>
          </w:p>
        </w:tc>
        <w:tc>
          <w:tcPr/>
          <w:p>
            <w:pPr>
              <w:pStyle w:val="Compact"/>
              <w:jc w:val="left"/>
            </w:pPr>
            <w:r>
              <w:t xml:space="preserve">pgvector</w:t>
            </w:r>
          </w:p>
        </w:tc>
        <w:tc>
          <w:tcPr/>
          <w:p>
            <w:pPr>
              <w:pStyle w:val="Compact"/>
              <w:jc w:val="left"/>
            </w:pPr>
            <w:r>
              <w:t xml:space="preserve">PostgreSQL extension for vector similarity search, used in RAG pipelines</w:t>
            </w:r>
          </w:p>
        </w:tc>
      </w:tr>
      <w:tr>
        <w:tc>
          <w:tcPr/>
          <w:p>
            <w:pPr>
              <w:pStyle w:val="Compact"/>
              <w:jc w:val="left"/>
            </w:pPr>
            <w:r>
              <w:rPr>
                <w:bCs/>
                <w:b/>
              </w:rPr>
              <w:t xml:space="preserve">TimescaleDB</w:t>
            </w:r>
          </w:p>
        </w:tc>
        <w:tc>
          <w:tcPr/>
          <w:p>
            <w:pPr>
              <w:pStyle w:val="Compact"/>
              <w:jc w:val="left"/>
            </w:pPr>
            <w:r>
              <w:t xml:space="preserve">TimescaleDB</w:t>
            </w:r>
          </w:p>
        </w:tc>
        <w:tc>
          <w:tcPr/>
          <w:p>
            <w:pPr>
              <w:pStyle w:val="Compact"/>
              <w:jc w:val="left"/>
            </w:pPr>
            <w:r>
              <w:t xml:space="preserve">PostgreSQL extension for time-series data with compression and continuous aggregates</w:t>
            </w:r>
          </w:p>
        </w:tc>
      </w:tr>
      <w:tr>
        <w:tc>
          <w:tcPr/>
          <w:p>
            <w:pPr>
              <w:pStyle w:val="Compact"/>
              <w:jc w:val="left"/>
            </w:pPr>
            <w:r>
              <w:rPr>
                <w:bCs/>
                <w:b/>
              </w:rPr>
              <w:t xml:space="preserve">Two-Tier HTAP</w:t>
            </w:r>
          </w:p>
        </w:tc>
        <w:tc>
          <w:tcPr/>
          <w:p>
            <w:pPr>
              <w:pStyle w:val="Compact"/>
              <w:jc w:val="left"/>
            </w:pPr>
            <w:r>
              <w:t xml:space="preserve">Kaksitasoinen HTAP</w:t>
            </w:r>
          </w:p>
        </w:tc>
        <w:tc>
          <w:tcPr/>
          <w:p>
            <w:pPr>
              <w:pStyle w:val="Compact"/>
              <w:jc w:val="left"/>
            </w:pPr>
            <w:r>
              <w:t xml:space="preserve">Architecture pattern: Tier 1 (Aiven managed, TimescaleDB) + Tier 2 (self-managed edge, pg_duckdb)</w:t>
            </w:r>
          </w:p>
        </w:tc>
      </w:tr>
    </w:tbl>
    <w:bookmarkEnd w:id="219"/>
    <w:bookmarkStart w:id="220" w:name="research-methodology"/>
    <w:p>
      <w:pPr>
        <w:pStyle w:val="Heading3"/>
      </w:pPr>
      <w:r>
        <w:t xml:space="preserve">Research Methodology</w:t>
      </w:r>
    </w:p>
    <w:tbl>
      <w:tblPr>
        <w:tblStyle w:val="Table"/>
        <w:tblW w:type="pct" w:w="5000"/>
        <w:tblLook w:firstRow="1" w:lastRow="0" w:firstColumn="0" w:lastColumn="0" w:noHBand="0" w:noVBand="0" w:val="0020"/>
        <w:jc w:val="start"/>
      </w:tblPr>
      <w:tblGrid>
        <w:gridCol w:w="1071"/>
        <w:gridCol w:w="1304"/>
        <w:gridCol w:w="5544"/>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Aiven-first Mandate</w:t>
            </w:r>
          </w:p>
        </w:tc>
        <w:tc>
          <w:tcPr/>
          <w:p>
            <w:pPr>
              <w:pStyle w:val="Compact"/>
              <w:jc w:val="left"/>
            </w:pPr>
            <w:r>
              <w:t xml:space="preserve">Aiven-ensisijaisuus</w:t>
            </w:r>
          </w:p>
        </w:tc>
        <w:tc>
          <w:tcPr/>
          <w:p>
            <w:pPr>
              <w:pStyle w:val="Compact"/>
              <w:jc w:val="left"/>
            </w:pPr>
            <w:r>
              <w:t xml:space="preserve">DWS policy requiring all production database extensions to be Aiven-compatible before adoption</w:t>
            </w:r>
          </w:p>
        </w:tc>
      </w:tr>
      <w:tr>
        <w:tc>
          <w:tcPr/>
          <w:p>
            <w:pPr>
              <w:pStyle w:val="Compact"/>
              <w:jc w:val="left"/>
            </w:pPr>
            <w:r>
              <w:rPr>
                <w:bCs/>
                <w:b/>
              </w:rPr>
              <w:t xml:space="preserve">DWS Data Standard</w:t>
            </w:r>
          </w:p>
        </w:tc>
        <w:tc>
          <w:tcPr/>
          <w:p>
            <w:pPr>
              <w:pStyle w:val="Compact"/>
              <w:jc w:val="left"/>
            </w:pPr>
            <w:r>
              <w:t xml:space="preserve">DWS-tietostandardi</w:t>
            </w:r>
          </w:p>
        </w:tc>
        <w:tc>
          <w:tcPr/>
          <w:p>
            <w:pPr>
              <w:pStyle w:val="Compact"/>
              <w:jc w:val="left"/>
            </w:pPr>
            <w:r>
              <w:t xml:space="preserve">Internal standard governing data storage decisions, extension governance, and EU regulatory compliance</w:t>
            </w:r>
          </w:p>
        </w:tc>
      </w:tr>
      <w:tr>
        <w:tc>
          <w:tcPr/>
          <w:p>
            <w:pPr>
              <w:pStyle w:val="Compact"/>
              <w:jc w:val="left"/>
            </w:pPr>
            <w:r>
              <w:rPr>
                <w:bCs/>
                <w:b/>
              </w:rPr>
              <w:t xml:space="preserve">KYA Standard</w:t>
            </w:r>
          </w:p>
        </w:tc>
        <w:tc>
          <w:tcPr/>
          <w:p>
            <w:pPr>
              <w:pStyle w:val="Compact"/>
              <w:jc w:val="left"/>
            </w:pPr>
            <w:r>
              <w:t xml:space="preserve">KYA-standardi</w:t>
            </w:r>
          </w:p>
        </w:tc>
        <w:tc>
          <w:tcPr/>
          <w:p>
            <w:pPr>
              <w:pStyle w:val="Compact"/>
              <w:jc w:val="left"/>
            </w:pPr>
            <w:r>
              <w:t xml:space="preserve">Know Your Agent/Architecture — dual-purpose standard for AI agent security (Shield) and optimization governance (Sword)</w:t>
            </w:r>
          </w:p>
        </w:tc>
      </w:tr>
      <w:tr>
        <w:tc>
          <w:tcPr/>
          <w:p>
            <w:pPr>
              <w:pStyle w:val="Compact"/>
              <w:jc w:val="left"/>
            </w:pPr>
            <w:r>
              <w:rPr>
                <w:bCs/>
                <w:b/>
              </w:rPr>
              <w:t xml:space="preserve">Proxy-to-Scale</w:t>
            </w:r>
          </w:p>
        </w:tc>
        <w:tc>
          <w:tcPr/>
          <w:p>
            <w:pPr>
              <w:pStyle w:val="Compact"/>
              <w:jc w:val="left"/>
            </w:pPr>
            <w:r>
              <w:t xml:space="preserve">Pienestä suureen -validointi</w:t>
            </w:r>
          </w:p>
        </w:tc>
        <w:tc>
          <w:tcPr/>
          <w:p>
            <w:pPr>
              <w:pStyle w:val="Compact"/>
              <w:jc w:val="left"/>
            </w:pPr>
            <w:r>
              <w:t xml:space="preserve">Karpathy pattern: validate changes on small proxy (depth=12) before scaling to production (depth=24)</w:t>
            </w:r>
          </w:p>
        </w:tc>
      </w:tr>
    </w:tbl>
    <w:p>
      <w:r>
        <w:pict>
          <v:rect style="width:0;height:1.5pt" o:hralign="center" o:hrstd="t" o:hr="t"/>
        </w:pict>
      </w:r>
    </w:p>
    <w:bookmarkEnd w:id="220"/>
    <w:bookmarkEnd w:id="221"/>
    <w:bookmarkStart w:id="228" w:name="X913c5d6278562a2088bf833de44a465c3cc1013"/>
    <w:p>
      <w:pPr>
        <w:pStyle w:val="Heading2"/>
      </w:pPr>
      <w:r>
        <w:t xml:space="preserve">Appendix H: Automated PR Workflow (HIL Automation)</w:t>
      </w:r>
    </w:p>
    <w:bookmarkStart w:id="222" w:name="background-2"/>
    <w:p>
      <w:pPr>
        <w:pStyle w:val="Heading3"/>
      </w:pPr>
      <w:r>
        <w:t xml:space="preserve">Background</w:t>
      </w:r>
    </w:p>
    <w:p>
      <w:pPr>
        <w:pStyle w:val="FirstParagraph"/>
      </w:pPr>
      <w:r>
        <w:t xml:space="preserve">A key operational challenge for solo developers and small teams managing enterprise-grade codebases is maintaining code quality without a dedicated review team. The Firehorse model addresses this with a fully automated pull request review and merge workflow that replaces manual human-in-the-loop (HIL) code review with dual-model AI review.</w:t>
      </w:r>
    </w:p>
    <w:bookmarkEnd w:id="222"/>
    <w:bookmarkStart w:id="223" w:name="architecture"/>
    <w:p>
      <w:pPr>
        <w:pStyle w:val="Heading3"/>
      </w:pPr>
      <w:r>
        <w:t xml:space="preserve">Architecture</w:t>
      </w:r>
    </w:p>
    <w:p>
      <w:pPr>
        <w:pStyle w:val="SourceCode"/>
      </w:pPr>
      <w:r>
        <w:rPr>
          <w:rStyle w:val="VerbatimChar"/>
        </w:rPr>
        <w:t xml:space="preserve">Claude Code → PR → Claude sanity check → Gemini HIL review → @copilot fixes → CI → auto-merge</w:t>
      </w:r>
      <w:r>
        <w:br/>
      </w:r>
      <w:r>
        <w:rPr>
          <w:rStyle w:val="VerbatimChar"/>
        </w:rPr>
        <w:t xml:space="preserve">                                                ↑                    |</w:t>
      </w:r>
      <w:r>
        <w:br/>
      </w:r>
      <w:r>
        <w:rPr>
          <w:rStyle w:val="VerbatimChar"/>
        </w:rPr>
        <w:t xml:space="preserve">                                                └────────────────────┘  (fix loop)</w:t>
      </w:r>
    </w:p>
    <w:bookmarkEnd w:id="223"/>
    <w:bookmarkStart w:id="224" w:name="components"/>
    <w:p>
      <w:pPr>
        <w:pStyle w:val="Heading3"/>
      </w:pPr>
      <w:r>
        <w:t xml:space="preserve">Components</w:t>
      </w:r>
    </w:p>
    <w:tbl>
      <w:tblPr>
        <w:tblStyle w:val="Table"/>
        <w:tblW w:type="pct" w:w="5000"/>
        <w:tblLook w:firstRow="1" w:lastRow="0" w:firstColumn="0" w:lastColumn="0" w:noHBand="0" w:noVBand="0" w:val="0020"/>
        <w:jc w:val="start"/>
      </w:tblPr>
      <w:tblGrid>
        <w:gridCol w:w="1466"/>
        <w:gridCol w:w="4400"/>
        <w:gridCol w:w="2053"/>
      </w:tblGrid>
      <w:tr>
        <w:trPr>
          <w:tblHeader w:val="true"/>
        </w:trPr>
        <w:tc>
          <w:tcPr/>
          <w:p>
            <w:pPr>
              <w:pStyle w:val="Compact"/>
              <w:jc w:val="left"/>
            </w:pPr>
            <w:r>
              <w:t xml:space="preserve">Component</w:t>
            </w:r>
          </w:p>
        </w:tc>
        <w:tc>
          <w:tcPr/>
          <w:p>
            <w:pPr>
              <w:pStyle w:val="Compact"/>
              <w:jc w:val="left"/>
            </w:pPr>
            <w:r>
              <w:t xml:space="preserve">Role</w:t>
            </w:r>
          </w:p>
        </w:tc>
        <w:tc>
          <w:tcPr/>
          <w:p>
            <w:pPr>
              <w:pStyle w:val="Compact"/>
              <w:jc w:val="left"/>
            </w:pPr>
            <w:r>
              <w:t xml:space="preserve">Technology</w:t>
            </w:r>
          </w:p>
        </w:tc>
      </w:tr>
      <w:tr>
        <w:tc>
          <w:tcPr/>
          <w:p>
            <w:pPr>
              <w:pStyle w:val="Compact"/>
              <w:jc w:val="left"/>
            </w:pPr>
            <w:r>
              <w:t xml:space="preserve">Claude Code</w:t>
            </w:r>
          </w:p>
        </w:tc>
        <w:tc>
          <w:tcPr/>
          <w:p>
            <w:pPr>
              <w:pStyle w:val="Compact"/>
              <w:jc w:val="left"/>
            </w:pPr>
            <w:r>
              <w:t xml:space="preserve">Code generation, branch creation, PR opening</w:t>
            </w:r>
          </w:p>
        </w:tc>
        <w:tc>
          <w:tcPr/>
          <w:p>
            <w:pPr>
              <w:pStyle w:val="Compact"/>
              <w:jc w:val="left"/>
            </w:pPr>
            <w:r>
              <w:t xml:space="preserve">Anthropic Claude Opus/Sonnet</w:t>
            </w:r>
          </w:p>
        </w:tc>
      </w:tr>
      <w:tr>
        <w:tc>
          <w:tcPr/>
          <w:p>
            <w:pPr>
              <w:pStyle w:val="Compact"/>
              <w:jc w:val="left"/>
            </w:pPr>
            <w:r>
              <w:t xml:space="preserve">Claude (reviewer)</w:t>
            </w:r>
          </w:p>
        </w:tc>
        <w:tc>
          <w:tcPr/>
          <w:p>
            <w:pPr>
              <w:pStyle w:val="Compact"/>
              <w:jc w:val="left"/>
            </w:pPr>
            <w:r>
              <w:t xml:space="preserve">Quick sanity check: security, correctness, breaking changes</w:t>
            </w:r>
          </w:p>
        </w:tc>
        <w:tc>
          <w:tcPr/>
          <w:p>
            <w:pPr>
              <w:pStyle w:val="Compact"/>
              <w:jc w:val="left"/>
            </w:pPr>
            <w:r>
              <w:t xml:space="preserve">Claude Sonnet 4 API</w:t>
            </w:r>
          </w:p>
        </w:tc>
      </w:tr>
      <w:tr>
        <w:tc>
          <w:tcPr/>
          <w:p>
            <w:pPr>
              <w:pStyle w:val="Compact"/>
              <w:jc w:val="left"/>
            </w:pPr>
            <w:r>
              <w:t xml:space="preserve">Gemini (HIL gate)</w:t>
            </w:r>
          </w:p>
        </w:tc>
        <w:tc>
          <w:tcPr/>
          <w:p>
            <w:pPr>
              <w:pStyle w:val="Compact"/>
              <w:jc w:val="left"/>
            </w:pPr>
            <w:r>
              <w:t xml:space="preserve">Deep review: edge cases, tests, architecture, OWASP security</w:t>
            </w:r>
          </w:p>
        </w:tc>
        <w:tc>
          <w:tcPr/>
          <w:p>
            <w:pPr>
              <w:pStyle w:val="Compact"/>
              <w:jc w:val="left"/>
            </w:pPr>
            <w:r>
              <w:t xml:space="preserve">Gemini 2.0 Flash API</w:t>
            </w:r>
          </w:p>
        </w:tc>
      </w:tr>
      <w:tr>
        <w:tc>
          <w:tcPr/>
          <w:p>
            <w:pPr>
              <w:pStyle w:val="Compact"/>
              <w:jc w:val="left"/>
            </w:pPr>
            <w:r>
              <w:t xml:space="preserve">Copilot coding agent</w:t>
            </w:r>
          </w:p>
        </w:tc>
        <w:tc>
          <w:tcPr/>
          <w:p>
            <w:pPr>
              <w:pStyle w:val="Compact"/>
              <w:jc w:val="left"/>
            </w:pPr>
            <w:r>
              <w:t xml:space="preserve">Implements fix instructions from review comments</w:t>
            </w:r>
          </w:p>
        </w:tc>
        <w:tc>
          <w:tcPr/>
          <w:p>
            <w:pPr>
              <w:pStyle w:val="Compact"/>
              <w:jc w:val="left"/>
            </w:pPr>
            <w:r>
              <w:t xml:space="preserve">GitHub Copilot</w:t>
            </w:r>
          </w:p>
        </w:tc>
      </w:tr>
      <w:tr>
        <w:tc>
          <w:tcPr/>
          <w:p>
            <w:pPr>
              <w:pStyle w:val="Compact"/>
              <w:jc w:val="left"/>
            </w:pPr>
            <w:r>
              <w:t xml:space="preserve">PR Auto-Merge</w:t>
            </w:r>
          </w:p>
        </w:tc>
        <w:tc>
          <w:tcPr/>
          <w:p>
            <w:pPr>
              <w:pStyle w:val="Compact"/>
              <w:jc w:val="left"/>
            </w:pPr>
            <w:r>
              <w:t xml:space="preserve">Merges when all checks pass and AI approves</w:t>
            </w:r>
          </w:p>
        </w:tc>
        <w:tc>
          <w:tcPr/>
          <w:p>
            <w:pPr>
              <w:pStyle w:val="Compact"/>
              <w:jc w:val="left"/>
            </w:pPr>
            <w:r>
              <w:t xml:space="preserve">GitHub Actions + GraphQL</w:t>
            </w:r>
          </w:p>
        </w:tc>
      </w:tr>
    </w:tbl>
    <w:bookmarkEnd w:id="224"/>
    <w:bookmarkStart w:id="225" w:name="design-decisions"/>
    <w:p>
      <w:pPr>
        <w:pStyle w:val="Heading3"/>
      </w:pPr>
      <w:r>
        <w:t xml:space="preserve">Design Decisions</w:t>
      </w:r>
    </w:p>
    <w:p>
      <w:pPr>
        <w:numPr>
          <w:ilvl w:val="0"/>
          <w:numId w:val="1074"/>
        </w:numPr>
        <w:pStyle w:val="Compact"/>
      </w:pPr>
      <w:r>
        <w:rPr>
          <w:bCs/>
          <w:b/>
        </w:rPr>
        <w:t xml:space="preserve">Gemini defaults to REQUEST_CHANGES</w:t>
      </w:r>
      <w:r>
        <w:t xml:space="preserve"> </w:t>
      </w:r>
      <w:r>
        <w:t xml:space="preserve">— ensures every PR goes through at least one improvement cycle, even when the original implementation appears correct</w:t>
      </w:r>
    </w:p>
    <w:p>
      <w:pPr>
        <w:numPr>
          <w:ilvl w:val="0"/>
          <w:numId w:val="1074"/>
        </w:numPr>
        <w:pStyle w:val="Compact"/>
      </w:pPr>
      <w:r>
        <w:rPr>
          <w:bCs/>
          <w:b/>
        </w:rPr>
        <w:t xml:space="preserve">Dual-model review</w:t>
      </w:r>
      <w:r>
        <w:t xml:space="preserve"> </w:t>
      </w:r>
      <w:r>
        <w:t xml:space="preserve">— two different AI models catch different classes of issues (structural vs. security vs. convention)</w:t>
      </w:r>
    </w:p>
    <w:p>
      <w:pPr>
        <w:numPr>
          <w:ilvl w:val="0"/>
          <w:numId w:val="1074"/>
        </w:numPr>
        <w:pStyle w:val="Compact"/>
      </w:pPr>
      <w:r>
        <w:rPr>
          <w:bCs/>
          <w:b/>
        </w:rPr>
        <w:t xml:space="preserve">Automated fix loop</w:t>
      </w:r>
      <w:r>
        <w:t xml:space="preserve"> </w:t>
      </w:r>
      <w:r>
        <w:t xml:space="preserve">— structured fix instructions sent to</w:t>
      </w:r>
      <w:r>
        <w:t xml:space="preserve"> </w:t>
      </w:r>
      <w:r>
        <w:t xml:space="preserve">@copilot</w:t>
      </w:r>
      <w:r>
        <w:t xml:space="preserve">, which implements fixes and re-triggers review, reducing developer involvement to final skim (~5 min per PR)</w:t>
      </w:r>
    </w:p>
    <w:p>
      <w:pPr>
        <w:numPr>
          <w:ilvl w:val="0"/>
          <w:numId w:val="1074"/>
        </w:numPr>
        <w:pStyle w:val="Compact"/>
      </w:pPr>
      <w:r>
        <w:rPr>
          <w:bCs/>
          <w:b/>
        </w:rPr>
        <w:t xml:space="preserve">Human overrides</w:t>
      </w:r>
      <w:r>
        <w:t xml:space="preserve"> </w:t>
      </w:r>
      <w:r>
        <w:t xml:space="preserve">—</w:t>
      </w:r>
      <w:r>
        <w:t xml:space="preserve"> </w:t>
      </w:r>
      <w:r>
        <w:rPr>
          <w:rStyle w:val="VerbatimChar"/>
        </w:rPr>
        <w:t xml:space="preserve">do-not-merge</w:t>
      </w:r>
      <w:r>
        <w:t xml:space="preserve"> </w:t>
      </w:r>
      <w:r>
        <w:t xml:space="preserve">and</w:t>
      </w:r>
      <w:r>
        <w:t xml:space="preserve"> </w:t>
      </w:r>
      <w:r>
        <w:rPr>
          <w:rStyle w:val="VerbatimChar"/>
        </w:rPr>
        <w:t xml:space="preserve">needs-human-review</w:t>
      </w:r>
      <w:r>
        <w:t xml:space="preserve"> </w:t>
      </w:r>
      <w:r>
        <w:t xml:space="preserve">labels pause automation for manual review when needed</w:t>
      </w:r>
    </w:p>
    <w:bookmarkEnd w:id="225"/>
    <w:bookmarkStart w:id="226" w:name="relevance-to-thesis"/>
    <w:p>
      <w:pPr>
        <w:pStyle w:val="Heading3"/>
      </w:pPr>
      <w:r>
        <w:t xml:space="preserve">Relevance to Thesis</w:t>
      </w:r>
    </w:p>
    <w:p>
      <w:pPr>
        <w:pStyle w:val="FirstParagraph"/>
      </w:pPr>
      <w:r>
        <w:t xml:space="preserve">This workflow demonstrates the Solution Factory model (Section 5) operating at full automation: a single developer with AI agents produces enterprise-quality code at scale. The HIL learning pipeline (Section 6.7) feeds review insights back into agent training, creating a continuous improvement loop that aligns with EU AI Act Article 12 auditability requirements.</w:t>
      </w:r>
    </w:p>
    <w:bookmarkEnd w:id="226"/>
    <w:bookmarkStart w:id="227" w:name="deployment"/>
    <w:p>
      <w:pPr>
        <w:pStyle w:val="Heading3"/>
      </w:pPr>
      <w:r>
        <w:t xml:space="preserve">Deployment</w:t>
      </w:r>
    </w:p>
    <w:p>
      <w:pPr>
        <w:pStyle w:val="FirstParagraph"/>
      </w:pPr>
      <w:r>
        <w:t xml:space="preserve">Cloud Run service</w:t>
      </w:r>
      <w:r>
        <w:t xml:space="preserve"> </w:t>
      </w:r>
      <w:r>
        <w:rPr>
          <w:rStyle w:val="VerbatimChar"/>
        </w:rPr>
        <w:t xml:space="preserve">dws6run6</w:t>
      </w:r>
      <w:r>
        <w:t xml:space="preserve"> </w:t>
      </w:r>
      <w:r>
        <w:t xml:space="preserve">(europe-north1, Finland). MCP Hub exposes</w:t>
      </w:r>
      <w:r>
        <w:t xml:space="preserve"> </w:t>
      </w:r>
      <w:r>
        <w:rPr>
          <w:rStyle w:val="VerbatimChar"/>
        </w:rPr>
        <w:t xml:space="preserve">POST /gemini/review</w:t>
      </w:r>
      <w:r>
        <w:t xml:space="preserve"> </w:t>
      </w:r>
      <w:r>
        <w:t xml:space="preserve">for on-demand security analysis by any agent in the Firehorse fleet.</w:t>
      </w:r>
    </w:p>
    <w:p>
      <w:r>
        <w:pict>
          <v:rect style="width:0;height:1.5pt" o:hralign="center" o:hrstd="t" o:hr="t"/>
        </w:pict>
      </w:r>
    </w:p>
    <w:bookmarkEnd w:id="227"/>
    <w:bookmarkEnd w:id="228"/>
    <w:bookmarkStart w:id="235" w:name="X514ab14827699fe98a4a3ff155ec008c448dd87"/>
    <w:p>
      <w:pPr>
        <w:pStyle w:val="Heading2"/>
      </w:pPr>
      <w:r>
        <w:t xml:space="preserve">10.13 Climate IQ Pantheon — Greek/Roman God Multi-Agent System</w:t>
      </w:r>
    </w:p>
    <w:p>
      <w:pPr>
        <w:pStyle w:val="FirstParagraph"/>
      </w:pPr>
      <w:r>
        <w:t xml:space="preserve">Building on the DWS7 agent modernization framework (Section 10.9) and CEO Automation Agent Suite (Section 10.11), this section documents the</w:t>
      </w:r>
      <w:r>
        <w:t xml:space="preserve"> </w:t>
      </w:r>
      <w:r>
        <w:rPr>
          <w:bCs/>
          <w:b/>
        </w:rPr>
        <w:t xml:space="preserve">Climate IQ Pantheon</w:t>
      </w:r>
      <w:r>
        <w:t xml:space="preserve">: a production multi-agent system where each AI agent carries the identity and domain expertise of a Greek or Roman deity.</w:t>
      </w:r>
    </w:p>
    <w:bookmarkStart w:id="229" w:name="X4c750e880876313ef862c7f4ad4abe62b45b0b3"/>
    <w:p>
      <w:pPr>
        <w:pStyle w:val="Heading3"/>
      </w:pPr>
      <w:r>
        <w:t xml:space="preserve">Motivation: Agent Identity as Operational Design</w:t>
      </w:r>
    </w:p>
    <w:p>
      <w:pPr>
        <w:pStyle w:val="FirstParagraph"/>
      </w:pPr>
      <w:r>
        <w:t xml:space="preserve">Prior to this work, DWS IQ agents were functionally specialized (compliance, logistics, SEO) but lacked a coherent identity framework. The</w:t>
      </w:r>
      <w:r>
        <w:t xml:space="preserve"> </w:t>
      </w:r>
      <w:r>
        <w:rPr>
          <w:bCs/>
          <w:b/>
        </w:rPr>
        <w:t xml:space="preserve">SOUL.md pattern</w:t>
      </w:r>
      <w:r>
        <w:t xml:space="preserve"> </w:t>
      </w:r>
      <w:r>
        <w:t xml:space="preserve">addresses this: each agent has a Markdown identity file defining persona, behavioral rules, and tone. This SOUL is injected as the LLM system prompt at runtime, making identity persistent and testable.</w:t>
      </w:r>
    </w:p>
    <w:p>
      <w:pPr>
        <w:pStyle w:val="BodyText"/>
      </w:pPr>
      <w:r>
        <w:t xml:space="preserve">The Greek/Roman pantheon provides two complementary benefits:</w:t>
      </w:r>
    </w:p>
    <w:p>
      <w:pPr>
        <w:numPr>
          <w:ilvl w:val="0"/>
          <w:numId w:val="1075"/>
        </w:numPr>
        <w:pStyle w:val="Compact"/>
      </w:pPr>
      <w:r>
        <w:rPr>
          <w:bCs/>
          <w:b/>
        </w:rPr>
        <w:t xml:space="preserve">Memorability</w:t>
      </w:r>
      <w:r>
        <w:t xml:space="preserve"> </w:t>
      </w:r>
      <w:r>
        <w:t xml:space="preserve">— stakeholders immediately understand</w:t>
      </w:r>
      <w:r>
        <w:t xml:space="preserve"> </w:t>
      </w:r>
      <w:r>
        <w:t xml:space="preserve">“</w:t>
      </w:r>
      <w:r>
        <w:t xml:space="preserve">ask Athena</w:t>
      </w:r>
      <w:r>
        <w:t xml:space="preserve">”</w:t>
      </w:r>
      <w:r>
        <w:t xml:space="preserve"> </w:t>
      </w:r>
      <w:r>
        <w:t xml:space="preserve">vs</w:t>
      </w:r>
      <w:r>
        <w:t xml:space="preserve"> </w:t>
      </w:r>
      <w:r>
        <w:t xml:space="preserve">“</w:t>
      </w:r>
      <w:r>
        <w:t xml:space="preserve">ask Hermes</w:t>
      </w:r>
      <w:r>
        <w:t xml:space="preserve">”</w:t>
      </w:r>
    </w:p>
    <w:p>
      <w:pPr>
        <w:numPr>
          <w:ilvl w:val="0"/>
          <w:numId w:val="1075"/>
        </w:numPr>
        <w:pStyle w:val="Compact"/>
      </w:pPr>
      <w:r>
        <w:rPr>
          <w:bCs/>
          <w:b/>
        </w:rPr>
        <w:t xml:space="preserve">Behavioral precision</w:t>
      </w:r>
      <w:r>
        <w:t xml:space="preserve"> </w:t>
      </w:r>
      <w:r>
        <w:t xml:space="preserve">— mythological roles encode domain expertise (Athena = wisdom/law, Hermes = speed/routes, Hephaestus = craft/construction)</w:t>
      </w:r>
    </w:p>
    <w:bookmarkEnd w:id="229"/>
    <w:bookmarkStart w:id="230" w:name="X7765bed16a9fd2acb05ddf48e0385e54374d493"/>
    <w:p>
      <w:pPr>
        <w:pStyle w:val="Heading3"/>
      </w:pPr>
      <w:r>
        <w:t xml:space="preserve">Architecture: Six Orchestrators + Seven Industry Specialists</w:t>
      </w:r>
    </w:p>
    <w:p>
      <w:pPr>
        <w:pStyle w:val="FirstParagraph"/>
      </w:pPr>
      <w:r>
        <w:rPr>
          <w:bCs/>
          <w:b/>
        </w:rPr>
        <w:t xml:space="preserve">Tier 1 — Climate IQ Pantheon (Orchestrators)</w:t>
      </w:r>
    </w:p>
    <w:tbl>
      <w:tblPr>
        <w:tblStyle w:val="Table"/>
        <w:tblW w:type="pct" w:w="5000"/>
        <w:tblLook w:firstRow="1" w:lastRow="0" w:firstColumn="0" w:lastColumn="0" w:noHBand="0" w:noVBand="0" w:val="0020"/>
        <w:jc w:val="start"/>
      </w:tblPr>
      <w:tblGrid>
        <w:gridCol w:w="942"/>
        <w:gridCol w:w="1414"/>
        <w:gridCol w:w="1697"/>
        <w:gridCol w:w="3865"/>
      </w:tblGrid>
      <w:tr>
        <w:trPr>
          <w:tblHeader w:val="true"/>
        </w:trPr>
        <w:tc>
          <w:tcPr/>
          <w:p>
            <w:pPr>
              <w:pStyle w:val="Compact"/>
              <w:jc w:val="left"/>
            </w:pPr>
            <w:r>
              <w:t xml:space="preserve">Agent</w:t>
            </w:r>
          </w:p>
        </w:tc>
        <w:tc>
          <w:tcPr/>
          <w:p>
            <w:pPr>
              <w:pStyle w:val="Compact"/>
              <w:jc w:val="left"/>
            </w:pPr>
            <w:r>
              <w:t xml:space="preserve">Deity</w:t>
            </w:r>
          </w:p>
        </w:tc>
        <w:tc>
          <w:tcPr/>
          <w:p>
            <w:pPr>
              <w:pStyle w:val="Compact"/>
              <w:jc w:val="left"/>
            </w:pPr>
            <w:r>
              <w:t xml:space="preserve">Domain</w:t>
            </w:r>
          </w:p>
        </w:tc>
        <w:tc>
          <w:tcPr/>
          <w:p>
            <w:pPr>
              <w:pStyle w:val="Compact"/>
              <w:jc w:val="left"/>
            </w:pPr>
            <w:r>
              <w:t xml:space="preserve">Capabilities</w:t>
            </w:r>
          </w:p>
        </w:tc>
      </w:tr>
      <w:tr>
        <w:tc>
          <w:tcPr/>
          <w:p>
            <w:pPr>
              <w:pStyle w:val="Compact"/>
              <w:jc w:val="left"/>
            </w:pPr>
            <w:r>
              <w:t xml:space="preserve">Atlas</w:t>
            </w:r>
          </w:p>
        </w:tc>
        <w:tc>
          <w:tcPr/>
          <w:p>
            <w:pPr>
              <w:pStyle w:val="Compact"/>
              <w:jc w:val="left"/>
            </w:pPr>
            <w:r>
              <w:t xml:space="preserve">Titan (Greek)</w:t>
            </w:r>
          </w:p>
        </w:tc>
        <w:tc>
          <w:tcPr/>
          <w:p>
            <w:pPr>
              <w:pStyle w:val="Compact"/>
              <w:jc w:val="left"/>
            </w:pPr>
            <w:r>
              <w:t xml:space="preserve">Chief of Staff</w:t>
            </w:r>
          </w:p>
        </w:tc>
        <w:tc>
          <w:tcPr/>
          <w:p>
            <w:pPr>
              <w:pStyle w:val="Compact"/>
              <w:jc w:val="left"/>
            </w:pPr>
            <w:r>
              <w:t xml:space="preserve">Routing, synthesis, executive briefing</w:t>
            </w:r>
          </w:p>
        </w:tc>
      </w:tr>
      <w:tr>
        <w:tc>
          <w:tcPr/>
          <w:p>
            <w:pPr>
              <w:pStyle w:val="Compact"/>
              <w:jc w:val="left"/>
            </w:pPr>
            <w:r>
              <w:t xml:space="preserve">Athena</w:t>
            </w:r>
          </w:p>
        </w:tc>
        <w:tc>
          <w:tcPr/>
          <w:p>
            <w:pPr>
              <w:pStyle w:val="Compact"/>
              <w:jc w:val="left"/>
            </w:pPr>
            <w:r>
              <w:t xml:space="preserve">Goddess (Greek)</w:t>
            </w:r>
          </w:p>
        </w:tc>
        <w:tc>
          <w:tcPr/>
          <w:p>
            <w:pPr>
              <w:pStyle w:val="Compact"/>
              <w:jc w:val="left"/>
            </w:pPr>
            <w:r>
              <w:t xml:space="preserve">EU Compliance</w:t>
            </w:r>
          </w:p>
        </w:tc>
        <w:tc>
          <w:tcPr/>
          <w:p>
            <w:pPr>
              <w:pStyle w:val="Compact"/>
              <w:jc w:val="left"/>
            </w:pPr>
            <w:r>
              <w:t xml:space="preserve">ETS, CBAM, CSRD, Fit for 55</w:t>
            </w:r>
          </w:p>
        </w:tc>
      </w:tr>
      <w:tr>
        <w:tc>
          <w:tcPr/>
          <w:p>
            <w:pPr>
              <w:pStyle w:val="Compact"/>
              <w:jc w:val="left"/>
            </w:pPr>
            <w:r>
              <w:t xml:space="preserve">Hephaestus</w:t>
            </w:r>
          </w:p>
        </w:tc>
        <w:tc>
          <w:tcPr/>
          <w:p>
            <w:pPr>
              <w:pStyle w:val="Compact"/>
              <w:jc w:val="left"/>
            </w:pPr>
            <w:r>
              <w:t xml:space="preserve">God (Greek)</w:t>
            </w:r>
          </w:p>
        </w:tc>
        <w:tc>
          <w:tcPr/>
          <w:p>
            <w:pPr>
              <w:pStyle w:val="Compact"/>
              <w:jc w:val="left"/>
            </w:pPr>
            <w:r>
              <w:t xml:space="preserve">Field &amp; Site</w:t>
            </w:r>
          </w:p>
        </w:tc>
        <w:tc>
          <w:tcPr/>
          <w:p>
            <w:pPr>
              <w:pStyle w:val="Compact"/>
              <w:jc w:val="left"/>
            </w:pPr>
            <w:r>
              <w:t xml:space="preserve">Site safety, materials, scheduling</w:t>
            </w:r>
          </w:p>
        </w:tc>
      </w:tr>
      <w:tr>
        <w:tc>
          <w:tcPr/>
          <w:p>
            <w:pPr>
              <w:pStyle w:val="Compact"/>
              <w:jc w:val="left"/>
            </w:pPr>
            <w:r>
              <w:t xml:space="preserve">Iris</w:t>
            </w:r>
          </w:p>
        </w:tc>
        <w:tc>
          <w:tcPr/>
          <w:p>
            <w:pPr>
              <w:pStyle w:val="Compact"/>
              <w:jc w:val="left"/>
            </w:pPr>
            <w:r>
              <w:t xml:space="preserve">Goddess (Greek)</w:t>
            </w:r>
          </w:p>
        </w:tc>
        <w:tc>
          <w:tcPr/>
          <w:p>
            <w:pPr>
              <w:pStyle w:val="Compact"/>
              <w:jc w:val="left"/>
            </w:pPr>
            <w:r>
              <w:t xml:space="preserve">Research &amp; Intel</w:t>
            </w:r>
          </w:p>
        </w:tc>
        <w:tc>
          <w:tcPr/>
          <w:p>
            <w:pPr>
              <w:pStyle w:val="Compact"/>
              <w:jc w:val="left"/>
            </w:pPr>
            <w:r>
              <w:t xml:space="preserve">Competitive intelligence, market research</w:t>
            </w:r>
          </w:p>
        </w:tc>
      </w:tr>
      <w:tr>
        <w:tc>
          <w:tcPr/>
          <w:p>
            <w:pPr>
              <w:pStyle w:val="Compact"/>
              <w:jc w:val="left"/>
            </w:pPr>
            <w:r>
              <w:t xml:space="preserve">Hermes</w:t>
            </w:r>
          </w:p>
        </w:tc>
        <w:tc>
          <w:tcPr/>
          <w:p>
            <w:pPr>
              <w:pStyle w:val="Compact"/>
              <w:jc w:val="left"/>
            </w:pPr>
            <w:r>
              <w:t xml:space="preserve">God (Greek)</w:t>
            </w:r>
          </w:p>
        </w:tc>
        <w:tc>
          <w:tcPr/>
          <w:p>
            <w:pPr>
              <w:pStyle w:val="Compact"/>
              <w:jc w:val="left"/>
            </w:pPr>
            <w:r>
              <w:t xml:space="preserve">Logistics &amp; Ops</w:t>
            </w:r>
          </w:p>
        </w:tc>
        <w:tc>
          <w:tcPr/>
          <w:p>
            <w:pPr>
              <w:pStyle w:val="Compact"/>
              <w:jc w:val="left"/>
            </w:pPr>
            <w:r>
              <w:t xml:space="preserve">Supply chain, critical path, quality gate</w:t>
            </w:r>
          </w:p>
        </w:tc>
      </w:tr>
      <w:tr>
        <w:tc>
          <w:tcPr/>
          <w:p>
            <w:pPr>
              <w:pStyle w:val="Compact"/>
              <w:jc w:val="left"/>
            </w:pPr>
            <w:r>
              <w:t xml:space="preserve">Apollo</w:t>
            </w:r>
          </w:p>
        </w:tc>
        <w:tc>
          <w:tcPr/>
          <w:p>
            <w:pPr>
              <w:pStyle w:val="Compact"/>
              <w:jc w:val="left"/>
            </w:pPr>
            <w:r>
              <w:t xml:space="preserve">God (Greek)</w:t>
            </w:r>
          </w:p>
        </w:tc>
        <w:tc>
          <w:tcPr/>
          <w:p>
            <w:pPr>
              <w:pStyle w:val="Compact"/>
              <w:jc w:val="left"/>
            </w:pPr>
            <w:r>
              <w:t xml:space="preserve">Content &amp; Outreach</w:t>
            </w:r>
          </w:p>
        </w:tc>
        <w:tc>
          <w:tcPr/>
          <w:p>
            <w:pPr>
              <w:pStyle w:val="Compact"/>
              <w:jc w:val="left"/>
            </w:pPr>
            <w:r>
              <w:t xml:space="preserve">SEO, content strategy, sales outreach</w:t>
            </w:r>
          </w:p>
        </w:tc>
      </w:tr>
    </w:tbl>
    <w:p>
      <w:pPr>
        <w:pStyle w:val="BodyText"/>
      </w:pPr>
      <w:r>
        <w:rPr>
          <w:bCs/>
          <w:b/>
        </w:rPr>
        <w:t xml:space="preserve">Tier 2 — Industry Specialists</w:t>
      </w:r>
    </w:p>
    <w:tbl>
      <w:tblPr>
        <w:tblStyle w:val="Table"/>
        <w:tblW w:type="pct" w:w="5000"/>
        <w:tblLook w:firstRow="1" w:lastRow="0" w:firstColumn="0" w:lastColumn="0" w:noHBand="0" w:noVBand="0" w:val="0020"/>
        <w:jc w:val="start"/>
      </w:tblPr>
      <w:tblGrid>
        <w:gridCol w:w="1115"/>
        <w:gridCol w:w="557"/>
        <w:gridCol w:w="2788"/>
        <w:gridCol w:w="3458"/>
      </w:tblGrid>
      <w:tr>
        <w:trPr>
          <w:tblHeader w:val="true"/>
        </w:trPr>
        <w:tc>
          <w:tcPr/>
          <w:p>
            <w:pPr>
              <w:pStyle w:val="Compact"/>
              <w:jc w:val="left"/>
            </w:pPr>
            <w:r>
              <w:t xml:space="preserve">Agent</w:t>
            </w:r>
          </w:p>
        </w:tc>
        <w:tc>
          <w:tcPr/>
          <w:p>
            <w:pPr>
              <w:pStyle w:val="Compact"/>
              <w:jc w:val="left"/>
            </w:pPr>
            <w:r>
              <w:t xml:space="preserve">Deity</w:t>
            </w:r>
          </w:p>
        </w:tc>
        <w:tc>
          <w:tcPr/>
          <w:p>
            <w:pPr>
              <w:pStyle w:val="Compact"/>
              <w:jc w:val="left"/>
            </w:pPr>
            <w:r>
              <w:t xml:space="preserve">Industry</w:t>
            </w:r>
          </w:p>
        </w:tc>
        <w:tc>
          <w:tcPr/>
          <w:p>
            <w:pPr>
              <w:pStyle w:val="Compact"/>
              <w:jc w:val="left"/>
            </w:pPr>
            <w:r>
              <w:t xml:space="preserve">Key Regulation</w:t>
            </w:r>
          </w:p>
        </w:tc>
      </w:tr>
      <w:tr>
        <w:tc>
          <w:tcPr/>
          <w:p>
            <w:pPr>
              <w:pStyle w:val="Compact"/>
              <w:jc w:val="left"/>
            </w:pPr>
            <w:r>
              <w:t xml:space="preserve">Vulcan</w:t>
            </w:r>
          </w:p>
        </w:tc>
        <w:tc>
          <w:tcPr/>
          <w:p>
            <w:pPr>
              <w:pStyle w:val="Compact"/>
              <w:jc w:val="left"/>
            </w:pPr>
            <w:r>
              <w:t xml:space="preserve">Roman</w:t>
            </w:r>
          </w:p>
        </w:tc>
        <w:tc>
          <w:tcPr/>
          <w:p>
            <w:pPr>
              <w:pStyle w:val="Compact"/>
              <w:jc w:val="left"/>
            </w:pPr>
            <w:r>
              <w:t xml:space="preserve">Steel &amp; Metals</w:t>
            </w:r>
          </w:p>
        </w:tc>
        <w:tc>
          <w:tcPr/>
          <w:p>
            <w:pPr>
              <w:pStyle w:val="Compact"/>
              <w:jc w:val="left"/>
            </w:pPr>
            <w:r>
              <w:t xml:space="preserve">ETS Phase 4, CBAM iron/steel</w:t>
            </w:r>
          </w:p>
        </w:tc>
      </w:tr>
      <w:tr>
        <w:tc>
          <w:tcPr/>
          <w:p>
            <w:pPr>
              <w:pStyle w:val="Compact"/>
              <w:jc w:val="left"/>
            </w:pPr>
            <w:r>
              <w:t xml:space="preserve">Helios</w:t>
            </w:r>
          </w:p>
        </w:tc>
        <w:tc>
          <w:tcPr/>
          <w:p>
            <w:pPr>
              <w:pStyle w:val="Compact"/>
              <w:jc w:val="left"/>
            </w:pPr>
            <w:r>
              <w:t xml:space="preserve">Greek</w:t>
            </w:r>
          </w:p>
        </w:tc>
        <w:tc>
          <w:tcPr/>
          <w:p>
            <w:pPr>
              <w:pStyle w:val="Compact"/>
              <w:jc w:val="left"/>
            </w:pPr>
            <w:r>
              <w:t xml:space="preserve">Energy &amp; Renewables</w:t>
            </w:r>
          </w:p>
        </w:tc>
        <w:tc>
          <w:tcPr/>
          <w:p>
            <w:pPr>
              <w:pStyle w:val="Compact"/>
              <w:jc w:val="left"/>
            </w:pPr>
            <w:r>
              <w:t xml:space="preserve">RED III, 42.5% target by 2030</w:t>
            </w:r>
          </w:p>
        </w:tc>
      </w:tr>
      <w:tr>
        <w:tc>
          <w:tcPr/>
          <w:p>
            <w:pPr>
              <w:pStyle w:val="Compact"/>
              <w:jc w:val="left"/>
            </w:pPr>
            <w:r>
              <w:t xml:space="preserve">Neptune</w:t>
            </w:r>
          </w:p>
        </w:tc>
        <w:tc>
          <w:tcPr/>
          <w:p>
            <w:pPr>
              <w:pStyle w:val="Compact"/>
              <w:jc w:val="left"/>
            </w:pPr>
            <w:r>
              <w:t xml:space="preserve">Roman</w:t>
            </w:r>
          </w:p>
        </w:tc>
        <w:tc>
          <w:tcPr/>
          <w:p>
            <w:pPr>
              <w:pStyle w:val="Compact"/>
              <w:jc w:val="left"/>
            </w:pPr>
            <w:r>
              <w:t xml:space="preserve">Maritime &amp; Shipping</w:t>
            </w:r>
          </w:p>
        </w:tc>
        <w:tc>
          <w:tcPr/>
          <w:p>
            <w:pPr>
              <w:pStyle w:val="Compact"/>
              <w:jc w:val="left"/>
            </w:pPr>
            <w:r>
              <w:t xml:space="preserve">FuelEU Maritime, ETS 40/70/100%</w:t>
            </w:r>
          </w:p>
        </w:tc>
      </w:tr>
      <w:tr>
        <w:tc>
          <w:tcPr/>
          <w:p>
            <w:pPr>
              <w:pStyle w:val="Compact"/>
              <w:jc w:val="left"/>
            </w:pPr>
            <w:r>
              <w:t xml:space="preserve">Ceres</w:t>
            </w:r>
          </w:p>
        </w:tc>
        <w:tc>
          <w:tcPr/>
          <w:p>
            <w:pPr>
              <w:pStyle w:val="Compact"/>
              <w:jc w:val="left"/>
            </w:pPr>
            <w:r>
              <w:t xml:space="preserve">Roman</w:t>
            </w:r>
          </w:p>
        </w:tc>
        <w:tc>
          <w:tcPr/>
          <w:p>
            <w:pPr>
              <w:pStyle w:val="Compact"/>
              <w:jc w:val="left"/>
            </w:pPr>
            <w:r>
              <w:t xml:space="preserve">Agriculture &amp; Fertilizers</w:t>
            </w:r>
          </w:p>
        </w:tc>
        <w:tc>
          <w:tcPr/>
          <w:p>
            <w:pPr>
              <w:pStyle w:val="Compact"/>
              <w:jc w:val="left"/>
            </w:pPr>
            <w:r>
              <w:t xml:space="preserve">CBAM fertilizers, N2O emissions</w:t>
            </w:r>
          </w:p>
        </w:tc>
      </w:tr>
      <w:tr>
        <w:tc>
          <w:tcPr/>
          <w:p>
            <w:pPr>
              <w:pStyle w:val="Compact"/>
              <w:jc w:val="left"/>
            </w:pPr>
            <w:r>
              <w:t xml:space="preserve">Prometheus</w:t>
            </w:r>
          </w:p>
        </w:tc>
        <w:tc>
          <w:tcPr/>
          <w:p>
            <w:pPr>
              <w:pStyle w:val="Compact"/>
              <w:jc w:val="left"/>
            </w:pPr>
            <w:r>
              <w:t xml:space="preserve">Greek</w:t>
            </w:r>
          </w:p>
        </w:tc>
        <w:tc>
          <w:tcPr/>
          <w:p>
            <w:pPr>
              <w:pStyle w:val="Compact"/>
              <w:jc w:val="left"/>
            </w:pPr>
            <w:r>
              <w:t xml:space="preserve">Hydrogen</w:t>
            </w:r>
          </w:p>
        </w:tc>
        <w:tc>
          <w:tcPr/>
          <w:p>
            <w:pPr>
              <w:pStyle w:val="Compact"/>
              <w:jc w:val="left"/>
            </w:pPr>
            <w:r>
              <w:t xml:space="preserve">RFNBO additionality, RED III</w:t>
            </w:r>
          </w:p>
        </w:tc>
      </w:tr>
      <w:tr>
        <w:tc>
          <w:tcPr/>
          <w:p>
            <w:pPr>
              <w:pStyle w:val="Compact"/>
              <w:jc w:val="left"/>
            </w:pPr>
            <w:r>
              <w:t xml:space="preserve">Mars</w:t>
            </w:r>
          </w:p>
        </w:tc>
        <w:tc>
          <w:tcPr/>
          <w:p>
            <w:pPr>
              <w:pStyle w:val="Compact"/>
              <w:jc w:val="left"/>
            </w:pPr>
            <w:r>
              <w:t xml:space="preserve">Roman</w:t>
            </w:r>
          </w:p>
        </w:tc>
        <w:tc>
          <w:tcPr/>
          <w:p>
            <w:pPr>
              <w:pStyle w:val="Compact"/>
              <w:jc w:val="left"/>
            </w:pPr>
            <w:r>
              <w:t xml:space="preserve">Construction &amp; Buildings</w:t>
            </w:r>
          </w:p>
        </w:tc>
        <w:tc>
          <w:tcPr/>
          <w:p>
            <w:pPr>
              <w:pStyle w:val="Compact"/>
              <w:jc w:val="left"/>
            </w:pPr>
            <w:r>
              <w:t xml:space="preserve">EPBD recast, EN 15978</w:t>
            </w:r>
          </w:p>
        </w:tc>
      </w:tr>
      <w:tr>
        <w:tc>
          <w:tcPr/>
          <w:p>
            <w:pPr>
              <w:pStyle w:val="Compact"/>
              <w:jc w:val="left"/>
            </w:pPr>
            <w:r>
              <w:t xml:space="preserve">Gaia</w:t>
            </w:r>
          </w:p>
        </w:tc>
        <w:tc>
          <w:tcPr/>
          <w:p>
            <w:pPr>
              <w:pStyle w:val="Compact"/>
              <w:jc w:val="left"/>
            </w:pPr>
            <w:r>
              <w:t xml:space="preserve">Greek</w:t>
            </w:r>
          </w:p>
        </w:tc>
        <w:tc>
          <w:tcPr/>
          <w:p>
            <w:pPr>
              <w:pStyle w:val="Compact"/>
              <w:jc w:val="left"/>
            </w:pPr>
            <w:r>
              <w:t xml:space="preserve">Cement &amp; Earth Materials</w:t>
            </w:r>
          </w:p>
        </w:tc>
        <w:tc>
          <w:tcPr/>
          <w:p>
            <w:pPr>
              <w:pStyle w:val="Compact"/>
              <w:jc w:val="left"/>
            </w:pPr>
            <w:r>
              <w:t xml:space="preserve">CBAM clinker benchmark, ETS</w:t>
            </w:r>
          </w:p>
        </w:tc>
      </w:tr>
    </w:tbl>
    <w:bookmarkEnd w:id="230"/>
    <w:bookmarkStart w:id="231" w:name="X5d51ac56578142084380cb61d7cd2dfbb022314"/>
    <w:p>
      <w:pPr>
        <w:pStyle w:val="Heading3"/>
      </w:pPr>
      <w:r>
        <w:t xml:space="preserve">Implementation: SOUL.md + BaseAgent Architecture</w:t>
      </w:r>
    </w:p>
    <w:p>
      <w:pPr>
        <w:pStyle w:val="FirstParagraph"/>
      </w:pPr>
      <w:r>
        <w:t xml:space="preserve">Each Pantheon agent follows the file structure established in Section 10.9:</w:t>
      </w:r>
    </w:p>
    <w:p>
      <w:pPr>
        <w:pStyle w:val="SourceCode"/>
      </w:pPr>
      <w:r>
        <w:rPr>
          <w:rStyle w:val="VerbatimChar"/>
        </w:rPr>
        <w:t xml:space="preserve">src/agents/workflow/{agent}/</w:t>
      </w:r>
      <w:r>
        <w:br/>
      </w:r>
      <w:r>
        <w:rPr>
          <w:rStyle w:val="VerbatimChar"/>
        </w:rPr>
        <w:t xml:space="preserve">├── SOUL.md          # Identity: persona, tone, behavioral rules</w:t>
      </w:r>
      <w:r>
        <w:br/>
      </w:r>
      <w:r>
        <w:rPr>
          <w:rStyle w:val="VerbatimChar"/>
        </w:rPr>
        <w:t xml:space="preserve">└── {agent}.agent.ts # TypeScript: execute(), callLLM(), logExecution()</w:t>
      </w:r>
    </w:p>
    <w:p>
      <w:pPr>
        <w:pStyle w:val="FirstParagraph"/>
      </w:pPr>
      <w:r>
        <w:t xml:space="preserve">A critical audit finding (resolved this session) was that SOUL constants were defined but never wired into the LLM system prompt. The fix adds</w:t>
      </w:r>
      <w:r>
        <w:t xml:space="preserve"> </w:t>
      </w:r>
      <w:r>
        <w:rPr>
          <w:rStyle w:val="VerbatimChar"/>
        </w:rPr>
        <w:t xml:space="preserve">soulPrompt</w:t>
      </w:r>
      <w:r>
        <w:t xml:space="preserve"> </w:t>
      </w:r>
      <w:r>
        <w:t xml:space="preserve">property and</w:t>
      </w:r>
      <w:r>
        <w:t xml:space="preserve"> </w:t>
      </w:r>
      <w:r>
        <w:rPr>
          <w:rStyle w:val="VerbatimChar"/>
        </w:rPr>
        <w:t xml:space="preserve">systemPromptOverride</w:t>
      </w:r>
      <w:r>
        <w:t xml:space="preserve"> </w:t>
      </w:r>
      <w:r>
        <w:t xml:space="preserve">parameter to</w:t>
      </w:r>
      <w:r>
        <w:t xml:space="preserve"> </w:t>
      </w:r>
      <w:r>
        <w:rPr>
          <w:rStyle w:val="VerbatimChar"/>
        </w:rPr>
        <w:t xml:space="preserve">BaseAgent.callLLM()</w:t>
      </w:r>
      <w:r>
        <w:t xml:space="preserve">:</w:t>
      </w:r>
    </w:p>
    <w:p>
      <w:pPr>
        <w:pStyle w:val="SourceCode"/>
      </w:pPr>
      <w:r>
        <w:rPr>
          <w:rStyle w:val="CommentTok"/>
        </w:rPr>
        <w:t xml:space="preserve">// Priority: explicit override &gt; soulPrompt &gt; generic fallback</w:t>
      </w:r>
      <w:r>
        <w:br/>
      </w:r>
      <w:r>
        <w:rPr>
          <w:rStyle w:val="KeywordTok"/>
        </w:rPr>
        <w:t xml:space="preserve">const</w:t>
      </w:r>
      <w:r>
        <w:rPr>
          <w:rStyle w:val="NormalTok"/>
        </w:rPr>
        <w:t xml:space="preserve"> systemContent </w:t>
      </w:r>
      <w:r>
        <w:rPr>
          <w:rStyle w:val="OperatorTok"/>
        </w:rPr>
        <w:t xml:space="preserve">=</w:t>
      </w:r>
      <w:r>
        <w:rPr>
          <w:rStyle w:val="NormalTok"/>
        </w:rPr>
        <w:t xml:space="preserve"> systemPromptOverride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soulPrompt</w:t>
      </w:r>
      <w:r>
        <w:rPr>
          <w:rStyle w:val="NormalTok"/>
        </w:rPr>
        <w:t xml:space="preserve"> </w:t>
      </w:r>
      <w:r>
        <w:rPr>
          <w:rStyle w:val="OperatorTok"/>
        </w:rPr>
        <w:t xml:space="preserve">??</w:t>
      </w:r>
      <w:r>
        <w:rPr>
          <w:rStyle w:val="NormalTok"/>
        </w:rPr>
        <w:t xml:space="preserve"> genericFallback</w:t>
      </w:r>
      <w:r>
        <w:rPr>
          <w:rStyle w:val="OperatorTok"/>
        </w:rPr>
        <w:t xml:space="preserve">;</w:t>
      </w:r>
    </w:p>
    <w:bookmarkEnd w:id="231"/>
    <w:bookmarkStart w:id="232" w:name="security-prompt-injection-fix"/>
    <w:p>
      <w:pPr>
        <w:pStyle w:val="Heading3"/>
      </w:pPr>
      <w:r>
        <w:t xml:space="preserve">Security: Prompt Injection Fix</w:t>
      </w:r>
    </w:p>
    <w:p>
      <w:pPr>
        <w:pStyle w:val="FirstParagraph"/>
      </w:pPr>
      <w:r>
        <w:rPr>
          <w:rStyle w:val="VerbatimChar"/>
        </w:rPr>
        <w:t xml:space="preserve">HermesAgent</w:t>
      </w:r>
      <w:r>
        <w:t xml:space="preserve"> </w:t>
      </w:r>
      <w:r>
        <w:t xml:space="preserve">was found forwarding arbitrary caller keys via</w:t>
      </w:r>
      <w:r>
        <w:t xml:space="preserve"> </w:t>
      </w:r>
      <w:r>
        <w:rPr>
          <w:rStyle w:val="VerbatimChar"/>
        </w:rPr>
        <w:t xml:space="preserve">...input</w:t>
      </w:r>
      <w:r>
        <w:t xml:space="preserve"> </w:t>
      </w:r>
      <w:r>
        <w:t xml:space="preserve">spread to sub-agents — a prompt injection vector. All spreads were replaced with explicit field extraction (typed guards per field), aligning with the input validation security principle from the 2026-02-21 vulnerability assessment.</w:t>
      </w:r>
    </w:p>
    <w:bookmarkEnd w:id="232"/>
    <w:bookmarkStart w:id="233" w:name="eu-ai-act-article-12-compliance"/>
    <w:p>
      <w:pPr>
        <w:pStyle w:val="Heading3"/>
      </w:pPr>
      <w:r>
        <w:t xml:space="preserve">EU AI Act Article 12 Compliance</w:t>
      </w:r>
    </w:p>
    <w:p>
      <w:pPr>
        <w:pStyle w:val="FirstParagraph"/>
      </w:pPr>
      <w:r>
        <w:t xml:space="preserve">All 13 agents call</w:t>
      </w:r>
      <w:r>
        <w:t xml:space="preserve"> </w:t>
      </w:r>
      <w:r>
        <w:rPr>
          <w:rStyle w:val="VerbatimChar"/>
        </w:rPr>
        <w:t xml:space="preserve">logExecution()</w:t>
      </w:r>
      <w:r>
        <w:t xml:space="preserve"> </w:t>
      </w:r>
      <w:r>
        <w:t xml:space="preserve">at start and completion, writing to the</w:t>
      </w:r>
      <w:r>
        <w:t xml:space="preserve"> </w:t>
      </w:r>
      <w:r>
        <w:rPr>
          <w:rStyle w:val="VerbatimChar"/>
        </w:rPr>
        <w:t xml:space="preserve">agent_executions</w:t>
      </w:r>
      <w:r>
        <w:t xml:space="preserve"> </w:t>
      </w:r>
      <w:r>
        <w:t xml:space="preserve">Supabase table. This satisfies Article 12 automatic logging requirements for High-Risk AI systems, with traceability metadata: agent name, session ID, org ID, user ID, confidence, duration, and LLM token counts.</w:t>
      </w:r>
    </w:p>
    <w:bookmarkEnd w:id="233"/>
    <w:bookmarkStart w:id="234" w:name="business-value-the-marketing-wedge"/>
    <w:p>
      <w:pPr>
        <w:pStyle w:val="Heading3"/>
      </w:pPr>
      <w:r>
        <w:t xml:space="preserve">Business Value: The Marketing Wedge</w:t>
      </w:r>
    </w:p>
    <w:p>
      <w:pPr>
        <w:pStyle w:val="FirstParagraph"/>
      </w:pPr>
      <w:r>
        <w:t xml:space="preserve">The Pantheon naming strategy doubles as a marketing wedge. Each agent carries a humorous one-liner making enterprise AI approachable:</w:t>
      </w:r>
    </w:p>
    <w:p>
      <w:pPr>
        <w:numPr>
          <w:ilvl w:val="0"/>
          <w:numId w:val="1076"/>
        </w:numPr>
        <w:pStyle w:val="Compact"/>
      </w:pPr>
      <w:r>
        <w:rPr>
          <w:bCs/>
          <w:b/>
        </w:rPr>
        <w:t xml:space="preserve">Athena:</w:t>
      </w:r>
      <w:r>
        <w:t xml:space="preserve"> </w:t>
      </w:r>
      <w:r>
        <w:t xml:space="preserve">“</w:t>
      </w:r>
      <w:r>
        <w:t xml:space="preserve">Has memorized every EU regulation since 2005. Corrects lawyers. Unprompted.</w:t>
      </w:r>
      <w:r>
        <w:t xml:space="preserve">”</w:t>
      </w:r>
    </w:p>
    <w:p>
      <w:pPr>
        <w:numPr>
          <w:ilvl w:val="0"/>
          <w:numId w:val="1076"/>
        </w:numPr>
        <w:pStyle w:val="Compact"/>
      </w:pPr>
      <w:r>
        <w:rPr>
          <w:bCs/>
          <w:b/>
        </w:rPr>
        <w:t xml:space="preserve">Hermes:</w:t>
      </w:r>
      <w:r>
        <w:t xml:space="preserve"> </w:t>
      </w:r>
      <w:r>
        <w:t xml:space="preserve">“</w:t>
      </w:r>
      <w:r>
        <w:t xml:space="preserve">Optimizes your supply chain while you’re still figuring out where the warehouse is.</w:t>
      </w:r>
      <w:r>
        <w:t xml:space="preserve">”</w:t>
      </w:r>
    </w:p>
    <w:p>
      <w:pPr>
        <w:numPr>
          <w:ilvl w:val="0"/>
          <w:numId w:val="1076"/>
        </w:numPr>
        <w:pStyle w:val="Compact"/>
      </w:pPr>
      <w:r>
        <w:rPr>
          <w:bCs/>
          <w:b/>
        </w:rPr>
        <w:t xml:space="preserve">Apollo:</w:t>
      </w:r>
      <w:r>
        <w:t xml:space="preserve"> </w:t>
      </w:r>
      <w:r>
        <w:t xml:space="preserve">“</w:t>
      </w:r>
      <w:r>
        <w:t xml:space="preserve">Writes your sales copy, ranks it on Google, and sends the follow-up email. Probably already did it.</w:t>
      </w:r>
      <w:r>
        <w:t xml:space="preserve">”</w:t>
      </w:r>
    </w:p>
    <w:p>
      <w:pPr>
        <w:numPr>
          <w:ilvl w:val="0"/>
          <w:numId w:val="1076"/>
        </w:numPr>
        <w:pStyle w:val="Compact"/>
      </w:pPr>
      <w:r>
        <w:rPr>
          <w:bCs/>
          <w:b/>
        </w:rPr>
        <w:t xml:space="preserve">Vulcan:</w:t>
      </w:r>
      <w:r>
        <w:t xml:space="preserve"> </w:t>
      </w:r>
      <w:r>
        <w:t xml:space="preserve">“</w:t>
      </w:r>
      <w:r>
        <w:t xml:space="preserve">Turns ETS carbon prices into competitive strategy. Red-hot accuracy.</w:t>
      </w:r>
      <w:r>
        <w:t xml:space="preserve">”</w:t>
      </w:r>
    </w:p>
    <w:p>
      <w:pPr>
        <w:pStyle w:val="FirstParagraph"/>
      </w:pPr>
      <w:r>
        <w:t xml:space="preserve">These personas appear at onelifetime.world/team alongside human staff, reinforcing the product thesis: humans and AI agents work side by side. One of them never sleeps.</w:t>
      </w:r>
    </w:p>
    <w:bookmarkEnd w:id="234"/>
    <w:bookmarkEnd w:id="235"/>
    <w:bookmarkStart w:id="242" w:name="Xe3d903b88289159370153659501fd21cf674755"/>
    <w:p>
      <w:pPr>
        <w:pStyle w:val="Heading2"/>
      </w:pPr>
      <w:r>
        <w:t xml:space="preserve">10.14 Agent System Hardening — Production Reliability</w:t>
      </w:r>
    </w:p>
    <w:bookmarkStart w:id="236" w:name="motivation-1"/>
    <w:p>
      <w:pPr>
        <w:pStyle w:val="Heading3"/>
      </w:pPr>
      <w:r>
        <w:t xml:space="preserve">10.14.1 Motivation</w:t>
      </w:r>
    </w:p>
    <w:p>
      <w:pPr>
        <w:pStyle w:val="FirstParagraph"/>
      </w:pPr>
      <w:r>
        <w:t xml:space="preserve">The 31-agent system (13 core + 5 SEO + 13 workflow/industry) had accumulated 6 TypeScript compilation errors and 3 test failures that blocked production builds. These were not design flaws but integration debt: type mismatches across module boundaries, missing route wiring, uninstalled dependencies, and locale-dependent formatting. This section documents the systematic hardening that restored zero-error compilation and full test coverage.</w:t>
      </w:r>
    </w:p>
    <w:bookmarkEnd w:id="236"/>
    <w:bookmarkStart w:id="237" w:name="type-system-alignment-sandboxcontext"/>
    <w:p>
      <w:pPr>
        <w:pStyle w:val="Heading3"/>
      </w:pPr>
      <w:r>
        <w:t xml:space="preserve">10.14.2 Type System Alignment: SandboxContext</w:t>
      </w:r>
    </w:p>
    <w:p>
      <w:pPr>
        <w:pStyle w:val="FirstParagraph"/>
      </w:pPr>
      <w:r>
        <w:t xml:space="preserve">The</w:t>
      </w:r>
      <w:r>
        <w:t xml:space="preserve"> </w:t>
      </w:r>
      <w:r>
        <w:rPr>
          <w:rStyle w:val="VerbatimChar"/>
        </w:rPr>
        <w:t xml:space="preserve">SandboxStage</w:t>
      </w:r>
      <w:r>
        <w:t xml:space="preserve"> </w:t>
      </w:r>
      <w:r>
        <w:t xml:space="preserve">type in</w:t>
      </w:r>
      <w:r>
        <w:t xml:space="preserve"> </w:t>
      </w:r>
      <w:r>
        <w:rPr>
          <w:rStyle w:val="VerbatimChar"/>
        </w:rPr>
        <w:t xml:space="preserve">src/sandbox/index.ts</w:t>
      </w:r>
      <w:r>
        <w:t xml:space="preserve"> </w:t>
      </w:r>
      <w:r>
        <w:t xml:space="preserve">defined four stages:</w:t>
      </w:r>
      <w:r>
        <w:t xml:space="preserve"> </w:t>
      </w:r>
      <w:r>
        <w:rPr>
          <w:rStyle w:val="VerbatimChar"/>
        </w:rPr>
        <w:t xml:space="preserve">'1' | 'opensandbox' | '2' | '3'</w:t>
      </w:r>
      <w:r>
        <w:t xml:space="preserve">, where</w:t>
      </w:r>
      <w:r>
        <w:t xml:space="preserve"> </w:t>
      </w:r>
      <w:r>
        <w:rPr>
          <w:rStyle w:val="VerbatimChar"/>
        </w:rPr>
        <w:t xml:space="preserve">'opensandbox'</w:t>
      </w:r>
      <w:r>
        <w:t xml:space="preserve"> </w:t>
      </w:r>
      <w:r>
        <w:t xml:space="preserve">represents the Stage 1.5 Docker-based isolation on Acer Veriton GN100 hardware (Section 10.10). However,</w:t>
      </w:r>
      <w:r>
        <w:t xml:space="preserve"> </w:t>
      </w:r>
      <w:r>
        <w:rPr>
          <w:rStyle w:val="VerbatimChar"/>
        </w:rPr>
        <w:t xml:space="preserve">SandboxContext.stage</w:t>
      </w:r>
      <w:r>
        <w:t xml:space="preserve"> </w:t>
      </w:r>
      <w:r>
        <w:t xml:space="preserve">in</w:t>
      </w:r>
      <w:r>
        <w:t xml:space="preserve"> </w:t>
      </w:r>
      <w:r>
        <w:rPr>
          <w:rStyle w:val="VerbatimChar"/>
        </w:rPr>
        <w:t xml:space="preserve">src/agents/types.ts</w:t>
      </w:r>
      <w:r>
        <w:t xml:space="preserve"> </w:t>
      </w:r>
      <w:r>
        <w:t xml:space="preserve">only accepted</w:t>
      </w:r>
      <w:r>
        <w:t xml:space="preserve"> </w:t>
      </w:r>
      <w:r>
        <w:rPr>
          <w:rStyle w:val="VerbatimChar"/>
        </w:rPr>
        <w:t xml:space="preserve">'1' | '2' | '3'</w:t>
      </w:r>
      <w:r>
        <w:t xml:space="preserve">, creating a compile-time error when</w:t>
      </w:r>
      <w:r>
        <w:t xml:space="preserve"> </w:t>
      </w:r>
      <w:r>
        <w:rPr>
          <w:rStyle w:val="VerbatimChar"/>
        </w:rPr>
        <w:t xml:space="preserve">BaseAgent</w:t>
      </w:r>
      <w:r>
        <w:t xml:space="preserve"> </w:t>
      </w:r>
      <w:r>
        <w:t xml:space="preserve">attempted to assign the sandbox stage. The fix aligned both types, ensuring agents can execute in all four isolation stages.</w:t>
      </w:r>
    </w:p>
    <w:bookmarkEnd w:id="237"/>
    <w:bookmarkStart w:id="238" w:name="route-wiring-mcp-and-human-in-the-loop"/>
    <w:p>
      <w:pPr>
        <w:pStyle w:val="Heading3"/>
      </w:pPr>
      <w:r>
        <w:t xml:space="preserve">10.14.3 Route Wiring: MCP and Human-in-the-Loop</w:t>
      </w:r>
    </w:p>
    <w:p>
      <w:pPr>
        <w:pStyle w:val="FirstParagraph"/>
      </w:pPr>
      <w:r>
        <w:t xml:space="preserve">Two critical routes were unreachable due to missing imports in</w:t>
      </w:r>
      <w:r>
        <w:t xml:space="preserve"> </w:t>
      </w:r>
      <w:r>
        <w:rPr>
          <w:rStyle w:val="VerbatimChar"/>
        </w:rPr>
        <w:t xml:space="preserve">src/app.ts</w:t>
      </w:r>
      <w:r>
        <w:t xml:space="preserve">:</w:t>
      </w:r>
    </w:p>
    <w:p>
      <w:pPr>
        <w:numPr>
          <w:ilvl w:val="0"/>
          <w:numId w:val="1077"/>
        </w:numPr>
      </w:pPr>
      <w:r>
        <w:rPr>
          <w:bCs/>
          <w:b/>
        </w:rPr>
        <w:t xml:space="preserve">MCP Agent Server</w:t>
      </w:r>
      <w:r>
        <w:t xml:space="preserve"> </w:t>
      </w:r>
      <w:r>
        <w:t xml:space="preserve">(</w:t>
      </w:r>
      <w:r>
        <w:rPr>
          <w:rStyle w:val="VerbatimChar"/>
        </w:rPr>
        <w:t xml:space="preserve">/mcp</w:t>
      </w:r>
      <w:r>
        <w:t xml:space="preserve">) — The</w:t>
      </w:r>
      <w:r>
        <w:t xml:space="preserve"> </w:t>
      </w:r>
      <w:r>
        <w:rPr>
          <w:rStyle w:val="VerbatimChar"/>
        </w:rPr>
        <w:t xml:space="preserve">createMCPRouter()</w:t>
      </w:r>
      <w:r>
        <w:t xml:space="preserve"> </w:t>
      </w:r>
      <w:r>
        <w:t xml:space="preserve">function from</w:t>
      </w:r>
      <w:r>
        <w:t xml:space="preserve"> </w:t>
      </w:r>
      <w:r>
        <w:rPr>
          <w:rStyle w:val="VerbatimChar"/>
        </w:rPr>
        <w:t xml:space="preserve">src/mcp/agent-server.ts</w:t>
      </w:r>
      <w:r>
        <w:t xml:space="preserve"> </w:t>
      </w:r>
      <w:r>
        <w:t xml:space="preserve">exposes all agents as MCP tools via JSON-RPC 2.0. Without this import, external MCP clients (Claude Desktop, other AI agents) could not discover or invoke DWS agents.</w:t>
      </w:r>
    </w:p>
    <w:p>
      <w:pPr>
        <w:numPr>
          <w:ilvl w:val="0"/>
          <w:numId w:val="1077"/>
        </w:numPr>
      </w:pPr>
      <w:r>
        <w:rPr>
          <w:bCs/>
          <w:b/>
        </w:rPr>
        <w:t xml:space="preserve">Human-in-the-Loop</w:t>
      </w:r>
      <w:r>
        <w:t xml:space="preserve"> </w:t>
      </w:r>
      <w:r>
        <w:t xml:space="preserve">(</w:t>
      </w:r>
      <w:r>
        <w:rPr>
          <w:rStyle w:val="VerbatimChar"/>
        </w:rPr>
        <w:t xml:space="preserve">/api/hil</w:t>
      </w:r>
      <w:r>
        <w:t xml:space="preserve">) — The HIL endpoint enables one-click task completion from morning briefing emails. Without this route, the Captain Pre-Briefing Agent’s</w:t>
      </w:r>
      <w:r>
        <w:t xml:space="preserve"> </w:t>
      </w:r>
      <w:r>
        <w:t xml:space="preserve">“</w:t>
      </w:r>
      <w:r>
        <w:t xml:space="preserve">Done</w:t>
      </w:r>
      <w:r>
        <w:t xml:space="preserve">”</w:t>
      </w:r>
      <w:r>
        <w:t xml:space="preserve"> </w:t>
      </w:r>
      <w:r>
        <w:t xml:space="preserve">buttons returned 404 errors.</w:t>
      </w:r>
    </w:p>
    <w:bookmarkEnd w:id="238"/>
    <w:bookmarkStart w:id="239" w:name="locale-deterministic-number-formatting"/>
    <w:p>
      <w:pPr>
        <w:pStyle w:val="Heading3"/>
      </w:pPr>
      <w:r>
        <w:t xml:space="preserve">10.14.4 Locale-Deterministic Number Formatting</w:t>
      </w:r>
    </w:p>
    <w:p>
      <w:pPr>
        <w:pStyle w:val="FirstParagraph"/>
      </w:pPr>
      <w:r>
        <w:t xml:space="preserve">The Emissions Data Analyst agent formats ETS cost estimates using</w:t>
      </w:r>
      <w:r>
        <w:t xml:space="preserve"> </w:t>
      </w:r>
      <w:r>
        <w:rPr>
          <w:rStyle w:val="VerbatimChar"/>
        </w:rPr>
        <w:t xml:space="preserve">Number.toLocaleString()</w:t>
      </w:r>
      <w:r>
        <w:t xml:space="preserve">. On EU-locale machines (Finland, Germany), this produces space-separated numbers (e.g.,</w:t>
      </w:r>
      <w:r>
        <w:t xml:space="preserve"> </w:t>
      </w:r>
      <w:r>
        <w:rPr>
          <w:rStyle w:val="VerbatimChar"/>
        </w:rPr>
        <w:t xml:space="preserve">2 040 000</w:t>
      </w:r>
      <w:r>
        <w:t xml:space="preserve">), while tests expected US comma-separated format (</w:t>
      </w:r>
      <w:r>
        <w:rPr>
          <w:rStyle w:val="VerbatimChar"/>
        </w:rPr>
        <w:t xml:space="preserve">2,040,000</w:t>
      </w:r>
      <w:r>
        <w:t xml:space="preserve">). The fix specifies</w:t>
      </w:r>
      <w:r>
        <w:t xml:space="preserve"> </w:t>
      </w:r>
      <w:r>
        <w:rPr>
          <w:rStyle w:val="VerbatimChar"/>
        </w:rPr>
        <w:t xml:space="preserve">'en-US'</w:t>
      </w:r>
      <w:r>
        <w:t xml:space="preserve"> </w:t>
      </w:r>
      <w:r>
        <w:t xml:space="preserve">locale explicitly, ensuring deterministic output regardless of deployment environment. This is critical for EU-hosted Cloud Run instances where system locale defaults to European conventions.</w:t>
      </w:r>
    </w:p>
    <w:bookmarkEnd w:id="239"/>
    <w:bookmarkStart w:id="240" w:name="dependency-hygiene"/>
    <w:p>
      <w:pPr>
        <w:pStyle w:val="Heading3"/>
      </w:pPr>
      <w:r>
        <w:t xml:space="preserve">10.14.5 Dependency Hygiene</w:t>
      </w:r>
    </w:p>
    <w:p>
      <w:pPr>
        <w:pStyle w:val="FirstParagraph"/>
      </w:pPr>
      <w:r>
        <w:t xml:space="preserve">The</w:t>
      </w:r>
      <w:r>
        <w:t xml:space="preserve"> </w:t>
      </w:r>
      <w:r>
        <w:rPr>
          <w:rStyle w:val="VerbatimChar"/>
        </w:rPr>
        <w:t xml:space="preserve">luxon</w:t>
      </w:r>
      <w:r>
        <w:t xml:space="preserve"> </w:t>
      </w:r>
      <w:r>
        <w:t xml:space="preserve">library (timezone-aware date handling for Helsinki business hours) was imported in the Social Scheduler but never added to</w:t>
      </w:r>
      <w:r>
        <w:t xml:space="preserve"> </w:t>
      </w:r>
      <w:r>
        <w:rPr>
          <w:rStyle w:val="VerbatimChar"/>
        </w:rPr>
        <w:t xml:space="preserve">package.json</w:t>
      </w:r>
      <w:r>
        <w:t xml:space="preserve">. The Resend email SDK’s batch response type was a union (</w:t>
      </w:r>
      <w:r>
        <w:rPr>
          <w:rStyle w:val="VerbatimChar"/>
        </w:rPr>
        <w:t xml:space="preserve">undefined[] | CreateBatchSuccessResponse</w:t>
      </w:r>
      <w:r>
        <w:t xml:space="preserve">) that required runtime array detection before calling</w:t>
      </w:r>
      <w:r>
        <w:t xml:space="preserve"> </w:t>
      </w:r>
      <w:r>
        <w:rPr>
          <w:rStyle w:val="VerbatimChar"/>
        </w:rPr>
        <w:t xml:space="preserve">.map()</w:t>
      </w:r>
      <w:r>
        <w:t xml:space="preserve">.</w:t>
      </w:r>
    </w:p>
    <w:bookmarkEnd w:id="240"/>
    <w:bookmarkStart w:id="241" w:name="research-contribution-5"/>
    <w:p>
      <w:pPr>
        <w:pStyle w:val="Heading3"/>
      </w:pPr>
      <w:r>
        <w:t xml:space="preserve">10.14.6 Research Contribution</w:t>
      </w:r>
    </w:p>
    <w:p>
      <w:pPr>
        <w:pStyle w:val="FirstParagraph"/>
      </w:pPr>
      <w:r>
        <w:t xml:space="preserve">This hardening session demonstrates a pattern relevant to multi-agent system maintenance:</w:t>
      </w:r>
      <w:r>
        <w:t xml:space="preserve"> </w:t>
      </w:r>
      <w:r>
        <w:rPr>
          <w:bCs/>
          <w:b/>
        </w:rPr>
        <w:t xml:space="preserve">integration debt accumulates at module boundaries, not within modules</w:t>
      </w:r>
      <w:r>
        <w:t xml:space="preserve">. Each individual agent was correctly implemented, but the connections between agents, sandbox, routes, and tests had drifted. The fix touched 6 files across 5 subsystems in a single commit, restoring:</w:t>
      </w:r>
    </w:p>
    <w:p>
      <w:pPr>
        <w:numPr>
          <w:ilvl w:val="0"/>
          <w:numId w:val="1078"/>
        </w:numPr>
        <w:pStyle w:val="Compact"/>
      </w:pPr>
      <w:r>
        <w:rPr>
          <w:bCs/>
          <w:b/>
        </w:rPr>
        <w:t xml:space="preserve">0 TypeScript errors</w:t>
      </w:r>
      <w:r>
        <w:t xml:space="preserve"> </w:t>
      </w:r>
      <w:r>
        <w:t xml:space="preserve">(was 6)</w:t>
      </w:r>
    </w:p>
    <w:p>
      <w:pPr>
        <w:numPr>
          <w:ilvl w:val="0"/>
          <w:numId w:val="1078"/>
        </w:numPr>
        <w:pStyle w:val="Compact"/>
      </w:pPr>
      <w:r>
        <w:rPr>
          <w:bCs/>
          <w:b/>
        </w:rPr>
        <w:t xml:space="preserve">47/47 tests passing</w:t>
      </w:r>
      <w:r>
        <w:t xml:space="preserve"> </w:t>
      </w:r>
      <w:r>
        <w:t xml:space="preserve">(was 44/47)</w:t>
      </w:r>
    </w:p>
    <w:p>
      <w:pPr>
        <w:numPr>
          <w:ilvl w:val="0"/>
          <w:numId w:val="1078"/>
        </w:numPr>
        <w:pStyle w:val="Compact"/>
      </w:pPr>
      <w:r>
        <w:rPr>
          <w:bCs/>
          <w:b/>
        </w:rPr>
        <w:t xml:space="preserve">Full MCP discoverability</w:t>
      </w:r>
      <w:r>
        <w:t xml:space="preserve"> </w:t>
      </w:r>
      <w:r>
        <w:t xml:space="preserve">for all 31 agents</w:t>
      </w:r>
    </w:p>
    <w:p>
      <w:pPr>
        <w:numPr>
          <w:ilvl w:val="0"/>
          <w:numId w:val="1078"/>
        </w:numPr>
        <w:pStyle w:val="Compact"/>
      </w:pPr>
      <w:r>
        <w:rPr>
          <w:bCs/>
          <w:b/>
        </w:rPr>
        <w:t xml:space="preserve">HIL operational</w:t>
      </w:r>
      <w:r>
        <w:t xml:space="preserve"> </w:t>
      </w:r>
      <w:r>
        <w:t xml:space="preserve">for morning briefing workflows</w:t>
      </w:r>
    </w:p>
    <w:p>
      <w:r>
        <w:pict>
          <v:rect style="width:0;height:1.5pt" o:hralign="center" o:hrstd="t" o:hr="t"/>
        </w:pict>
      </w:r>
    </w:p>
    <w:bookmarkEnd w:id="241"/>
    <w:bookmarkEnd w:id="242"/>
    <w:bookmarkStart w:id="322" w:name="Xc84102b46314a206f007a2278365afe61845d6d"/>
    <w:p>
      <w:pPr>
        <w:pStyle w:val="Heading2"/>
      </w:pPr>
      <w:r>
        <w:t xml:space="preserve">10.15 PostgreSQL Columnar HTAP Architecture — DWS Data Standard</w:t>
      </w:r>
    </w:p>
    <w:bookmarkStart w:id="243" w:name="motivation-2"/>
    <w:p>
      <w:pPr>
        <w:pStyle w:val="Heading3"/>
      </w:pPr>
      <w:r>
        <w:t xml:space="preserve">10.15.1 Motivation</w:t>
      </w:r>
    </w:p>
    <w:p>
      <w:pPr>
        <w:pStyle w:val="FirstParagraph"/>
      </w:pPr>
      <w:r>
        <w:t xml:space="preserve">DWS6 runs all analytics against transactional heap tables with no columnar or HTAP capabilities. As the platform scales toward IoT telemetry (DWS7 Phase 4), 7-year Article 12 audit retention, and growing agent execution logs, the single-engine approach creates performance bottlenecks: campaign funnel aggregation hits raw event tables, agent cost rollups require full table scans, and audit log storage costs grow linearly with no compression.</w:t>
      </w:r>
    </w:p>
    <w:p>
      <w:pPr>
        <w:pStyle w:val="BodyText"/>
      </w:pPr>
      <w:r>
        <w:t xml:space="preserve">The PostgreSQL</w:t>
      </w:r>
      <w:r>
        <w:t xml:space="preserve"> </w:t>
      </w:r>
      <w:r>
        <w:t xml:space="preserve">“</w:t>
      </w:r>
      <w:r>
        <w:t xml:space="preserve">columnar extension</w:t>
      </w:r>
      <w:r>
        <w:t xml:space="preserve">”</w:t>
      </w:r>
      <w:r>
        <w:t xml:space="preserve"> </w:t>
      </w:r>
      <w:r>
        <w:t xml:space="preserve">pattern — pioneered by Hydra and now production-ready across six implementations — enables true HTAP (Hybrid Transactional/Analytical Processing) within a single database: transactional tables remain as standard heap, analytics tables become columnar, with seamless joins and zero data movement.</w:t>
      </w:r>
    </w:p>
    <w:bookmarkEnd w:id="243"/>
    <w:bookmarkStart w:id="244" w:name="X05e46d3147d04c1d823f8178abb095a0106ae6d"/>
    <w:p>
      <w:pPr>
        <w:pStyle w:val="Heading3"/>
      </w:pPr>
      <w:r>
        <w:t xml:space="preserve">10.15.2 Extension Evaluation (Updated March 2026 — Aiven-First Mandate)</w:t>
      </w:r>
    </w:p>
    <w:p>
      <w:pPr>
        <w:pStyle w:val="FirstParagraph"/>
      </w:pPr>
      <w:r>
        <w:t xml:space="preserve">The original v3.22 evaluation assumed pg_duckdb availability on Aiven. March 2026 findings invalidated this:</w:t>
      </w:r>
    </w:p>
    <w:p>
      <w:pPr>
        <w:numPr>
          <w:ilvl w:val="0"/>
          <w:numId w:val="1079"/>
        </w:numPr>
        <w:pStyle w:val="Compact"/>
      </w:pPr>
      <w:r>
        <w:rPr>
          <w:bCs/>
          <w:b/>
        </w:rPr>
        <w:t xml:space="preserve">Hydra</w:t>
      </w:r>
      <w:r>
        <w:t xml:space="preserve"> </w:t>
      </w:r>
      <w:r>
        <w:t xml:space="preserve">core team joined Supabase (Feb 2026) to build</w:t>
      </w:r>
      <w:r>
        <w:t xml:space="preserve"> </w:t>
      </w:r>
      <w:r>
        <w:t xml:space="preserve">“</w:t>
      </w:r>
      <w:r>
        <w:t xml:space="preserve">Supabase Warehouse</w:t>
      </w:r>
      <w:r>
        <w:t xml:space="preserve">”</w:t>
      </w:r>
      <w:r>
        <w:t xml:space="preserve"> </w:t>
      </w:r>
      <w:r>
        <w:t xml:space="preserve">— Hydra is effectively dead as an independent project.</w:t>
      </w:r>
    </w:p>
    <w:p>
      <w:pPr>
        <w:numPr>
          <w:ilvl w:val="0"/>
          <w:numId w:val="1079"/>
        </w:numPr>
        <w:pStyle w:val="Compact"/>
      </w:pPr>
      <w:r>
        <w:rPr>
          <w:bCs/>
          <w:b/>
        </w:rPr>
        <w:t xml:space="preserve">pg_mooncake</w:t>
      </w:r>
      <w:r>
        <w:t xml:space="preserve"> </w:t>
      </w:r>
      <w:r>
        <w:t xml:space="preserve">acquired by Databricks (Oct 2025) — future uncertain for self-hosted deployments.</w:t>
      </w:r>
    </w:p>
    <w:p>
      <w:pPr>
        <w:numPr>
          <w:ilvl w:val="0"/>
          <w:numId w:val="1079"/>
        </w:numPr>
        <w:pStyle w:val="Compact"/>
      </w:pPr>
      <w:r>
        <w:rPr>
          <w:bCs/>
          <w:b/>
        </w:rPr>
        <w:t xml:space="preserve">CRITICAL: pg_duckdb is BLOCKED on the Aiven extension whitelist</w:t>
      </w:r>
      <w:r>
        <w:t xml:space="preserve"> </w:t>
      </w:r>
      <w:r>
        <w:t xml:space="preserve">— it is NOT available on Aiven managed PostgreSQL. This was the key finding that forced the two-tier architecture redesign.</w:t>
      </w:r>
    </w:p>
    <w:p>
      <w:pPr>
        <w:numPr>
          <w:ilvl w:val="0"/>
          <w:numId w:val="1079"/>
        </w:numPr>
        <w:pStyle w:val="Compact"/>
      </w:pPr>
      <w:r>
        <w:rPr>
          <w:bCs/>
          <w:b/>
        </w:rPr>
        <w:t xml:space="preserve">TimescaleDB 2.25.x Hypercore</w:t>
      </w:r>
      <w:r>
        <w:t xml:space="preserve"> </w:t>
      </w:r>
      <w:r>
        <w:t xml:space="preserve">is the ONLY columnar/HTAP option natively available on Aiven.</w:t>
      </w:r>
    </w:p>
    <w:p>
      <w:pPr>
        <w:pStyle w:val="FirstParagraph"/>
      </w:pPr>
      <w:r>
        <w:rPr>
          <w:bCs/>
          <w:b/>
        </w:rPr>
        <w:t xml:space="preserve">ClickBench performance context:</w:t>
      </w:r>
      <w:r>
        <w:t xml:space="preserve"> </w:t>
      </w:r>
      <w:r>
        <w:t xml:space="preserve">pg_duckdb achieves 50-600× over vanilla PostgreSQL; TimescaleDB Hypercore achieves 10-100× with 98% compression on time-series data.</w:t>
      </w:r>
    </w:p>
    <w:p>
      <w:pPr>
        <w:pStyle w:val="BodyText"/>
      </w:pPr>
      <w:r>
        <w:t xml:space="preserve">Updated evaluation reflecting 2026 reality:</w:t>
      </w:r>
    </w:p>
    <w:tbl>
      <w:tblPr>
        <w:tblStyle w:val="Table"/>
        <w:tblW w:type="pct" w:w="5000"/>
        <w:tblLook w:firstRow="1" w:lastRow="0" w:firstColumn="0" w:lastColumn="0" w:noHBand="0" w:noVBand="0" w:val="0020"/>
        <w:jc w:val="start"/>
      </w:tblPr>
      <w:tblGrid>
        <w:gridCol w:w="2174"/>
        <w:gridCol w:w="543"/>
        <w:gridCol w:w="1320"/>
        <w:gridCol w:w="1242"/>
        <w:gridCol w:w="698"/>
        <w:gridCol w:w="776"/>
        <w:gridCol w:w="1164"/>
      </w:tblGrid>
      <w:tr>
        <w:trPr>
          <w:tblHeader w:val="true"/>
        </w:trPr>
        <w:tc>
          <w:tcPr/>
          <w:p>
            <w:pPr>
              <w:pStyle w:val="Compact"/>
              <w:jc w:val="left"/>
            </w:pPr>
            <w:r>
              <w:t xml:space="preserve">Solution</w:t>
            </w:r>
          </w:p>
        </w:tc>
        <w:tc>
          <w:tcPr/>
          <w:p>
            <w:pPr>
              <w:pStyle w:val="Compact"/>
              <w:jc w:val="left"/>
            </w:pPr>
            <w:r>
              <w:t xml:space="preserve">Engine</w:t>
            </w:r>
          </w:p>
        </w:tc>
        <w:tc>
          <w:tcPr/>
          <w:p>
            <w:pPr>
              <w:pStyle w:val="Compact"/>
              <w:jc w:val="left"/>
            </w:pPr>
            <w:r>
              <w:t xml:space="preserve">Speed vs PG</w:t>
            </w:r>
          </w:p>
        </w:tc>
        <w:tc>
          <w:tcPr/>
          <w:p>
            <w:pPr>
              <w:pStyle w:val="Compact"/>
              <w:jc w:val="left"/>
            </w:pPr>
            <w:r>
              <w:t xml:space="preserve">Aiven?</w:t>
            </w:r>
          </w:p>
        </w:tc>
        <w:tc>
          <w:tcPr/>
          <w:p>
            <w:pPr>
              <w:pStyle w:val="Compact"/>
              <w:jc w:val="left"/>
            </w:pPr>
            <w:r>
              <w:t xml:space="preserve">Supabase?</w:t>
            </w:r>
          </w:p>
        </w:tc>
        <w:tc>
          <w:tcPr/>
          <w:p>
            <w:pPr>
              <w:pStyle w:val="Compact"/>
              <w:jc w:val="left"/>
            </w:pPr>
            <w:r>
              <w:t xml:space="preserve">Self-Host?</w:t>
            </w:r>
          </w:p>
        </w:tc>
        <w:tc>
          <w:tcPr/>
          <w:p>
            <w:pPr>
              <w:pStyle w:val="Compact"/>
              <w:jc w:val="left"/>
            </w:pPr>
            <w:r>
              <w:t xml:space="preserve">DWS Fit</w:t>
            </w:r>
          </w:p>
        </w:tc>
      </w:tr>
      <w:tr>
        <w:tc>
          <w:tcPr/>
          <w:p>
            <w:pPr>
              <w:pStyle w:val="Compact"/>
              <w:jc w:val="left"/>
            </w:pPr>
            <w:r>
              <w:t xml:space="preserve">Hydra (→Supabase Warehouse)</w:t>
            </w:r>
          </w:p>
        </w:tc>
        <w:tc>
          <w:tcPr/>
          <w:p>
            <w:pPr>
              <w:pStyle w:val="Compact"/>
              <w:jc w:val="left"/>
            </w:pPr>
            <w:r>
              <w:t xml:space="preserve">DuckDB</w:t>
            </w:r>
          </w:p>
        </w:tc>
        <w:tc>
          <w:tcPr/>
          <w:p>
            <w:pPr>
              <w:pStyle w:val="Compact"/>
              <w:jc w:val="left"/>
            </w:pPr>
            <w:r>
              <w:t xml:space="preserve">100-600×</w:t>
            </w:r>
          </w:p>
        </w:tc>
        <w:tc>
          <w:tcPr/>
          <w:p>
            <w:pPr>
              <w:pStyle w:val="Compact"/>
              <w:jc w:val="left"/>
            </w:pPr>
            <w:r>
              <w:t xml:space="preserve">No</w:t>
            </w:r>
          </w:p>
        </w:tc>
        <w:tc>
          <w:tcPr/>
          <w:p>
            <w:pPr>
              <w:pStyle w:val="Compact"/>
              <w:jc w:val="left"/>
            </w:pPr>
            <w:r>
              <w:t xml:space="preserve">Alpha</w:t>
            </w:r>
          </w:p>
        </w:tc>
        <w:tc>
          <w:tcPr/>
          <w:p>
            <w:pPr>
              <w:pStyle w:val="Compact"/>
              <w:jc w:val="left"/>
            </w:pPr>
            <w:r>
              <w:t xml:space="preserve">Yes</w:t>
            </w:r>
          </w:p>
        </w:tc>
        <w:tc>
          <w:tcPr/>
          <w:p>
            <w:pPr>
              <w:pStyle w:val="Compact"/>
              <w:jc w:val="left"/>
            </w:pPr>
            <w:r>
              <w:t xml:space="preserve">Monitor</w:t>
            </w:r>
          </w:p>
        </w:tc>
      </w:tr>
      <w:tr>
        <w:tc>
          <w:tcPr/>
          <w:p>
            <w:pPr>
              <w:pStyle w:val="Compact"/>
              <w:jc w:val="left"/>
            </w:pPr>
            <w:r>
              <w:t xml:space="preserve">pg_duckdb v1.x</w:t>
            </w:r>
          </w:p>
        </w:tc>
        <w:tc>
          <w:tcPr/>
          <w:p>
            <w:pPr>
              <w:pStyle w:val="Compact"/>
              <w:jc w:val="left"/>
            </w:pPr>
            <w:r>
              <w:t xml:space="preserve">DuckDB</w:t>
            </w:r>
          </w:p>
        </w:tc>
        <w:tc>
          <w:tcPr/>
          <w:p>
            <w:pPr>
              <w:pStyle w:val="Compact"/>
              <w:jc w:val="left"/>
            </w:pPr>
            <w:r>
              <w:t xml:space="preserve">50-600×</w:t>
            </w:r>
          </w:p>
        </w:tc>
        <w:tc>
          <w:tcPr/>
          <w:p>
            <w:pPr>
              <w:pStyle w:val="Compact"/>
              <w:jc w:val="left"/>
            </w:pPr>
            <w:r>
              <w:rPr>
                <w:bCs/>
                <w:b/>
              </w:rPr>
              <w:t xml:space="preserve">NO (blocked)</w:t>
            </w:r>
          </w:p>
        </w:tc>
        <w:tc>
          <w:tcPr/>
          <w:p>
            <w:pPr>
              <w:pStyle w:val="Compact"/>
              <w:jc w:val="left"/>
            </w:pPr>
            <w:r>
              <w:t xml:space="preserve">Yes</w:t>
            </w:r>
          </w:p>
        </w:tc>
        <w:tc>
          <w:tcPr/>
          <w:p>
            <w:pPr>
              <w:pStyle w:val="Compact"/>
              <w:jc w:val="left"/>
            </w:pPr>
            <w:r>
              <w:rPr>
                <w:bCs/>
                <w:b/>
              </w:rPr>
              <w:t xml:space="preserve">Yes</w:t>
            </w:r>
          </w:p>
        </w:tc>
        <w:tc>
          <w:tcPr/>
          <w:p>
            <w:pPr>
              <w:pStyle w:val="Compact"/>
              <w:jc w:val="left"/>
            </w:pPr>
            <w:r>
              <w:t xml:space="preserve">Edge only</w:t>
            </w:r>
          </w:p>
        </w:tc>
      </w:tr>
      <w:tr>
        <w:tc>
          <w:tcPr/>
          <w:p>
            <w:pPr>
              <w:pStyle w:val="Compact"/>
              <w:jc w:val="left"/>
            </w:pPr>
            <w:r>
              <w:t xml:space="preserve">pg_mooncake (→Databricks)</w:t>
            </w:r>
          </w:p>
        </w:tc>
        <w:tc>
          <w:tcPr/>
          <w:p>
            <w:pPr>
              <w:pStyle w:val="Compact"/>
              <w:jc w:val="left"/>
            </w:pPr>
            <w:r>
              <w:t xml:space="preserve">DuckDB</w:t>
            </w:r>
          </w:p>
        </w:tc>
        <w:tc>
          <w:tcPr/>
          <w:p>
            <w:pPr>
              <w:pStyle w:val="Compact"/>
              <w:jc w:val="left"/>
            </w:pPr>
            <w:r>
              <w:t xml:space="preserve">Top-10 ClickBench</w:t>
            </w:r>
          </w:p>
        </w:tc>
        <w:tc>
          <w:tcPr/>
          <w:p>
            <w:pPr>
              <w:pStyle w:val="Compact"/>
              <w:jc w:val="left"/>
            </w:pPr>
            <w:r>
              <w:t xml:space="preserve">No</w:t>
            </w:r>
          </w:p>
        </w:tc>
        <w:tc>
          <w:tcPr/>
          <w:p>
            <w:pPr>
              <w:pStyle w:val="Compact"/>
              <w:jc w:val="left"/>
            </w:pPr>
            <w:r>
              <w:t xml:space="preserve">Custom</w:t>
            </w:r>
          </w:p>
        </w:tc>
        <w:tc>
          <w:tcPr/>
          <w:p>
            <w:pPr>
              <w:pStyle w:val="Compact"/>
              <w:jc w:val="left"/>
            </w:pPr>
            <w:r>
              <w:t xml:space="preserve">Yes</w:t>
            </w:r>
          </w:p>
        </w:tc>
        <w:tc>
          <w:tcPr/>
          <w:p>
            <w:pPr>
              <w:pStyle w:val="Compact"/>
              <w:jc w:val="left"/>
            </w:pPr>
            <w:r>
              <w:t xml:space="preserve">Phase 3</w:t>
            </w:r>
          </w:p>
        </w:tc>
      </w:tr>
      <w:tr>
        <w:tc>
          <w:tcPr/>
          <w:p>
            <w:pPr>
              <w:pStyle w:val="Compact"/>
              <w:jc w:val="left"/>
            </w:pPr>
            <w:r>
              <w:t xml:space="preserve">TimescaleDB 2.25.x Hypercore</w:t>
            </w:r>
          </w:p>
        </w:tc>
        <w:tc>
          <w:tcPr/>
          <w:p>
            <w:pPr>
              <w:pStyle w:val="Compact"/>
              <w:jc w:val="left"/>
            </w:pPr>
            <w:r>
              <w:t xml:space="preserve">PG+SIMD</w:t>
            </w:r>
          </w:p>
        </w:tc>
        <w:tc>
          <w:tcPr/>
          <w:p>
            <w:pPr>
              <w:pStyle w:val="Compact"/>
              <w:jc w:val="left"/>
            </w:pPr>
            <w:r>
              <w:t xml:space="preserve">10-100×</w:t>
            </w:r>
          </w:p>
        </w:tc>
        <w:tc>
          <w:tcPr/>
          <w:p>
            <w:pPr>
              <w:pStyle w:val="Compact"/>
              <w:jc w:val="left"/>
            </w:pPr>
            <w:r>
              <w:rPr>
                <w:bCs/>
                <w:b/>
              </w:rPr>
              <w:t xml:space="preserve">Yes (native)</w:t>
            </w:r>
          </w:p>
        </w:tc>
        <w:tc>
          <w:tcPr/>
          <w:p>
            <w:pPr>
              <w:pStyle w:val="Compact"/>
              <w:jc w:val="left"/>
            </w:pPr>
            <w:r>
              <w:t xml:space="preserve">Yes</w:t>
            </w:r>
          </w:p>
        </w:tc>
        <w:tc>
          <w:tcPr/>
          <w:p>
            <w:pPr>
              <w:pStyle w:val="Compact"/>
              <w:jc w:val="left"/>
            </w:pPr>
            <w:r>
              <w:rPr>
                <w:bCs/>
                <w:b/>
              </w:rPr>
              <w:t xml:space="preserve">Yes</w:t>
            </w:r>
          </w:p>
        </w:tc>
        <w:tc>
          <w:tcPr/>
          <w:p>
            <w:pPr>
              <w:pStyle w:val="Compact"/>
              <w:jc w:val="left"/>
            </w:pPr>
            <w:r>
              <w:rPr>
                <w:bCs/>
                <w:b/>
              </w:rPr>
              <w:t xml:space="preserve">PRIMARY</w:t>
            </w:r>
          </w:p>
        </w:tc>
      </w:tr>
      <w:tr>
        <w:tc>
          <w:tcPr/>
          <w:p>
            <w:pPr>
              <w:pStyle w:val="Compact"/>
              <w:jc w:val="left"/>
            </w:pPr>
            <w:r>
              <w:t xml:space="preserve">ParadeDB pg_analytics</w:t>
            </w:r>
          </w:p>
        </w:tc>
        <w:tc>
          <w:tcPr/>
          <w:p>
            <w:pPr>
              <w:pStyle w:val="Compact"/>
              <w:jc w:val="left"/>
            </w:pPr>
            <w:r>
              <w:t xml:space="preserve">DuckDB</w:t>
            </w:r>
          </w:p>
        </w:tc>
        <w:tc>
          <w:tcPr/>
          <w:p>
            <w:pPr>
              <w:pStyle w:val="Compact"/>
              <w:jc w:val="left"/>
            </w:pPr>
            <w:r>
              <w:t xml:space="preserve">10-100×</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Not recommended</w:t>
            </w:r>
          </w:p>
        </w:tc>
      </w:tr>
      <w:tr>
        <w:tc>
          <w:tcPr/>
          <w:p>
            <w:pPr>
              <w:pStyle w:val="Compact"/>
              <w:jc w:val="left"/>
            </w:pPr>
            <w:r>
              <w:t xml:space="preserve">Citus Columnar</w:t>
            </w:r>
          </w:p>
        </w:tc>
        <w:tc>
          <w:tcPr/>
          <w:p>
            <w:pPr>
              <w:pStyle w:val="Compact"/>
              <w:jc w:val="left"/>
            </w:pPr>
            <w:r>
              <w:t xml:space="preserve">PG</w:t>
            </w:r>
          </w:p>
        </w:tc>
        <w:tc>
          <w:tcPr/>
          <w:p>
            <w:pPr>
              <w:pStyle w:val="Compact"/>
              <w:jc w:val="left"/>
            </w:pPr>
            <w:r>
              <w:t xml:space="preserve">5-50×</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Not recommended</w:t>
            </w:r>
          </w:p>
        </w:tc>
      </w:tr>
    </w:tbl>
    <w:bookmarkEnd w:id="244"/>
    <w:bookmarkStart w:id="245" w:name="Xe1827376726351052c8a7483ab587ea7cbe8f1c"/>
    <w:p>
      <w:pPr>
        <w:pStyle w:val="Heading3"/>
      </w:pPr>
      <w:r>
        <w:t xml:space="preserve">10.15.3 Recommended Stack (Two-Tier HTAP Architecture)</w:t>
      </w:r>
    </w:p>
    <w:p>
      <w:pPr>
        <w:pStyle w:val="FirstParagraph"/>
      </w:pPr>
      <w:r>
        <w:t xml:space="preserve">The Aiven whitelist constraint (pg_duckdb BLOCKED) drives a</w:t>
      </w:r>
      <w:r>
        <w:t xml:space="preserve"> </w:t>
      </w:r>
      <w:r>
        <w:rPr>
          <w:bCs/>
          <w:b/>
        </w:rPr>
        <w:t xml:space="preserve">two-tier architecture</w:t>
      </w:r>
      <w:r>
        <w:t xml:space="preserve"> </w:t>
      </w:r>
      <w:r>
        <w:t xml:space="preserve">— managed production on Aiven with full extension freedom on edge hardware:</w:t>
      </w:r>
    </w:p>
    <w:p>
      <w:pPr>
        <w:pStyle w:val="BodyText"/>
      </w:pPr>
      <w:r>
        <w:rPr>
          <w:bCs/>
          <w:b/>
        </w:rPr>
        <w:t xml:space="preserve">Tier 1: Aiven Managed (Production) — TimescaleDB 2.25.x Hypercore ONLY</w:t>
      </w:r>
    </w:p>
    <w:p>
      <w:pPr>
        <w:numPr>
          <w:ilvl w:val="0"/>
          <w:numId w:val="1080"/>
        </w:numPr>
        <w:pStyle w:val="Compact"/>
      </w:pPr>
      <w:r>
        <w:t xml:space="preserve">Automatic hybrid row→columnar storage via Hypercore: recent data stays in heap for OLTP, older data compresses into columnar format automatically.</w:t>
      </w:r>
    </w:p>
    <w:p>
      <w:pPr>
        <w:numPr>
          <w:ilvl w:val="0"/>
          <w:numId w:val="1080"/>
        </w:numPr>
        <w:pStyle w:val="Compact"/>
      </w:pPr>
      <w:r>
        <w:t xml:space="preserve">98% compression on time-series and audit data (agent_metrics, agent_costs, article12_audit_log, IoT sensor data).</w:t>
      </w:r>
    </w:p>
    <w:p>
      <w:pPr>
        <w:numPr>
          <w:ilvl w:val="0"/>
          <w:numId w:val="1080"/>
        </w:numPr>
        <w:pStyle w:val="Compact"/>
      </w:pPr>
      <w:r>
        <w:t xml:space="preserve">10-100× analytical acceleration over vanilla PostgreSQL via SIMD vectorized scans.</w:t>
      </w:r>
    </w:p>
    <w:p>
      <w:pPr>
        <w:numPr>
          <w:ilvl w:val="0"/>
          <w:numId w:val="1080"/>
        </w:numPr>
        <w:pStyle w:val="Compact"/>
      </w:pPr>
      <w:r>
        <w:t xml:space="preserve">99.99% SLA, EU Finland (europe-north1), managed backups, automatic failover.</w:t>
      </w:r>
    </w:p>
    <w:p>
      <w:pPr>
        <w:numPr>
          <w:ilvl w:val="0"/>
          <w:numId w:val="1080"/>
        </w:numPr>
        <w:pStyle w:val="Compact"/>
      </w:pPr>
      <w:r>
        <w:t xml:space="preserve">No pg_duckdb, no Hydra, no pg_mooncake — only Aiven-whitelisted extensions.</w:t>
      </w:r>
    </w:p>
    <w:p>
      <w:pPr>
        <w:pStyle w:val="SourceCode"/>
      </w:pPr>
      <w:r>
        <w:rPr>
          <w:rStyle w:val="CommentTok"/>
        </w:rPr>
        <w:t xml:space="preserve">-- TimescaleDB Hypercore hybrid table (Aiven production)</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events</w:t>
      </w:r>
      <w:r>
        <w:rPr>
          <w:rStyle w:val="NormalTok"/>
        </w:rPr>
        <w:t xml:space="preserve"> (</w:t>
      </w:r>
      <w:r>
        <w:br/>
      </w:r>
      <w:r>
        <w:rPr>
          <w:rStyle w:val="NormalTok"/>
        </w:rPr>
        <w:t xml:space="preserve">  </w:t>
      </w:r>
      <w:r>
        <w:rPr>
          <w:rStyle w:val="DataTypeTok"/>
        </w:rPr>
        <w:t xml:space="preserve">time</w:t>
      </w:r>
      <w:r>
        <w:rPr>
          <w:rStyle w:val="NormalTok"/>
        </w:rPr>
        <w:t xml:space="preserve">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device_id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metric_name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FunctionTok"/>
        </w:rPr>
        <w:t xml:space="preserve">value</w:t>
      </w:r>
      <w:r>
        <w:rPr>
          <w:rStyle w:val="NormalTok"/>
        </w:rPr>
        <w:t xml:space="preserve"> </w:t>
      </w:r>
      <w:r>
        <w:rPr>
          <w:rStyle w:val="DataTypeTok"/>
        </w:rPr>
        <w:t xml:space="preserve">DOUBLE</w:t>
      </w:r>
      <w:r>
        <w:rPr>
          <w:rStyle w:val="NormalTok"/>
        </w:rPr>
        <w:t xml:space="preserve"> </w:t>
      </w:r>
      <w:r>
        <w:rPr>
          <w:rStyle w:val="DataTypeTok"/>
        </w:rPr>
        <w:t xml:space="preserve">PRECISION</w:t>
      </w:r>
      <w:r>
        <w:br/>
      </w:r>
      <w:r>
        <w:rPr>
          <w:rStyle w:val="NormalTok"/>
        </w:rPr>
        <w:t xml:space="preserve">) </w:t>
      </w:r>
      <w:r>
        <w:rPr>
          <w:rStyle w:val="KeywordTok"/>
        </w:rPr>
        <w:t xml:space="preserve">WITH</w:t>
      </w:r>
      <w:r>
        <w:rPr>
          <w:rStyle w:val="NormalTok"/>
        </w:rPr>
        <w:t xml:space="preserve"> (timescaledb.hybrid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KeywordTok"/>
        </w:rPr>
        <w:t xml:space="preserve">SELECT</w:t>
      </w:r>
      <w:r>
        <w:rPr>
          <w:rStyle w:val="NormalTok"/>
        </w:rPr>
        <w:t xml:space="preserve"> create_hypertable(</w:t>
      </w:r>
      <w:r>
        <w:rPr>
          <w:rStyle w:val="StringTok"/>
        </w:rPr>
        <w:t xml:space="preserve">'events'</w:t>
      </w:r>
      <w:r>
        <w:rPr>
          <w:rStyle w:val="NormalTok"/>
        </w:rPr>
        <w:t xml:space="preserve">, </w:t>
      </w:r>
      <w:r>
        <w:rPr>
          <w:rStyle w:val="StringTok"/>
        </w:rPr>
        <w:t xml:space="preserve">'time'</w:t>
      </w:r>
      <w:r>
        <w:rPr>
          <w:rStyle w:val="NormalTok"/>
        </w:rPr>
        <w:t xml:space="preserve">);</w:t>
      </w:r>
    </w:p>
    <w:p>
      <w:pPr>
        <w:pStyle w:val="FirstParagraph"/>
      </w:pPr>
      <w:r>
        <w:rPr>
          <w:bCs/>
          <w:b/>
        </w:rPr>
        <w:t xml:space="preserve">Tier 2: GN100 Edge (Analytics) — TimescaleDB + pg_duckdb + pgvector</w:t>
      </w:r>
    </w:p>
    <w:p>
      <w:pPr>
        <w:numPr>
          <w:ilvl w:val="0"/>
          <w:numId w:val="1081"/>
        </w:numPr>
        <w:pStyle w:val="Compact"/>
      </w:pPr>
      <w:r>
        <w:t xml:space="preserve">Deployed 2026-03-13 on Acer Veriton GN100 via Docker with SSH tunnel to Aiven.</w:t>
      </w:r>
    </w:p>
    <w:p>
      <w:pPr>
        <w:numPr>
          <w:ilvl w:val="0"/>
          <w:numId w:val="1081"/>
        </w:numPr>
        <w:pStyle w:val="Compact"/>
      </w:pPr>
      <w:r>
        <w:t xml:space="preserve">Full extension stack: pg_duckdb (50-600× OLAP), pgvector (AI embeddings), TimescaleDB (time-series).</w:t>
      </w:r>
    </w:p>
    <w:p>
      <w:pPr>
        <w:numPr>
          <w:ilvl w:val="0"/>
          <w:numId w:val="1081"/>
        </w:numPr>
        <w:pStyle w:val="Compact"/>
      </w:pPr>
      <w:r>
        <w:t xml:space="preserve">Use cases: ad-hoc analytical queries, ClickBench-class workloads, AI vector search, data exploration.</w:t>
      </w:r>
    </w:p>
    <w:p>
      <w:pPr>
        <w:numPr>
          <w:ilvl w:val="0"/>
          <w:numId w:val="1081"/>
        </w:numPr>
        <w:pStyle w:val="Compact"/>
      </w:pPr>
      <w:r>
        <w:t xml:space="preserve">Not production-critical — edge device serves as analytical sandbox.</w:t>
      </w:r>
    </w:p>
    <w:p>
      <w:pPr>
        <w:pStyle w:val="FirstParagraph"/>
      </w:pPr>
      <w:r>
        <w:rPr>
          <w:bCs/>
          <w:b/>
        </w:rPr>
        <w:t xml:space="preserve">Local dev parity:</w:t>
      </w:r>
      <w:r>
        <w:t xml:space="preserve"> </w:t>
      </w:r>
      <w:r>
        <w:rPr>
          <w:rStyle w:val="VerbatimChar"/>
        </w:rPr>
        <w:t xml:space="preserve">timescale/timescaledb:2.25.2-pg16</w:t>
      </w:r>
      <w:r>
        <w:t xml:space="preserve"> </w:t>
      </w:r>
      <w:r>
        <w:t xml:space="preserve">Docker image ensures developers match Aiven production schema.</w:t>
      </w:r>
    </w:p>
    <w:p>
      <w:pPr>
        <w:pStyle w:val="BodyText"/>
      </w:pPr>
      <w:r>
        <w:rPr>
          <w:bCs/>
          <w:b/>
        </w:rPr>
        <w:t xml:space="preserve">pg_mooncake</w:t>
      </w:r>
      <w:r>
        <w:t xml:space="preserve"> </w:t>
      </w:r>
      <w:r>
        <w:t xml:space="preserve">(Phase 3, 2027) for Iceberg/Parquet export satisfying EU Data Act 2023/2854 IoT data portability requirements — pending Databricks acquisition outcome.</w:t>
      </w:r>
    </w:p>
    <w:bookmarkEnd w:id="245"/>
    <w:bookmarkStart w:id="246" w:name="dws-data-standard"/>
    <w:p>
      <w:pPr>
        <w:pStyle w:val="Heading3"/>
      </w:pPr>
      <w:r>
        <w:t xml:space="preserve">10.15.4 DWS Data Standard</w:t>
      </w:r>
    </w:p>
    <w:p>
      <w:pPr>
        <w:pStyle w:val="FirstParagraph"/>
      </w:pPr>
      <w:r>
        <w:t xml:space="preserve">A new</w:t>
      </w:r>
      <w:r>
        <w:t xml:space="preserve"> </w:t>
      </w:r>
      <w:r>
        <w:rPr>
          <w:rStyle w:val="VerbatimChar"/>
        </w:rPr>
        <w:t xml:space="preserve">DWS_DATA_STANDARD.md</w:t>
      </w:r>
      <w:r>
        <w:t xml:space="preserve"> </w:t>
      </w:r>
      <w:r>
        <w:t xml:space="preserve">was created to govern all data storage decisions. Key sections:</w:t>
      </w:r>
    </w:p>
    <w:p>
      <w:pPr>
        <w:numPr>
          <w:ilvl w:val="0"/>
          <w:numId w:val="1082"/>
        </w:numPr>
        <w:pStyle w:val="Compact"/>
      </w:pPr>
      <w:r>
        <w:rPr>
          <w:bCs/>
          <w:b/>
        </w:rPr>
        <w:t xml:space="preserve">Storage Engine Policy</w:t>
      </w:r>
      <w:r>
        <w:t xml:space="preserve"> </w:t>
      </w:r>
      <w:r>
        <w:t xml:space="preserve">— decision matrix for row vs columnar vs hybrid</w:t>
      </w:r>
    </w:p>
    <w:p>
      <w:pPr>
        <w:numPr>
          <w:ilvl w:val="0"/>
          <w:numId w:val="1082"/>
        </w:numPr>
        <w:pStyle w:val="Compact"/>
      </w:pPr>
      <w:r>
        <w:rPr>
          <w:bCs/>
          <w:b/>
        </w:rPr>
        <w:t xml:space="preserve">Extension Governance</w:t>
      </w:r>
      <w:r>
        <w:t xml:space="preserve"> </w:t>
      </w:r>
      <w:r>
        <w:t xml:space="preserve">— approved registry with sovereignty assessment</w:t>
      </w:r>
    </w:p>
    <w:p>
      <w:pPr>
        <w:numPr>
          <w:ilvl w:val="0"/>
          <w:numId w:val="1082"/>
        </w:numPr>
        <w:pStyle w:val="Compact"/>
      </w:pPr>
      <w:r>
        <w:rPr>
          <w:bCs/>
          <w:b/>
        </w:rPr>
        <w:t xml:space="preserve">Retention Policy</w:t>
      </w:r>
      <w:r>
        <w:t xml:space="preserve"> </w:t>
      </w:r>
      <w:r>
        <w:t xml:space="preserve">— per-table rules mapped to EU regulations (GDPR Art 17, EU AI Act Art 12: 7yr, NIS2 Art 23: 5yr, Finnish Accounting Act 1336/1997: 10yr)</w:t>
      </w:r>
    </w:p>
    <w:p>
      <w:pPr>
        <w:numPr>
          <w:ilvl w:val="0"/>
          <w:numId w:val="1082"/>
        </w:numPr>
        <w:pStyle w:val="Compact"/>
      </w:pPr>
      <w:r>
        <w:rPr>
          <w:bCs/>
          <w:b/>
        </w:rPr>
        <w:t xml:space="preserve">Partitioning Standard</w:t>
      </w:r>
      <w:r>
        <w:t xml:space="preserve"> </w:t>
      </w:r>
      <w:r>
        <w:t xml:space="preserve">— TimescaleDB hypertables preferred over native partitioning</w:t>
      </w:r>
    </w:p>
    <w:p>
      <w:pPr>
        <w:numPr>
          <w:ilvl w:val="0"/>
          <w:numId w:val="1082"/>
        </w:numPr>
        <w:pStyle w:val="Compact"/>
      </w:pPr>
      <w:r>
        <w:rPr>
          <w:bCs/>
          <w:b/>
        </w:rPr>
        <w:t xml:space="preserve">Compression Policy</w:t>
      </w:r>
      <w:r>
        <w:t xml:space="preserve"> </w:t>
      </w:r>
      <w:r>
        <w:t xml:space="preserve">— tiered compression targets (1:1 hot → 20:1 archive)</w:t>
      </w:r>
    </w:p>
    <w:p>
      <w:pPr>
        <w:numPr>
          <w:ilvl w:val="0"/>
          <w:numId w:val="1082"/>
        </w:numPr>
        <w:pStyle w:val="Compact"/>
      </w:pPr>
      <w:r>
        <w:rPr>
          <w:bCs/>
          <w:b/>
        </w:rPr>
        <w:t xml:space="preserve">EU Regulatory Compliance</w:t>
      </w:r>
      <w:r>
        <w:t xml:space="preserve"> </w:t>
      </w:r>
      <w:r>
        <w:t xml:space="preserve">— matrix mapping 11 EU regulations to database requirements</w:t>
      </w:r>
    </w:p>
    <w:bookmarkEnd w:id="246"/>
    <w:bookmarkStart w:id="247" w:name="X3fc7121aa52538d2afbd077f59fad16f5defb09"/>
    <w:p>
      <w:pPr>
        <w:pStyle w:val="Heading3"/>
      </w:pPr>
      <w:r>
        <w:t xml:space="preserve">10.15.5 Phased Rollout (Updated — Aiven-First Mandate)</w:t>
      </w:r>
    </w:p>
    <w:tbl>
      <w:tblPr>
        <w:tblStyle w:val="Table"/>
        <w:tblW w:type="pct" w:w="5000"/>
        <w:tblLook w:firstRow="1" w:lastRow="0" w:firstColumn="0" w:lastColumn="0" w:noHBand="0" w:noVBand="0" w:val="0020"/>
        <w:jc w:val="start"/>
      </w:tblPr>
      <w:tblGrid>
        <w:gridCol w:w="321"/>
        <w:gridCol w:w="643"/>
        <w:gridCol w:w="1352"/>
        <w:gridCol w:w="5601"/>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Target</w:t>
            </w:r>
          </w:p>
        </w:tc>
        <w:tc>
          <w:tcPr/>
          <w:p>
            <w:pPr>
              <w:pStyle w:val="Compact"/>
              <w:jc w:val="left"/>
            </w:pPr>
            <w:r>
              <w:t xml:space="preserve">Actions</w:t>
            </w:r>
          </w:p>
        </w:tc>
      </w:tr>
      <w:tr>
        <w:tc>
          <w:tcPr/>
          <w:p>
            <w:pPr>
              <w:pStyle w:val="Compact"/>
              <w:jc w:val="left"/>
            </w:pPr>
            <w:r>
              <w:t xml:space="preserve">0</w:t>
            </w:r>
          </w:p>
        </w:tc>
        <w:tc>
          <w:tcPr/>
          <w:p>
            <w:pPr>
              <w:pStyle w:val="Compact"/>
              <w:jc w:val="left"/>
            </w:pPr>
            <w:r>
              <w:t xml:space="preserve">Q1 2026</w:t>
            </w:r>
          </w:p>
        </w:tc>
        <w:tc>
          <w:tcPr/>
          <w:p>
            <w:pPr>
              <w:pStyle w:val="Compact"/>
              <w:jc w:val="left"/>
            </w:pPr>
            <w:r>
              <w:t xml:space="preserve">Supabase</w:t>
            </w:r>
          </w:p>
        </w:tc>
        <w:tc>
          <w:tcPr/>
          <w:p>
            <w:pPr>
              <w:pStyle w:val="Compact"/>
              <w:jc w:val="left"/>
            </w:pPr>
            <w:r>
              <w:t xml:space="preserve">Table partitioning, materialized views</w:t>
            </w:r>
          </w:p>
        </w:tc>
      </w:tr>
      <w:tr>
        <w:tc>
          <w:tcPr/>
          <w:p>
            <w:pPr>
              <w:pStyle w:val="Compact"/>
              <w:jc w:val="left"/>
            </w:pPr>
            <w:r>
              <w:t xml:space="preserve">1</w:t>
            </w:r>
          </w:p>
        </w:tc>
        <w:tc>
          <w:tcPr/>
          <w:p>
            <w:pPr>
              <w:pStyle w:val="Compact"/>
              <w:jc w:val="left"/>
            </w:pPr>
            <w:r>
              <w:t xml:space="preserve">Q2 2026</w:t>
            </w:r>
          </w:p>
        </w:tc>
        <w:tc>
          <w:tcPr/>
          <w:p>
            <w:pPr>
              <w:pStyle w:val="Compact"/>
              <w:jc w:val="left"/>
            </w:pPr>
            <w:r>
              <w:t xml:space="preserve">Aiven V1 + GN100 Edge</w:t>
            </w:r>
          </w:p>
        </w:tc>
        <w:tc>
          <w:tcPr/>
          <w:p>
            <w:pPr>
              <w:pStyle w:val="Compact"/>
              <w:jc w:val="left"/>
            </w:pPr>
            <w:r>
              <w:t xml:space="preserve">TimescaleDB Hypercore hypertables (Aiven), pg_duckdb + pgvector deployed on edge (done)</w:t>
            </w:r>
          </w:p>
        </w:tc>
      </w:tr>
      <w:tr>
        <w:tc>
          <w:tcPr/>
          <w:p>
            <w:pPr>
              <w:pStyle w:val="Compact"/>
              <w:jc w:val="left"/>
            </w:pPr>
            <w:r>
              <w:t xml:space="preserve">2</w:t>
            </w:r>
          </w:p>
        </w:tc>
        <w:tc>
          <w:tcPr/>
          <w:p>
            <w:pPr>
              <w:pStyle w:val="Compact"/>
              <w:jc w:val="left"/>
            </w:pPr>
            <w:r>
              <w:t xml:space="preserve">Q3-Q4 2026</w:t>
            </w:r>
          </w:p>
        </w:tc>
        <w:tc>
          <w:tcPr/>
          <w:p>
            <w:pPr>
              <w:pStyle w:val="Compact"/>
              <w:jc w:val="left"/>
            </w:pPr>
            <w:r>
              <w:t xml:space="preserve">Aiven + Edge</w:t>
            </w:r>
          </w:p>
        </w:tc>
        <w:tc>
          <w:tcPr/>
          <w:p>
            <w:pPr>
              <w:pStyle w:val="Compact"/>
              <w:jc w:val="left"/>
            </w:pPr>
            <w:r>
              <w:t xml:space="preserve">Audit log compression (98%), IoT hypertables, edge analytical queries</w:t>
            </w:r>
          </w:p>
        </w:tc>
      </w:tr>
      <w:tr>
        <w:tc>
          <w:tcPr/>
          <w:p>
            <w:pPr>
              <w:pStyle w:val="Compact"/>
              <w:jc w:val="left"/>
            </w:pPr>
            <w:r>
              <w:t xml:space="preserve">3</w:t>
            </w:r>
          </w:p>
        </w:tc>
        <w:tc>
          <w:tcPr/>
          <w:p>
            <w:pPr>
              <w:pStyle w:val="Compact"/>
              <w:jc w:val="left"/>
            </w:pPr>
            <w:r>
              <w:t xml:space="preserve">2027</w:t>
            </w:r>
          </w:p>
        </w:tc>
        <w:tc>
          <w:tcPr/>
          <w:p>
            <w:pPr>
              <w:pStyle w:val="Compact"/>
              <w:jc w:val="left"/>
            </w:pPr>
            <w:r>
              <w:t xml:space="preserve">Full HTAP</w:t>
            </w:r>
          </w:p>
        </w:tc>
        <w:tc>
          <w:tcPr/>
          <w:p>
            <w:pPr>
              <w:pStyle w:val="Compact"/>
              <w:jc w:val="left"/>
            </w:pPr>
            <w:r>
              <w:t xml:space="preserve">pg_mooncake lakehouse, Iceberg/Parquet</w:t>
            </w:r>
          </w:p>
        </w:tc>
      </w:tr>
    </w:tbl>
    <w:bookmarkEnd w:id="247"/>
    <w:bookmarkStart w:id="248" w:name="research-contribution-6"/>
    <w:p>
      <w:pPr>
        <w:pStyle w:val="Heading3"/>
      </w:pPr>
      <w:r>
        <w:t xml:space="preserve">10.15.6 Research Contribution</w:t>
      </w:r>
    </w:p>
    <w:p>
      <w:pPr>
        <w:pStyle w:val="FirstParagraph"/>
      </w:pPr>
      <w:r>
        <w:t xml:space="preserve">This work demonstrates that the</w:t>
      </w:r>
      <w:r>
        <w:t xml:space="preserve"> </w:t>
      </w:r>
      <w:r>
        <w:rPr>
          <w:bCs/>
          <w:b/>
        </w:rPr>
        <w:t xml:space="preserve">single-database HTAP pattern</w:t>
      </w:r>
      <w:r>
        <w:t xml:space="preserve"> </w:t>
      </w:r>
      <w:r>
        <w:t xml:space="preserve">is viable for regulated EU industrial platforms: same SQL, same clients, same RLS, zero ETL. The phased approach — starting with natively-supported extensions on a managed EU-sovereign provider (Aiven Finland) — eliminates the traditional choice between operational simplicity and analytical capability. The DWS Data Standard codifies this as an organizational standard, ensuring that storage engine decisions are deliberate, documented, and EU-compliant.</w:t>
      </w:r>
    </w:p>
    <w:p>
      <w:pPr>
        <w:pStyle w:val="BodyText"/>
      </w:pPr>
      <w:r>
        <w:t xml:space="preserve">The March 2026 Aiven whitelist finding adds a critical practical contribution:</w:t>
      </w:r>
      <w:r>
        <w:t xml:space="preserve"> </w:t>
      </w:r>
      <w:r>
        <w:rPr>
          <w:bCs/>
          <w:b/>
        </w:rPr>
        <w:t xml:space="preserve">managed-provider extension constraints drive architectural decisions in ways not captured by extension benchmarks alone.</w:t>
      </w:r>
      <w:r>
        <w:t xml:space="preserve"> </w:t>
      </w:r>
      <w:r>
        <w:t xml:space="preserve">The pg_duckdb extension achieves 50-600× analytical speedups but is unusable on Aiven managed PostgreSQL. This forced the two-tier HTAP architecture (Aiven managed + GN100 edge), demonstrating how real-world provider constraints shape database architecture for regulated EU deployments — a pattern likely applicable to any organization adopting managed PostgreSQL with HTAP ambitions.</w:t>
      </w:r>
    </w:p>
    <w:bookmarkEnd w:id="248"/>
    <w:bookmarkStart w:id="256" w:name="Xeed2d3b6f5ef39fe6b25e0d303e39b5ac18c570"/>
    <w:p>
      <w:pPr>
        <w:pStyle w:val="Heading3"/>
      </w:pPr>
      <w:r>
        <w:t xml:space="preserve">10.16 Harness Engineering — From Prompt Engineering to System Design</w:t>
      </w:r>
    </w:p>
    <w:p>
      <w:pPr>
        <w:pStyle w:val="FirstParagraph"/>
      </w:pPr>
      <w:r>
        <w:rPr>
          <w:bCs/>
          <w:b/>
        </w:rPr>
        <w:t xml:space="preserve">Source:</w:t>
      </w:r>
      <w:r>
        <w:t xml:space="preserve"> </w:t>
      </w:r>
      <w:r>
        <w:t xml:space="preserve">OpenAI,</w:t>
      </w:r>
      <w:r>
        <w:t xml:space="preserve"> </w:t>
      </w:r>
      <w:r>
        <w:t xml:space="preserve">“</w:t>
      </w:r>
      <w:r>
        <w:t xml:space="preserve">Harness engineering: leveraging Codex in an agent-first world</w:t>
      </w:r>
      <w:r>
        <w:t xml:space="preserve">”</w:t>
      </w:r>
      <w:r>
        <w:t xml:space="preserve">, 13.02.2026; Martin Fowler,</w:t>
      </w:r>
      <w:r>
        <w:t xml:space="preserve"> </w:t>
      </w:r>
      <w:r>
        <w:t xml:space="preserve">“</w:t>
      </w:r>
      <w:r>
        <w:t xml:space="preserve">Harness Engineering</w:t>
      </w:r>
      <w:r>
        <w:t xml:space="preserve">”</w:t>
      </w:r>
      <w:r>
        <w:t xml:space="preserve">, 2026; Datadog,</w:t>
      </w:r>
      <w:r>
        <w:t xml:space="preserve"> </w:t>
      </w:r>
      <w:r>
        <w:t xml:space="preserve">“</w:t>
      </w:r>
      <w:r>
        <w:t xml:space="preserve">Closing the verification loop</w:t>
      </w:r>
      <w:r>
        <w:t xml:space="preserve">”</w:t>
      </w:r>
      <w:r>
        <w:t xml:space="preserve">, 2026.</w:t>
      </w:r>
    </w:p>
    <w:p>
      <w:pPr>
        <w:pStyle w:val="BodyText"/>
      </w:pPr>
      <w:r>
        <w:rPr>
          <w:bCs/>
          <w:b/>
        </w:rPr>
        <w:t xml:space="preserve">Context:</w:t>
      </w:r>
      <w:r>
        <w:t xml:space="preserve"> </w:t>
      </w:r>
      <w:r>
        <w:t xml:space="preserve">OpenAI’s Harness team built a product in five months without writing a single line of code manually — one million lines, ~1,500 PRs, 3-7 engineers. This section analyzes the 8 harness engineering principles and compares them with DWS IQ 6’s independently developed architecture.</w:t>
      </w:r>
    </w:p>
    <w:bookmarkStart w:id="249" w:name="definition"/>
    <w:p>
      <w:pPr>
        <w:pStyle w:val="Heading4"/>
      </w:pPr>
      <w:r>
        <w:t xml:space="preserve">10.16.1 Definition</w:t>
      </w:r>
    </w:p>
    <w:p>
      <w:pPr>
        <w:pStyle w:val="FirstParagraph"/>
      </w:pPr>
      <w:r>
        <w:rPr>
          <w:bCs/>
          <w:b/>
        </w:rPr>
        <w:t xml:space="preserve">Harness</w:t>
      </w:r>
      <w:r>
        <w:t xml:space="preserve"> </w:t>
      </w:r>
      <w:r>
        <w:t xml:space="preserve">= the entire environment (scaffolding, constraints, feedback loops) surrounding an AI agent that enables stable, productive work.</w:t>
      </w:r>
    </w:p>
    <w:p>
      <w:pPr>
        <w:pStyle w:val="BodyText"/>
      </w:pPr>
      <w:r>
        <w:rPr>
          <w:bCs/>
          <w:b/>
        </w:rPr>
        <w:t xml:space="preserve">Harness Engineering</w:t>
      </w:r>
      <w:r>
        <w:t xml:space="preserve"> </w:t>
      </w:r>
      <w:r>
        <w:t xml:space="preserve">= the shift from writing code to:</w:t>
      </w:r>
    </w:p>
    <w:p>
      <w:pPr>
        <w:numPr>
          <w:ilvl w:val="0"/>
          <w:numId w:val="1083"/>
        </w:numPr>
        <w:pStyle w:val="Compact"/>
      </w:pPr>
      <w:r>
        <w:rPr>
          <w:bCs/>
          <w:b/>
        </w:rPr>
        <w:t xml:space="preserve">Environment design</w:t>
      </w:r>
      <w:r>
        <w:t xml:space="preserve"> </w:t>
      </w:r>
      <w:r>
        <w:t xml:space="preserve">— designing the workspace agents operate in</w:t>
      </w:r>
    </w:p>
    <w:p>
      <w:pPr>
        <w:numPr>
          <w:ilvl w:val="0"/>
          <w:numId w:val="1083"/>
        </w:numPr>
        <w:pStyle w:val="Compact"/>
      </w:pPr>
      <w:r>
        <w:rPr>
          <w:bCs/>
          <w:b/>
        </w:rPr>
        <w:t xml:space="preserve">Intent specification</w:t>
      </w:r>
      <w:r>
        <w:t xml:space="preserve"> </w:t>
      </w:r>
      <w:r>
        <w:t xml:space="preserve">— defining what needs to happen, not how</w:t>
      </w:r>
    </w:p>
    <w:p>
      <w:pPr>
        <w:numPr>
          <w:ilvl w:val="0"/>
          <w:numId w:val="1083"/>
        </w:numPr>
        <w:pStyle w:val="Compact"/>
      </w:pPr>
      <w:r>
        <w:rPr>
          <w:bCs/>
          <w:b/>
        </w:rPr>
        <w:t xml:space="preserve">Feedback loop construction</w:t>
      </w:r>
      <w:r>
        <w:t xml:space="preserve"> </w:t>
      </w:r>
      <w:r>
        <w:t xml:space="preserve">— building mechanisms for agents to self-correct</w:t>
      </w:r>
    </w:p>
    <w:p>
      <w:pPr>
        <w:pStyle w:val="FirstParagraph"/>
      </w:pPr>
      <w:r>
        <w:t xml:space="preserve">When something fails, the question is not</w:t>
      </w:r>
      <w:r>
        <w:t xml:space="preserve"> </w:t>
      </w:r>
      <w:r>
        <w:t xml:space="preserve">“</w:t>
      </w:r>
      <w:r>
        <w:t xml:space="preserve">try harder</w:t>
      </w:r>
      <w:r>
        <w:t xml:space="preserve">”</w:t>
      </w:r>
      <w:r>
        <w:t xml:space="preserve"> </w:t>
      </w:r>
      <w:r>
        <w:t xml:space="preserve">but</w:t>
      </w:r>
      <w:r>
        <w:t xml:space="preserve"> </w:t>
      </w:r>
      <w:r>
        <w:rPr>
          <w:bCs/>
          <w:b/>
        </w:rPr>
        <w:t xml:space="preserve">“</w:t>
      </w:r>
      <w:r>
        <w:rPr>
          <w:bCs/>
          <w:b/>
        </w:rPr>
        <w:t xml:space="preserve">what capability is missing?</w:t>
      </w:r>
      <w:r>
        <w:rPr>
          <w:bCs/>
          <w:b/>
        </w:rPr>
        <w:t xml:space="preserve">”</w:t>
      </w:r>
    </w:p>
    <w:bookmarkEnd w:id="249"/>
    <w:bookmarkStart w:id="250" w:name="the-eight-principles-dws-iq-6-comparison"/>
    <w:p>
      <w:pPr>
        <w:pStyle w:val="Heading4"/>
      </w:pPr>
      <w:r>
        <w:t xml:space="preserve">10.16.2 The Eight Principles — DWS IQ 6 Comparison</w:t>
      </w:r>
    </w:p>
    <w:tbl>
      <w:tblPr>
        <w:tblStyle w:val="Table"/>
        <w:tblW w:type="pct" w:w="5000"/>
        <w:tblLook w:firstRow="1" w:lastRow="0" w:firstColumn="0" w:lastColumn="0" w:noHBand="0" w:noVBand="0" w:val="0020"/>
        <w:jc w:val="start"/>
      </w:tblPr>
      <w:tblGrid>
        <w:gridCol w:w="153"/>
        <w:gridCol w:w="2043"/>
        <w:gridCol w:w="2248"/>
        <w:gridCol w:w="3014"/>
        <w:gridCol w:w="459"/>
      </w:tblGrid>
      <w:tr>
        <w:trPr>
          <w:tblHeader w:val="true"/>
        </w:trPr>
        <w:tc>
          <w:tcPr/>
          <w:p>
            <w:pPr>
              <w:pStyle w:val="Compact"/>
              <w:jc w:val="left"/>
            </w:pPr>
            <w:r>
              <w:t xml:space="preserve">#</w:t>
            </w:r>
          </w:p>
        </w:tc>
        <w:tc>
          <w:tcPr/>
          <w:p>
            <w:pPr>
              <w:pStyle w:val="Compact"/>
              <w:jc w:val="left"/>
            </w:pPr>
            <w:r>
              <w:t xml:space="preserve">Principle</w:t>
            </w:r>
          </w:p>
        </w:tc>
        <w:tc>
          <w:tcPr/>
          <w:p>
            <w:pPr>
              <w:pStyle w:val="Compact"/>
              <w:jc w:val="left"/>
            </w:pPr>
            <w:r>
              <w:t xml:space="preserve">OpenAI Approach</w:t>
            </w:r>
          </w:p>
        </w:tc>
        <w:tc>
          <w:tcPr/>
          <w:p>
            <w:pPr>
              <w:pStyle w:val="Compact"/>
              <w:jc w:val="left"/>
            </w:pPr>
            <w:r>
              <w:t xml:space="preserve">DWS IQ 6 Approach</w:t>
            </w:r>
          </w:p>
        </w:tc>
        <w:tc>
          <w:tcPr/>
          <w:p>
            <w:pPr>
              <w:pStyle w:val="Compact"/>
              <w:jc w:val="left"/>
            </w:pPr>
            <w:r>
              <w:t xml:space="preserve">Readiness</w:t>
            </w:r>
          </w:p>
        </w:tc>
      </w:tr>
      <w:tr>
        <w:tc>
          <w:tcPr/>
          <w:p>
            <w:pPr>
              <w:pStyle w:val="Compact"/>
              <w:jc w:val="left"/>
            </w:pPr>
            <w:r>
              <w:t xml:space="preserve">1</w:t>
            </w:r>
          </w:p>
        </w:tc>
        <w:tc>
          <w:tcPr/>
          <w:p>
            <w:pPr>
              <w:pStyle w:val="Compact"/>
              <w:jc w:val="left"/>
            </w:pPr>
            <w:r>
              <w:t xml:space="preserve">AGENTS.md = map, not encyclopedia</w:t>
            </w:r>
          </w:p>
        </w:tc>
        <w:tc>
          <w:tcPr/>
          <w:p>
            <w:pPr>
              <w:pStyle w:val="Compact"/>
              <w:jc w:val="left"/>
            </w:pPr>
            <w:r>
              <w:t xml:space="preserve">~100 lines, acts as table of contents</w:t>
            </w:r>
          </w:p>
        </w:tc>
        <w:tc>
          <w:tcPr/>
          <w:p>
            <w:pPr>
              <w:pStyle w:val="Compact"/>
              <w:jc w:val="left"/>
            </w:pPr>
            <w:r>
              <w:t xml:space="preserve">CLAUDE.md + AGENTS.md + JIT L0-L6 six-layer loading</w:t>
            </w:r>
          </w:p>
        </w:tc>
        <w:tc>
          <w:tcPr/>
          <w:p>
            <w:pPr>
              <w:pStyle w:val="Compact"/>
              <w:jc w:val="left"/>
            </w:pPr>
            <w:r>
              <w:rPr>
                <w:bCs/>
                <w:b/>
              </w:rPr>
              <w:t xml:space="preserve">90%</w:t>
            </w:r>
          </w:p>
        </w:tc>
      </w:tr>
      <w:tr>
        <w:tc>
          <w:tcPr/>
          <w:p>
            <w:pPr>
              <w:pStyle w:val="Compact"/>
              <w:jc w:val="left"/>
            </w:pPr>
            <w:r>
              <w:t xml:space="preserve">2</w:t>
            </w:r>
          </w:p>
        </w:tc>
        <w:tc>
          <w:tcPr/>
          <w:p>
            <w:pPr>
              <w:pStyle w:val="Compact"/>
              <w:jc w:val="left"/>
            </w:pPr>
            <w:r>
              <w:t xml:space="preserve">“</w:t>
            </w:r>
            <w:r>
              <w:t xml:space="preserve">Boring technology</w:t>
            </w:r>
            <w:r>
              <w:t xml:space="preserve">”</w:t>
            </w:r>
            <w:r>
              <w:t xml:space="preserve"> </w:t>
            </w:r>
            <w:r>
              <w:t xml:space="preserve">wins</w:t>
            </w:r>
          </w:p>
        </w:tc>
        <w:tc>
          <w:tcPr/>
          <w:p>
            <w:pPr>
              <w:pStyle w:val="Compact"/>
              <w:jc w:val="left"/>
            </w:pPr>
            <w:r>
              <w:t xml:space="preserve">Stable, well-documented tech stacks</w:t>
            </w:r>
          </w:p>
        </w:tc>
        <w:tc>
          <w:tcPr/>
          <w:p>
            <w:pPr>
              <w:pStyle w:val="Compact"/>
              <w:jc w:val="left"/>
            </w:pPr>
            <w:r>
              <w:t xml:space="preserve">Express 4, React 19, PostgreSQL — CLI-first mandate</w:t>
            </w:r>
          </w:p>
        </w:tc>
        <w:tc>
          <w:tcPr/>
          <w:p>
            <w:pPr>
              <w:pStyle w:val="Compact"/>
              <w:jc w:val="left"/>
            </w:pPr>
            <w:r>
              <w:rPr>
                <w:bCs/>
                <w:b/>
              </w:rPr>
              <w:t xml:space="preserve">95%</w:t>
            </w:r>
          </w:p>
        </w:tc>
      </w:tr>
      <w:tr>
        <w:tc>
          <w:tcPr/>
          <w:p>
            <w:pPr>
              <w:pStyle w:val="Compact"/>
              <w:jc w:val="left"/>
            </w:pPr>
            <w:r>
              <w:t xml:space="preserve">3</w:t>
            </w:r>
          </w:p>
        </w:tc>
        <w:tc>
          <w:tcPr/>
          <w:p>
            <w:pPr>
              <w:pStyle w:val="Compact"/>
              <w:jc w:val="left"/>
            </w:pPr>
            <w:r>
              <w:t xml:space="preserve">Golden Principles quality gates</w:t>
            </w:r>
          </w:p>
        </w:tc>
        <w:tc>
          <w:tcPr/>
          <w:p>
            <w:pPr>
              <w:pStyle w:val="Compact"/>
              <w:jc w:val="left"/>
            </w:pPr>
            <w:r>
              <w:t xml:space="preserve">Automated background scanning + fix PRs</w:t>
            </w:r>
          </w:p>
        </w:tc>
        <w:tc>
          <w:tcPr/>
          <w:p>
            <w:pPr>
              <w:pStyle w:val="Compact"/>
              <w:jc w:val="left"/>
            </w:pPr>
            <w:r>
              <w:t xml:space="preserve">11 standards + Boardy architect persona review</w:t>
            </w:r>
          </w:p>
        </w:tc>
        <w:tc>
          <w:tcPr/>
          <w:p>
            <w:pPr>
              <w:pStyle w:val="Compact"/>
              <w:jc w:val="left"/>
            </w:pPr>
            <w:r>
              <w:rPr>
                <w:bCs/>
                <w:b/>
              </w:rPr>
              <w:t xml:space="preserve">75%</w:t>
            </w:r>
          </w:p>
        </w:tc>
      </w:tr>
      <w:tr>
        <w:tc>
          <w:tcPr/>
          <w:p>
            <w:pPr>
              <w:pStyle w:val="Compact"/>
              <w:jc w:val="left"/>
            </w:pPr>
            <w:r>
              <w:t xml:space="preserve">4</w:t>
            </w:r>
          </w:p>
        </w:tc>
        <w:tc>
          <w:tcPr/>
          <w:p>
            <w:pPr>
              <w:pStyle w:val="Compact"/>
              <w:jc w:val="left"/>
            </w:pPr>
            <w:r>
              <w:t xml:space="preserve">Mechanical architecture enforcement</w:t>
            </w:r>
          </w:p>
        </w:tc>
        <w:tc>
          <w:tcPr/>
          <w:p>
            <w:pPr>
              <w:pStyle w:val="Compact"/>
              <w:jc w:val="left"/>
            </w:pPr>
            <w:r>
              <w:t xml:space="preserve">Linters with fix instructions in errors</w:t>
            </w:r>
          </w:p>
        </w:tc>
        <w:tc>
          <w:tcPr/>
          <w:p>
            <w:pPr>
              <w:pStyle w:val="Compact"/>
              <w:jc w:val="left"/>
            </w:pPr>
            <w:r>
              <w:t xml:space="preserve">ESLint + security coding rules (OWASP, SRI, CORS)</w:t>
            </w:r>
          </w:p>
        </w:tc>
        <w:tc>
          <w:tcPr/>
          <w:p>
            <w:pPr>
              <w:pStyle w:val="Compact"/>
              <w:jc w:val="left"/>
            </w:pPr>
            <w:r>
              <w:rPr>
                <w:bCs/>
                <w:b/>
              </w:rPr>
              <w:t xml:space="preserve">60%</w:t>
            </w:r>
          </w:p>
        </w:tc>
      </w:tr>
      <w:tr>
        <w:tc>
          <w:tcPr/>
          <w:p>
            <w:pPr>
              <w:pStyle w:val="Compact"/>
              <w:jc w:val="left"/>
            </w:pPr>
            <w:r>
              <w:t xml:space="preserve">5</w:t>
            </w:r>
          </w:p>
        </w:tc>
        <w:tc>
          <w:tcPr/>
          <w:p>
            <w:pPr>
              <w:pStyle w:val="Compact"/>
              <w:jc w:val="left"/>
            </w:pPr>
            <w:r>
              <w:t xml:space="preserve">Knowledge belongs in the repo</w:t>
            </w:r>
          </w:p>
        </w:tc>
        <w:tc>
          <w:tcPr/>
          <w:p>
            <w:pPr>
              <w:pStyle w:val="Compact"/>
              <w:jc w:val="left"/>
            </w:pPr>
            <w:r>
              <w:t xml:space="preserve">If it’s not in the repo, it doesn’t exist</w:t>
            </w:r>
          </w:p>
        </w:tc>
        <w:tc>
          <w:tcPr/>
          <w:p>
            <w:pPr>
              <w:pStyle w:val="Compact"/>
              <w:jc w:val="left"/>
            </w:pPr>
            <w:r>
              <w:t xml:space="preserve">71 docs + DWS Document Standard + VERSION AND AGENT HISTORY</w:t>
            </w:r>
          </w:p>
        </w:tc>
        <w:tc>
          <w:tcPr/>
          <w:p>
            <w:pPr>
              <w:pStyle w:val="Compact"/>
              <w:jc w:val="left"/>
            </w:pPr>
            <w:r>
              <w:rPr>
                <w:bCs/>
                <w:b/>
              </w:rPr>
              <w:t xml:space="preserve">95%</w:t>
            </w:r>
          </w:p>
        </w:tc>
      </w:tr>
      <w:tr>
        <w:tc>
          <w:tcPr/>
          <w:p>
            <w:pPr>
              <w:pStyle w:val="Compact"/>
              <w:jc w:val="left"/>
            </w:pPr>
            <w:r>
              <w:t xml:space="preserve">6</w:t>
            </w:r>
          </w:p>
        </w:tc>
        <w:tc>
          <w:tcPr/>
          <w:p>
            <w:pPr>
              <w:pStyle w:val="Compact"/>
              <w:jc w:val="left"/>
            </w:pPr>
            <w:r>
              <w:t xml:space="preserve">Agent-agent code review</w:t>
            </w:r>
          </w:p>
        </w:tc>
        <w:tc>
          <w:tcPr/>
          <w:p>
            <w:pPr>
              <w:pStyle w:val="Compact"/>
              <w:jc w:val="left"/>
            </w:pPr>
            <w:r>
              <w:t xml:space="preserve">“</w:t>
            </w:r>
            <w:r>
              <w:t xml:space="preserve">Ralph Wiggum Loop</w:t>
            </w:r>
            <w:r>
              <w:t xml:space="preserve">”</w:t>
            </w:r>
            <w:r>
              <w:t xml:space="preserve"> </w:t>
            </w:r>
            <w:r>
              <w:t xml:space="preserve">— self-review cycles</w:t>
            </w:r>
          </w:p>
        </w:tc>
        <w:tc>
          <w:tcPr/>
          <w:p>
            <w:pPr>
              <w:pStyle w:val="Compact"/>
              <w:jc w:val="left"/>
            </w:pPr>
            <w:r>
              <w:t xml:space="preserve">Simplify skill + Boardy + human-in-the-loop</w:t>
            </w:r>
          </w:p>
        </w:tc>
        <w:tc>
          <w:tcPr/>
          <w:p>
            <w:pPr>
              <w:pStyle w:val="Compact"/>
              <w:jc w:val="left"/>
            </w:pPr>
            <w:r>
              <w:rPr>
                <w:bCs/>
                <w:b/>
              </w:rPr>
              <w:t xml:space="preserve">50%</w:t>
            </w:r>
          </w:p>
        </w:tc>
      </w:tr>
      <w:tr>
        <w:tc>
          <w:tcPr/>
          <w:p>
            <w:pPr>
              <w:pStyle w:val="Compact"/>
              <w:jc w:val="left"/>
            </w:pPr>
            <w:r>
              <w:t xml:space="preserve">7</w:t>
            </w:r>
          </w:p>
        </w:tc>
        <w:tc>
          <w:tcPr/>
          <w:p>
            <w:pPr>
              <w:pStyle w:val="Compact"/>
              <w:jc w:val="left"/>
            </w:pPr>
            <w:r>
              <w:t xml:space="preserve">Compounding returns (build capabilities)</w:t>
            </w:r>
          </w:p>
        </w:tc>
        <w:tc>
          <w:tcPr/>
          <w:p>
            <w:pPr>
              <w:pStyle w:val="Compact"/>
              <w:jc w:val="left"/>
            </w:pPr>
            <w:r>
              <w:t xml:space="preserve">Diagnose missing capability, build into repo</w:t>
            </w:r>
          </w:p>
        </w:tc>
        <w:tc>
          <w:tcPr/>
          <w:p>
            <w:pPr>
              <w:pStyle w:val="Compact"/>
              <w:jc w:val="left"/>
            </w:pPr>
            <w:r>
              <w:t xml:space="preserve">10 skills + 16 agents + MCP Hub + workflow orchestration</w:t>
            </w:r>
          </w:p>
        </w:tc>
        <w:tc>
          <w:tcPr/>
          <w:p>
            <w:pPr>
              <w:pStyle w:val="Compact"/>
              <w:jc w:val="left"/>
            </w:pPr>
            <w:r>
              <w:rPr>
                <w:bCs/>
                <w:b/>
              </w:rPr>
              <w:t xml:space="preserve">85%</w:t>
            </w:r>
          </w:p>
        </w:tc>
      </w:tr>
      <w:tr>
        <w:tc>
          <w:tcPr/>
          <w:p>
            <w:pPr>
              <w:pStyle w:val="Compact"/>
              <w:jc w:val="left"/>
            </w:pPr>
            <w:r>
              <w:t xml:space="preserve">8</w:t>
            </w:r>
          </w:p>
        </w:tc>
        <w:tc>
          <w:tcPr/>
          <w:p>
            <w:pPr>
              <w:pStyle w:val="Compact"/>
              <w:jc w:val="left"/>
            </w:pPr>
            <w:r>
              <w:t xml:space="preserve">Engineers as environment designers</w:t>
            </w:r>
          </w:p>
        </w:tc>
        <w:tc>
          <w:tcPr/>
          <w:p>
            <w:pPr>
              <w:pStyle w:val="Compact"/>
              <w:jc w:val="left"/>
            </w:pPr>
            <w:r>
              <w:t xml:space="preserve">3.5 PR/engineer/day throughput</w:t>
            </w:r>
          </w:p>
        </w:tc>
        <w:tc>
          <w:tcPr/>
          <w:p>
            <w:pPr>
              <w:pStyle w:val="Compact"/>
              <w:jc w:val="left"/>
            </w:pPr>
            <w:r>
              <w:t xml:space="preserve">Worktree workflow + session handover protocol</w:t>
            </w:r>
          </w:p>
        </w:tc>
        <w:tc>
          <w:tcPr/>
          <w:p>
            <w:pPr>
              <w:pStyle w:val="Compact"/>
              <w:jc w:val="left"/>
            </w:pPr>
            <w:r>
              <w:rPr>
                <w:bCs/>
                <w:b/>
              </w:rPr>
              <w:t xml:space="preserve">80%</w:t>
            </w:r>
          </w:p>
        </w:tc>
      </w:tr>
    </w:tbl>
    <w:p>
      <w:pPr>
        <w:pStyle w:val="BodyText"/>
      </w:pPr>
      <w:r>
        <w:rPr>
          <w:bCs/>
          <w:b/>
        </w:rPr>
        <w:t xml:space="preserve">Overall DWS readiness: ~79%</w:t>
      </w:r>
      <w:r>
        <w:t xml:space="preserve"> </w:t>
      </w:r>
      <w:r>
        <w:t xml:space="preserve">against OpenAI’s harness engineering principles.</w:t>
      </w:r>
    </w:p>
    <w:bookmarkEnd w:id="250"/>
    <w:bookmarkStart w:id="251" w:name="Xc6df8628571b2cbb55601e4b27bc9457d2ada6d"/>
    <w:p>
      <w:pPr>
        <w:pStyle w:val="Heading4"/>
      </w:pPr>
      <w:r>
        <w:t xml:space="preserve">10.16.3 Key Empirical Finding: The Model Does Not Solve — The Harness Does</w:t>
      </w:r>
    </w:p>
    <w:p>
      <w:pPr>
        <w:pStyle w:val="FirstParagraph"/>
      </w:pPr>
      <w:r>
        <w:t xml:space="preserve">The most significant empirical finding from the harness engineering literature:</w:t>
      </w:r>
    </w:p>
    <w:p>
      <w:pPr>
        <w:pStyle w:val="BlockText"/>
      </w:pPr>
      <w:r>
        <w:t xml:space="preserve">The same model (gpt-5.2-codex) improved its benchmark results from</w:t>
      </w:r>
      <w:r>
        <w:t xml:space="preserve"> </w:t>
      </w:r>
      <w:r>
        <w:rPr>
          <w:bCs/>
          <w:b/>
        </w:rPr>
        <w:t xml:space="preserve">52.8% to 66.5%</w:t>
      </w:r>
      <w:r>
        <w:t xml:space="preserve"> </w:t>
      </w:r>
      <w:r>
        <w:t xml:space="preserve">purely through harness improvements (LangChain case). No model change — only system-level improvements.</w:t>
      </w:r>
    </w:p>
    <w:p>
      <w:pPr>
        <w:pStyle w:val="FirstParagraph"/>
      </w:pPr>
      <w:r>
        <w:t xml:space="preserve">This validates DWS IQ 6’s core architectural hypothesis:</w:t>
      </w:r>
      <w:r>
        <w:t xml:space="preserve"> </w:t>
      </w:r>
      <w:r>
        <w:rPr>
          <w:bCs/>
          <w:b/>
        </w:rPr>
        <w:t xml:space="preserve">the system surrounding the model matters more than the model itself.</w:t>
      </w:r>
      <w:r>
        <w:t xml:space="preserve"> </w:t>
      </w:r>
      <w:r>
        <w:t xml:space="preserve">DWS’s six-layer information architecture (L0 Platform Model → L6 Tool Result Injection) is a formalization of this principle.</w:t>
      </w:r>
    </w:p>
    <w:p>
      <w:pPr>
        <w:pStyle w:val="BodyText"/>
      </w:pPr>
      <w:r>
        <w:rPr>
          <w:bCs/>
          <w:b/>
        </w:rPr>
        <w:t xml:space="preserve">Progressive disclosure works empirically:</w:t>
      </w:r>
    </w:p>
    <w:p>
      <w:pPr>
        <w:numPr>
          <w:ilvl w:val="0"/>
          <w:numId w:val="1084"/>
        </w:numPr>
        <w:pStyle w:val="Compact"/>
      </w:pPr>
      <w:r>
        <w:t xml:space="preserve">Cursor achieved</w:t>
      </w:r>
      <w:r>
        <w:t xml:space="preserve"> </w:t>
      </w:r>
      <w:r>
        <w:rPr>
          <w:bCs/>
          <w:b/>
        </w:rPr>
        <w:t xml:space="preserve">46.9% token savings</w:t>
      </w:r>
      <w:r>
        <w:t xml:space="preserve"> </w:t>
      </w:r>
      <w:r>
        <w:t xml:space="preserve">through context management</w:t>
      </w:r>
    </w:p>
    <w:p>
      <w:pPr>
        <w:numPr>
          <w:ilvl w:val="0"/>
          <w:numId w:val="1084"/>
        </w:numPr>
        <w:pStyle w:val="Compact"/>
      </w:pPr>
      <w:r>
        <w:t xml:space="preserve">Vercel reduced context from</w:t>
      </w:r>
      <w:r>
        <w:t xml:space="preserve"> </w:t>
      </w:r>
      <w:r>
        <w:rPr>
          <w:bCs/>
          <w:b/>
        </w:rPr>
        <w:t xml:space="preserve">145K → 67K tokens</w:t>
      </w:r>
      <w:r>
        <w:t xml:space="preserve"> </w:t>
      </w:r>
      <w:r>
        <w:t xml:space="preserve">with JIT loading</w:t>
      </w:r>
    </w:p>
    <w:p>
      <w:pPr>
        <w:numPr>
          <w:ilvl w:val="0"/>
          <w:numId w:val="1084"/>
        </w:numPr>
        <w:pStyle w:val="Compact"/>
      </w:pPr>
      <w:r>
        <w:t xml:space="preserve">DWS’s L6 Tool Injection layer (system-reminder after every tool call) shows</w:t>
      </w:r>
      <w:r>
        <w:t xml:space="preserve"> </w:t>
      </w:r>
      <w:r>
        <w:rPr>
          <w:bCs/>
          <w:b/>
        </w:rPr>
        <w:t xml:space="preserve">15-47% better rule compliance</w:t>
      </w:r>
      <w:r>
        <w:t xml:space="preserve"> </w:t>
      </w:r>
      <w:r>
        <w:t xml:space="preserve">than system prompt alone</w:t>
      </w:r>
    </w:p>
    <w:bookmarkEnd w:id="251"/>
    <w:bookmarkStart w:id="252" w:name="Xf666f6993e79c7df4aabd9e96a7a6903c175526"/>
    <w:p>
      <w:pPr>
        <w:pStyle w:val="Heading4"/>
      </w:pPr>
      <w:r>
        <w:t xml:space="preserve">10.16.4 DWS Six-Layer Architecture (L0-L6) as Harness Formalization</w:t>
      </w:r>
    </w:p>
    <w:p>
      <w:pPr>
        <w:pStyle w:val="FirstParagraph"/>
      </w:pPr>
      <w:r>
        <w:t xml:space="preserve">DWS IQ 6 has independently developed a six-layer information architecture that formalizes the harness concept:</w:t>
      </w:r>
    </w:p>
    <w:tbl>
      <w:tblPr>
        <w:tblStyle w:val="Table"/>
        <w:tblW w:type="pct" w:w="5000"/>
        <w:tblLook w:firstRow="1" w:lastRow="0" w:firstColumn="0" w:lastColumn="0" w:noHBand="0" w:noVBand="0" w:val="0020"/>
        <w:jc w:val="start"/>
      </w:tblPr>
      <w:tblGrid>
        <w:gridCol w:w="528"/>
        <w:gridCol w:w="1848"/>
        <w:gridCol w:w="3520"/>
        <w:gridCol w:w="2023"/>
      </w:tblGrid>
      <w:tr>
        <w:trPr>
          <w:tblHeader w:val="true"/>
        </w:trPr>
        <w:tc>
          <w:tcPr/>
          <w:p>
            <w:pPr>
              <w:pStyle w:val="Compact"/>
              <w:jc w:val="left"/>
            </w:pPr>
            <w:r>
              <w:t xml:space="preserve">Layer</w:t>
            </w:r>
          </w:p>
        </w:tc>
        <w:tc>
          <w:tcPr/>
          <w:p>
            <w:pPr>
              <w:pStyle w:val="Compact"/>
              <w:jc w:val="left"/>
            </w:pPr>
            <w:r>
              <w:t xml:space="preserve">Name</w:t>
            </w:r>
          </w:p>
        </w:tc>
        <w:tc>
          <w:tcPr/>
          <w:p>
            <w:pPr>
              <w:pStyle w:val="Compact"/>
              <w:jc w:val="left"/>
            </w:pPr>
            <w:r>
              <w:t xml:space="preserve">Function</w:t>
            </w:r>
          </w:p>
        </w:tc>
        <w:tc>
          <w:tcPr/>
          <w:p>
            <w:pPr>
              <w:pStyle w:val="Compact"/>
              <w:jc w:val="left"/>
            </w:pPr>
            <w:r>
              <w:t xml:space="preserve">OpenAI Equivalent</w:t>
            </w:r>
          </w:p>
        </w:tc>
      </w:tr>
      <w:tr>
        <w:tc>
          <w:tcPr/>
          <w:p>
            <w:pPr>
              <w:pStyle w:val="Compact"/>
              <w:jc w:val="left"/>
            </w:pPr>
            <w:r>
              <w:rPr>
                <w:bCs/>
                <w:b/>
              </w:rPr>
              <w:t xml:space="preserve">L0</w:t>
            </w:r>
          </w:p>
        </w:tc>
        <w:tc>
          <w:tcPr/>
          <w:p>
            <w:pPr>
              <w:pStyle w:val="Compact"/>
              <w:jc w:val="left"/>
            </w:pPr>
            <w:r>
              <w:t xml:space="preserve">Platform Model</w:t>
            </w:r>
          </w:p>
        </w:tc>
        <w:tc>
          <w:tcPr/>
          <w:p>
            <w:pPr>
              <w:pStyle w:val="Compact"/>
              <w:jc w:val="left"/>
            </w:pPr>
            <w:r>
              <w:t xml:space="preserve">Base LLM capabilities</w:t>
            </w:r>
          </w:p>
        </w:tc>
        <w:tc>
          <w:tcPr/>
          <w:p>
            <w:pPr>
              <w:pStyle w:val="Compact"/>
              <w:jc w:val="left"/>
            </w:pPr>
            <w:r>
              <w:t xml:space="preserve">Implicit (Codex model)</w:t>
            </w:r>
          </w:p>
        </w:tc>
      </w:tr>
      <w:tr>
        <w:tc>
          <w:tcPr/>
          <w:p>
            <w:pPr>
              <w:pStyle w:val="Compact"/>
              <w:jc w:val="left"/>
            </w:pPr>
            <w:r>
              <w:rPr>
                <w:bCs/>
                <w:b/>
              </w:rPr>
              <w:t xml:space="preserve">L1</w:t>
            </w:r>
          </w:p>
        </w:tc>
        <w:tc>
          <w:tcPr/>
          <w:p>
            <w:pPr>
              <w:pStyle w:val="Compact"/>
              <w:jc w:val="left"/>
            </w:pPr>
            <w:r>
              <w:t xml:space="preserve">System Prompt</w:t>
            </w:r>
          </w:p>
        </w:tc>
        <w:tc>
          <w:tcPr/>
          <w:p>
            <w:pPr>
              <w:pStyle w:val="Compact"/>
              <w:jc w:val="left"/>
            </w:pPr>
            <w:r>
              <w:t xml:space="preserve">Session-level instructions</w:t>
            </w:r>
          </w:p>
        </w:tc>
        <w:tc>
          <w:tcPr/>
          <w:p>
            <w:pPr>
              <w:pStyle w:val="Compact"/>
              <w:jc w:val="left"/>
            </w:pPr>
            <w:r>
              <w:t xml:space="preserve">AGENTS.md injection</w:t>
            </w:r>
          </w:p>
        </w:tc>
      </w:tr>
      <w:tr>
        <w:tc>
          <w:tcPr/>
          <w:p>
            <w:pPr>
              <w:pStyle w:val="Compact"/>
              <w:jc w:val="left"/>
            </w:pPr>
            <w:r>
              <w:rPr>
                <w:bCs/>
                <w:b/>
              </w:rPr>
              <w:t xml:space="preserve">L2</w:t>
            </w:r>
          </w:p>
        </w:tc>
        <w:tc>
          <w:tcPr/>
          <w:p>
            <w:pPr>
              <w:pStyle w:val="Compact"/>
              <w:jc w:val="left"/>
            </w:pPr>
            <w:r>
              <w:t xml:space="preserve">Standards (JIT)</w:t>
            </w:r>
          </w:p>
        </w:tc>
        <w:tc>
          <w:tcPr/>
          <w:p>
            <w:pPr>
              <w:pStyle w:val="Compact"/>
              <w:jc w:val="left"/>
            </w:pPr>
            <w:r>
              <w:t xml:space="preserve">On-demand standard loading</w:t>
            </w:r>
          </w:p>
        </w:tc>
        <w:tc>
          <w:tcPr/>
          <w:p>
            <w:pPr>
              <w:pStyle w:val="Compact"/>
              <w:jc w:val="left"/>
            </w:pPr>
            <w:r>
              <w:t xml:space="preserve">docs/ folder references</w:t>
            </w:r>
          </w:p>
        </w:tc>
      </w:tr>
      <w:tr>
        <w:tc>
          <w:tcPr/>
          <w:p>
            <w:pPr>
              <w:pStyle w:val="Compact"/>
              <w:jc w:val="left"/>
            </w:pPr>
            <w:r>
              <w:rPr>
                <w:bCs/>
                <w:b/>
              </w:rPr>
              <w:t xml:space="preserve">L3</w:t>
            </w:r>
          </w:p>
        </w:tc>
        <w:tc>
          <w:tcPr/>
          <w:p>
            <w:pPr>
              <w:pStyle w:val="Compact"/>
              <w:jc w:val="left"/>
            </w:pPr>
            <w:r>
              <w:t xml:space="preserve">Task Context</w:t>
            </w:r>
          </w:p>
        </w:tc>
        <w:tc>
          <w:tcPr/>
          <w:p>
            <w:pPr>
              <w:pStyle w:val="Compact"/>
              <w:jc w:val="left"/>
            </w:pPr>
            <w:r>
              <w:t xml:space="preserve">Current task specification</w:t>
            </w:r>
          </w:p>
        </w:tc>
        <w:tc>
          <w:tcPr/>
          <w:p>
            <w:pPr>
              <w:pStyle w:val="Compact"/>
              <w:jc w:val="left"/>
            </w:pPr>
            <w:r>
              <w:t xml:space="preserve">PR description + issue</w:t>
            </w:r>
          </w:p>
        </w:tc>
      </w:tr>
      <w:tr>
        <w:tc>
          <w:tcPr/>
          <w:p>
            <w:pPr>
              <w:pStyle w:val="Compact"/>
              <w:jc w:val="left"/>
            </w:pPr>
            <w:r>
              <w:rPr>
                <w:bCs/>
                <w:b/>
              </w:rPr>
              <w:t xml:space="preserve">L4</w:t>
            </w:r>
          </w:p>
        </w:tc>
        <w:tc>
          <w:tcPr/>
          <w:p>
            <w:pPr>
              <w:pStyle w:val="Compact"/>
              <w:jc w:val="left"/>
            </w:pPr>
            <w:r>
              <w:t xml:space="preserve">Auto-Learned State</w:t>
            </w:r>
          </w:p>
        </w:tc>
        <w:tc>
          <w:tcPr/>
          <w:p>
            <w:pPr>
              <w:pStyle w:val="Compact"/>
              <w:jc w:val="left"/>
            </w:pPr>
            <w:r>
              <w:t xml:space="preserve">Persistent memory (Supabase + MEMORY.md)</w:t>
            </w:r>
          </w:p>
        </w:tc>
        <w:tc>
          <w:tcPr/>
          <w:p>
            <w:pPr>
              <w:pStyle w:val="Compact"/>
              <w:jc w:val="left"/>
            </w:pPr>
            <w:r>
              <w:t xml:space="preserve">Not described by OpenAI</w:t>
            </w:r>
          </w:p>
        </w:tc>
      </w:tr>
      <w:tr>
        <w:tc>
          <w:tcPr/>
          <w:p>
            <w:pPr>
              <w:pStyle w:val="Compact"/>
              <w:jc w:val="left"/>
            </w:pPr>
            <w:r>
              <w:rPr>
                <w:bCs/>
                <w:b/>
              </w:rPr>
              <w:t xml:space="preserve">L5</w:t>
            </w:r>
          </w:p>
        </w:tc>
        <w:tc>
          <w:tcPr/>
          <w:p>
            <w:pPr>
              <w:pStyle w:val="Compact"/>
              <w:jc w:val="left"/>
            </w:pPr>
            <w:r>
              <w:t xml:space="preserve">Tool Results</w:t>
            </w:r>
          </w:p>
        </w:tc>
        <w:tc>
          <w:tcPr/>
          <w:p>
            <w:pPr>
              <w:pStyle w:val="Compact"/>
              <w:jc w:val="left"/>
            </w:pPr>
            <w:r>
              <w:t xml:space="preserve">Output from tool executions</w:t>
            </w:r>
          </w:p>
        </w:tc>
        <w:tc>
          <w:tcPr/>
          <w:p>
            <w:pPr>
              <w:pStyle w:val="Compact"/>
              <w:jc w:val="left"/>
            </w:pPr>
            <w:r>
              <w:t xml:space="preserve">Agent loop tool calls</w:t>
            </w:r>
          </w:p>
        </w:tc>
      </w:tr>
      <w:tr>
        <w:tc>
          <w:tcPr/>
          <w:p>
            <w:pPr>
              <w:pStyle w:val="Compact"/>
              <w:jc w:val="left"/>
            </w:pPr>
            <w:r>
              <w:rPr>
                <w:bCs/>
                <w:b/>
              </w:rPr>
              <w:t xml:space="preserve">L6</w:t>
            </w:r>
          </w:p>
        </w:tc>
        <w:tc>
          <w:tcPr/>
          <w:p>
            <w:pPr>
              <w:pStyle w:val="Compact"/>
              <w:jc w:val="left"/>
            </w:pPr>
            <w:r>
              <w:t xml:space="preserve">Tool Result Injection</w:t>
            </w:r>
          </w:p>
        </w:tc>
        <w:tc>
          <w:tcPr/>
          <w:p>
            <w:pPr>
              <w:pStyle w:val="Compact"/>
              <w:jc w:val="left"/>
            </w:pPr>
            <w:r>
              <w:t xml:space="preserve">System reminders after each tool call</w:t>
            </w:r>
          </w:p>
        </w:tc>
        <w:tc>
          <w:tcPr/>
          <w:p>
            <w:pPr>
              <w:pStyle w:val="Compact"/>
              <w:jc w:val="left"/>
            </w:pPr>
            <w:r>
              <w:t xml:space="preserve">Not described by OpenAI</w:t>
            </w:r>
          </w:p>
        </w:tc>
      </w:tr>
    </w:tbl>
    <w:p>
      <w:pPr>
        <w:pStyle w:val="BodyText"/>
      </w:pPr>
      <w:r>
        <w:rPr>
          <w:bCs/>
          <w:b/>
        </w:rPr>
        <w:t xml:space="preserve">DWS innovations beyond OpenAI:</w:t>
      </w:r>
    </w:p>
    <w:p>
      <w:pPr>
        <w:numPr>
          <w:ilvl w:val="0"/>
          <w:numId w:val="1085"/>
        </w:numPr>
        <w:pStyle w:val="Compact"/>
      </w:pPr>
      <w:r>
        <w:rPr>
          <w:bCs/>
          <w:b/>
        </w:rPr>
        <w:t xml:space="preserve">L4 Auto-Learned State:</w:t>
      </w:r>
      <w:r>
        <w:t xml:space="preserve"> </w:t>
      </w:r>
      <w:r>
        <w:t xml:space="preserve">Agents learn across sessions via persistent memory — OpenAI does not describe equivalent capability</w:t>
      </w:r>
    </w:p>
    <w:p>
      <w:pPr>
        <w:numPr>
          <w:ilvl w:val="0"/>
          <w:numId w:val="1085"/>
        </w:numPr>
        <w:pStyle w:val="Compact"/>
      </w:pPr>
      <w:r>
        <w:rPr>
          <w:bCs/>
          <w:b/>
        </w:rPr>
        <w:t xml:space="preserve">L6 Tool Result Injection:</w:t>
      </w:r>
      <w:r>
        <w:t xml:space="preserve"> </w:t>
      </w:r>
      <w:r>
        <w:t xml:space="preserve">System reminders injected after every tool call, achieving 15-47% better standard compliance than prompt-only approaches</w:t>
      </w:r>
    </w:p>
    <w:p>
      <w:pPr>
        <w:numPr>
          <w:ilvl w:val="0"/>
          <w:numId w:val="1085"/>
        </w:numPr>
        <w:pStyle w:val="Compact"/>
      </w:pPr>
      <w:r>
        <w:rPr>
          <w:bCs/>
          <w:b/>
        </w:rPr>
        <w:t xml:space="preserve">12 Factor Agents compliance:</w:t>
      </w:r>
      <w:r>
        <w:t xml:space="preserve"> </w:t>
      </w:r>
      <w:r>
        <w:t xml:space="preserve">DWS documents 12/12 compliance with the 12 Factor Agents framework — OpenAI does not reference this</w:t>
      </w:r>
    </w:p>
    <w:bookmarkEnd w:id="252"/>
    <w:bookmarkStart w:id="253" w:name="Xa4ecf34a84c62df551e3b9b908aff279ac32601"/>
    <w:p>
      <w:pPr>
        <w:pStyle w:val="Heading4"/>
      </w:pPr>
      <w:r>
        <w:t xml:space="preserve">10.16.5 EU Regulation Requires a Different Harness</w:t>
      </w:r>
    </w:p>
    <w:p>
      <w:pPr>
        <w:pStyle w:val="FirstParagraph"/>
      </w:pPr>
      <w:r>
        <w:t xml:space="preserve">The most significant divergence between OpenAI and DWS approaches stems from regulatory context:</w:t>
      </w:r>
    </w:p>
    <w:tbl>
      <w:tblPr>
        <w:tblStyle w:val="Table"/>
        <w:tblW w:type="pct" w:w="5000"/>
        <w:tblLook w:firstRow="1" w:lastRow="0" w:firstColumn="0" w:lastColumn="0" w:noHBand="0" w:noVBand="0" w:val="0020"/>
        <w:jc w:val="start"/>
      </w:tblPr>
      <w:tblGrid>
        <w:gridCol w:w="1493"/>
        <w:gridCol w:w="2337"/>
        <w:gridCol w:w="4089"/>
      </w:tblGrid>
      <w:tr>
        <w:trPr>
          <w:tblHeader w:val="true"/>
        </w:trPr>
        <w:tc>
          <w:tcPr/>
          <w:p>
            <w:pPr>
              <w:pStyle w:val="Compact"/>
              <w:jc w:val="left"/>
            </w:pPr>
            <w:r>
              <w:t xml:space="preserve">Dimension</w:t>
            </w:r>
          </w:p>
        </w:tc>
        <w:tc>
          <w:tcPr/>
          <w:p>
            <w:pPr>
              <w:pStyle w:val="Compact"/>
              <w:jc w:val="left"/>
            </w:pPr>
            <w:r>
              <w:t xml:space="preserve">OpenAI (Silicon Valley)</w:t>
            </w:r>
          </w:p>
        </w:tc>
        <w:tc>
          <w:tcPr/>
          <w:p>
            <w:pPr>
              <w:pStyle w:val="Compact"/>
              <w:jc w:val="left"/>
            </w:pPr>
            <w:r>
              <w:t xml:space="preserve">DWS IQ 6 (EU-regulated)</w:t>
            </w:r>
          </w:p>
        </w:tc>
      </w:tr>
      <w:tr>
        <w:tc>
          <w:tcPr/>
          <w:p>
            <w:pPr>
              <w:pStyle w:val="Compact"/>
              <w:jc w:val="left"/>
            </w:pPr>
            <w:r>
              <w:rPr>
                <w:bCs/>
                <w:b/>
              </w:rPr>
              <w:t xml:space="preserve">Optimization target</w:t>
            </w:r>
          </w:p>
        </w:tc>
        <w:tc>
          <w:tcPr/>
          <w:p>
            <w:pPr>
              <w:pStyle w:val="Compact"/>
              <w:jc w:val="left"/>
            </w:pPr>
            <w:r>
              <w:t xml:space="preserve">Speed (3.5 PR/engineer/day)</w:t>
            </w:r>
          </w:p>
        </w:tc>
        <w:tc>
          <w:tcPr/>
          <w:p>
            <w:pPr>
              <w:pStyle w:val="Compact"/>
              <w:jc w:val="left"/>
            </w:pPr>
            <w:r>
              <w:t xml:space="preserve">Traceability, auditability, human-in-the-loop</w:t>
            </w:r>
          </w:p>
        </w:tc>
      </w:tr>
      <w:tr>
        <w:tc>
          <w:tcPr/>
          <w:p>
            <w:pPr>
              <w:pStyle w:val="Compact"/>
              <w:jc w:val="left"/>
            </w:pPr>
            <w:r>
              <w:rPr>
                <w:bCs/>
                <w:b/>
              </w:rPr>
              <w:t xml:space="preserve">Autonomy level</w:t>
            </w:r>
          </w:p>
        </w:tc>
        <w:tc>
          <w:tcPr/>
          <w:p>
            <w:pPr>
              <w:pStyle w:val="Compact"/>
              <w:jc w:val="left"/>
            </w:pPr>
            <w:r>
              <w:t xml:space="preserve">Near-full agent autonomy</w:t>
            </w:r>
          </w:p>
        </w:tc>
        <w:tc>
          <w:tcPr/>
          <w:p>
            <w:pPr>
              <w:pStyle w:val="Compact"/>
              <w:jc w:val="left"/>
            </w:pPr>
            <w:r>
              <w:t xml:space="preserve">Human remains final approver (Karpathy principles)</w:t>
            </w:r>
          </w:p>
        </w:tc>
      </w:tr>
      <w:tr>
        <w:tc>
          <w:tcPr/>
          <w:p>
            <w:pPr>
              <w:pStyle w:val="Compact"/>
              <w:jc w:val="left"/>
            </w:pPr>
            <w:r>
              <w:rPr>
                <w:bCs/>
                <w:b/>
              </w:rPr>
              <w:t xml:space="preserve">Code review</w:t>
            </w:r>
          </w:p>
        </w:tc>
        <w:tc>
          <w:tcPr/>
          <w:p>
            <w:pPr>
              <w:pStyle w:val="Compact"/>
              <w:jc w:val="left"/>
            </w:pPr>
            <w:r>
              <w:t xml:space="preserve">Agent-agent only (Ralph Wiggum Loop)</w:t>
            </w:r>
          </w:p>
        </w:tc>
        <w:tc>
          <w:tcPr/>
          <w:p>
            <w:pPr>
              <w:pStyle w:val="Compact"/>
              <w:jc w:val="left"/>
            </w:pPr>
            <w:r>
              <w:t xml:space="preserve">Agent pre-review + human final approval</w:t>
            </w:r>
          </w:p>
        </w:tc>
      </w:tr>
      <w:tr>
        <w:tc>
          <w:tcPr/>
          <w:p>
            <w:pPr>
              <w:pStyle w:val="Compact"/>
              <w:jc w:val="left"/>
            </w:pPr>
            <w:r>
              <w:rPr>
                <w:bCs/>
                <w:b/>
              </w:rPr>
              <w:t xml:space="preserve">Audit trail</w:t>
            </w:r>
          </w:p>
        </w:tc>
        <w:tc>
          <w:tcPr/>
          <w:p>
            <w:pPr>
              <w:pStyle w:val="Compact"/>
              <w:jc w:val="left"/>
            </w:pPr>
            <w:r>
              <w:t xml:space="preserve">Not described</w:t>
            </w:r>
          </w:p>
        </w:tc>
        <w:tc>
          <w:tcPr/>
          <w:p>
            <w:pPr>
              <w:pStyle w:val="Compact"/>
              <w:jc w:val="left"/>
            </w:pPr>
            <w:r>
              <w:t xml:space="preserve">VERSION AND AGENT HISTORY in every document, court-defensible</w:t>
            </w:r>
          </w:p>
        </w:tc>
      </w:tr>
      <w:tr>
        <w:tc>
          <w:tcPr/>
          <w:p>
            <w:pPr>
              <w:pStyle w:val="Compact"/>
              <w:jc w:val="left"/>
            </w:pPr>
            <w:r>
              <w:rPr>
                <w:bCs/>
                <w:b/>
              </w:rPr>
              <w:t xml:space="preserve">Data residency</w:t>
            </w:r>
          </w:p>
        </w:tc>
        <w:tc>
          <w:tcPr/>
          <w:p>
            <w:pPr>
              <w:pStyle w:val="Compact"/>
              <w:jc w:val="left"/>
            </w:pPr>
            <w:r>
              <w:t xml:space="preserve">US-centric</w:t>
            </w:r>
          </w:p>
        </w:tc>
        <w:tc>
          <w:tcPr/>
          <w:p>
            <w:pPr>
              <w:pStyle w:val="Compact"/>
              <w:jc w:val="left"/>
            </w:pPr>
            <w:r>
              <w:t xml:space="preserve">EU data residency (Finland/Germany), GDPR, EU AI Act</w:t>
            </w:r>
          </w:p>
        </w:tc>
      </w:tr>
      <w:tr>
        <w:tc>
          <w:tcPr/>
          <w:p>
            <w:pPr>
              <w:pStyle w:val="Compact"/>
              <w:jc w:val="left"/>
            </w:pPr>
            <w:r>
              <w:rPr>
                <w:bCs/>
                <w:b/>
              </w:rPr>
              <w:t xml:space="preserve">Industries served</w:t>
            </w:r>
          </w:p>
        </w:tc>
        <w:tc>
          <w:tcPr/>
          <w:p>
            <w:pPr>
              <w:pStyle w:val="Compact"/>
              <w:jc w:val="left"/>
            </w:pPr>
            <w:r>
              <w:t xml:space="preserve">Internal tooling</w:t>
            </w:r>
          </w:p>
        </w:tc>
        <w:tc>
          <w:tcPr/>
          <w:p>
            <w:pPr>
              <w:pStyle w:val="Compact"/>
              <w:jc w:val="left"/>
            </w:pPr>
            <w:r>
              <w:t xml:space="preserve">20 EU-regulated industries (construction, energy, chemicals…)</w:t>
            </w:r>
          </w:p>
        </w:tc>
      </w:tr>
    </w:tbl>
    <w:p>
      <w:pPr>
        <w:pStyle w:val="BodyText"/>
      </w:pPr>
      <w:r>
        <w:rPr>
          <w:bCs/>
          <w:b/>
        </w:rPr>
        <w:t xml:space="preserve">Thesis argument:</w:t>
      </w:r>
      <w:r>
        <w:t xml:space="preserve"> </w:t>
      </w:r>
      <w:r>
        <w:t xml:space="preserve">Both approaches are valid, but for different contexts. OpenAI optimizes for velocity in an unregulated internal environment. DWS optimizes for compliance, traceability, and trust in EU-regulated industries where autonomous agent decisions carry legal liability.</w:t>
      </w:r>
    </w:p>
    <w:p>
      <w:pPr>
        <w:pStyle w:val="BodyText"/>
      </w:pPr>
      <w:r>
        <w:t xml:space="preserve">The EU AI Act (effective August 2026) explicitly requires:</w:t>
      </w:r>
    </w:p>
    <w:p>
      <w:pPr>
        <w:numPr>
          <w:ilvl w:val="0"/>
          <w:numId w:val="1086"/>
        </w:numPr>
        <w:pStyle w:val="Compact"/>
      </w:pPr>
      <w:r>
        <w:rPr>
          <w:bCs/>
          <w:b/>
        </w:rPr>
        <w:t xml:space="preserve">Article 12:</w:t>
      </w:r>
      <w:r>
        <w:t xml:space="preserve"> </w:t>
      </w:r>
      <w:r>
        <w:t xml:space="preserve">Logging of AI system operations for at least 7 years</w:t>
      </w:r>
    </w:p>
    <w:p>
      <w:pPr>
        <w:numPr>
          <w:ilvl w:val="0"/>
          <w:numId w:val="1086"/>
        </w:numPr>
        <w:pStyle w:val="Compact"/>
      </w:pPr>
      <w:r>
        <w:rPr>
          <w:bCs/>
          <w:b/>
        </w:rPr>
        <w:t xml:space="preserve">Article 14:</w:t>
      </w:r>
      <w:r>
        <w:t xml:space="preserve"> </w:t>
      </w:r>
      <w:r>
        <w:t xml:space="preserve">Human oversight of high-risk AI systems</w:t>
      </w:r>
    </w:p>
    <w:p>
      <w:pPr>
        <w:numPr>
          <w:ilvl w:val="0"/>
          <w:numId w:val="1086"/>
        </w:numPr>
        <w:pStyle w:val="Compact"/>
      </w:pPr>
      <w:r>
        <w:rPr>
          <w:bCs/>
          <w:b/>
        </w:rPr>
        <w:t xml:space="preserve">Article 15:</w:t>
      </w:r>
      <w:r>
        <w:t xml:space="preserve"> </w:t>
      </w:r>
      <w:r>
        <w:t xml:space="preserve">Accuracy, robustness, and cybersecurity requirements</w:t>
      </w:r>
    </w:p>
    <w:p>
      <w:pPr>
        <w:pStyle w:val="FirstParagraph"/>
      </w:pPr>
      <w:r>
        <w:t xml:space="preserve">These requirements make OpenAI’s</w:t>
      </w:r>
      <w:r>
        <w:t xml:space="preserve"> </w:t>
      </w:r>
      <w:r>
        <w:t xml:space="preserve">“</w:t>
      </w:r>
      <w:r>
        <w:t xml:space="preserve">full autonomy</w:t>
      </w:r>
      <w:r>
        <w:t xml:space="preserve">”</w:t>
      </w:r>
      <w:r>
        <w:t xml:space="preserve"> </w:t>
      </w:r>
      <w:r>
        <w:t xml:space="preserve">model non-compliant for high-risk applications in EU-regulated industries. DWS’s human-in-the-loop harness is not a limitation — it is an architectural response to regulatory requirements.</w:t>
      </w:r>
    </w:p>
    <w:bookmarkEnd w:id="253"/>
    <w:bookmarkStart w:id="254" w:name="open-research-questions"/>
    <w:p>
      <w:pPr>
        <w:pStyle w:val="Heading4"/>
      </w:pPr>
      <w:r>
        <w:t xml:space="preserve">10.16.6 Open Research Questions</w:t>
      </w:r>
    </w:p>
    <w:p>
      <w:pPr>
        <w:numPr>
          <w:ilvl w:val="0"/>
          <w:numId w:val="1087"/>
        </w:numPr>
      </w:pPr>
      <w:r>
        <w:rPr>
          <w:bCs/>
          <w:b/>
        </w:rPr>
        <w:t xml:space="preserve">Does the harness model scale to EU-regulated industries?</w:t>
      </w:r>
      <w:r>
        <w:t xml:space="preserve"> </w:t>
      </w:r>
      <w:r>
        <w:t xml:space="preserve">OpenAI’s case is internal tooling without regulatory requirements. DWS operates across 20 regulated industries — empirical validation is ongoing.</w:t>
      </w:r>
    </w:p>
    <w:p>
      <w:pPr>
        <w:numPr>
          <w:ilvl w:val="0"/>
          <w:numId w:val="1087"/>
        </w:numPr>
      </w:pPr>
      <w:r>
        <w:rPr>
          <w:bCs/>
          <w:b/>
        </w:rPr>
        <w:t xml:space="preserve">What is the optimal autonomy level?</w:t>
      </w:r>
      <w:r>
        <w:t xml:space="preserve"> </w:t>
      </w:r>
      <w:r>
        <w:t xml:space="preserve">OpenAI: near-full autonomy. DWS: human-in-the-loop. Which produces better outcomes in regulated contexts?</w:t>
      </w:r>
    </w:p>
    <w:p>
      <w:pPr>
        <w:numPr>
          <w:ilvl w:val="0"/>
          <w:numId w:val="1087"/>
        </w:numPr>
      </w:pPr>
      <w:r>
        <w:rPr>
          <w:bCs/>
          <w:b/>
        </w:rPr>
        <w:t xml:space="preserve">Is the six-layer context architecture generalizable?</w:t>
      </w:r>
      <w:r>
        <w:t xml:space="preserve"> </w:t>
      </w:r>
      <w:r>
        <w:t xml:space="preserve">DWS’s L0-L6 model is specific to its standards ecosystem, but the principles may be universal.</w:t>
      </w:r>
    </w:p>
    <w:p>
      <w:pPr>
        <w:numPr>
          <w:ilvl w:val="0"/>
          <w:numId w:val="1087"/>
        </w:numPr>
      </w:pPr>
      <w:r>
        <w:rPr>
          <w:bCs/>
          <w:b/>
        </w:rPr>
        <w:t xml:space="preserve">Verification gap:</w:t>
      </w:r>
      <w:r>
        <w:t xml:space="preserve"> </w:t>
      </w:r>
      <w:r>
        <w:t xml:space="preserve">Martin Fowler noted that OpenAI’s article lacks behavioral verification — how does the harness ensure generated code does the right thing, not just compiles?</w:t>
      </w:r>
    </w:p>
    <w:bookmarkEnd w:id="254"/>
    <w:bookmarkStart w:id="255" w:name="research-contribution-7"/>
    <w:p>
      <w:pPr>
        <w:pStyle w:val="Heading4"/>
      </w:pPr>
      <w:r>
        <w:t xml:space="preserve">10.16.7 Research Contribution</w:t>
      </w:r>
    </w:p>
    <w:p>
      <w:pPr>
        <w:pStyle w:val="FirstParagraph"/>
      </w:pPr>
      <w:r>
        <w:t xml:space="preserve">This section contributes three findings to the harness engineering discourse:</w:t>
      </w:r>
    </w:p>
    <w:p>
      <w:pPr>
        <w:numPr>
          <w:ilvl w:val="0"/>
          <w:numId w:val="1088"/>
        </w:numPr>
      </w:pPr>
      <w:r>
        <w:rPr>
          <w:bCs/>
          <w:b/>
        </w:rPr>
        <w:t xml:space="preserve">Formalization:</w:t>
      </w:r>
      <w:r>
        <w:t xml:space="preserve"> </w:t>
      </w:r>
      <w:r>
        <w:t xml:space="preserve">DWS’s L0-L6 six-layer architecture provides a formal framework for what OpenAI describes informally. This makes harness design reproducible and auditable.</w:t>
      </w:r>
    </w:p>
    <w:p>
      <w:pPr>
        <w:numPr>
          <w:ilvl w:val="0"/>
          <w:numId w:val="1088"/>
        </w:numPr>
      </w:pPr>
      <w:r>
        <w:rPr>
          <w:bCs/>
          <w:b/>
        </w:rPr>
        <w:t xml:space="preserve">Regulatory divergence:</w:t>
      </w:r>
      <w:r>
        <w:t xml:space="preserve"> </w:t>
      </w:r>
      <w:r>
        <w:t xml:space="preserve">EU-regulated industries require fundamentally different harness design — prioritizing traceability and human oversight over speed. This is not a weakness but an architectural constraint analogous to how Aiven’s extension whitelist drives database architecture (Section 10.15).</w:t>
      </w:r>
    </w:p>
    <w:p>
      <w:pPr>
        <w:numPr>
          <w:ilvl w:val="0"/>
          <w:numId w:val="1088"/>
        </w:numPr>
      </w:pPr>
      <w:r>
        <w:rPr>
          <w:bCs/>
          <w:b/>
        </w:rPr>
        <w:t xml:space="preserve">Empirical confirmation:</w:t>
      </w:r>
      <w:r>
        <w:t xml:space="preserve"> </w:t>
      </w:r>
      <w:r>
        <w:t xml:space="preserve">The 52.8% → 66.5% improvement from harness alone (not model change) validates DWS’s investment in system architecture over model selection. The six-layer architecture, DWS Document Standard, and progressive disclosure are all harness engineering practices developed independently before OpenAI published its findings.</w:t>
      </w:r>
    </w:p>
    <w:bookmarkEnd w:id="255"/>
    <w:bookmarkEnd w:id="256"/>
    <w:bookmarkStart w:id="263" w:name="X82c3cb5b3f96223a00cb9a57ff5ba43a4ef193f"/>
    <w:p>
      <w:pPr>
        <w:pStyle w:val="Heading3"/>
      </w:pPr>
      <w:r>
        <w:t xml:space="preserve">10.17 Conclusion: The Carbon Balance Sheet as Compliance Infrastructure</w:t>
      </w:r>
    </w:p>
    <w:bookmarkStart w:id="257" w:name="from-reporting-to-reconciliation"/>
    <w:p>
      <w:pPr>
        <w:pStyle w:val="Heading4"/>
      </w:pPr>
      <w:r>
        <w:t xml:space="preserve">10.17.1 From Reporting to Reconciliation</w:t>
      </w:r>
    </w:p>
    <w:p>
      <w:pPr>
        <w:pStyle w:val="FirstParagraph"/>
      </w:pPr>
      <w:r>
        <w:t xml:space="preserve">The central finding of this thesis is that EU climate compliance across ETS, CBAM, CSRD, and the EU Taxonomy is not a reporting problem — it is a</w:t>
      </w:r>
      <w:r>
        <w:t xml:space="preserve"> </w:t>
      </w:r>
      <w:r>
        <w:rPr>
          <w:bCs/>
          <w:b/>
        </w:rPr>
        <w:t xml:space="preserve">ledger problem</w:t>
      </w:r>
      <w:r>
        <w:t xml:space="preserve">. The same tonne of CO2e that appears as an ETS surrender debit for a steel mill becomes a CBAM embedded emission for the importer, becomes a CSRD Scope 3 upstream disclosure for the construction company, and determines their Taxonomy alignment. Four regulatory touchpoints, one physical quantity.</w:t>
      </w:r>
    </w:p>
    <w:p>
      <w:pPr>
        <w:pStyle w:val="BodyText"/>
      </w:pPr>
      <w:r>
        <w:t xml:space="preserve">Current compliance tools treat each regulation as an independent reporting workflow. This produces duplicated data entry, inconsistent emission factors, and no reconciliation between related obligations. The result: enterprises report the same carbon event differently across regulations, auditors cannot cross-verify, and Scope 3 estimates carry ±40% uncertainty because they rely on spend-based proxies rather than transaction-verified data.</w:t>
      </w:r>
    </w:p>
    <w:bookmarkEnd w:id="257"/>
    <w:bookmarkStart w:id="258" w:name="double-entry-bookkeeping-for-co2"/>
    <w:p>
      <w:pPr>
        <w:pStyle w:val="Heading4"/>
      </w:pPr>
      <w:r>
        <w:t xml:space="preserve">10.17.2 Double-Entry Bookkeeping for CO2</w:t>
      </w:r>
    </w:p>
    <w:p>
      <w:pPr>
        <w:pStyle w:val="FirstParagraph"/>
      </w:pPr>
      <w:r>
        <w:t xml:space="preserve">This thesis proposes that carbon compliance requires the same architectural solution that financial accounting adopted centuries ago:</w:t>
      </w:r>
      <w:r>
        <w:t xml:space="preserve"> </w:t>
      </w:r>
      <w:r>
        <w:rPr>
          <w:bCs/>
          <w:b/>
        </w:rPr>
        <w:t xml:space="preserve">double-entry bookkeeping</w:t>
      </w:r>
      <w:r>
        <w:t xml:space="preserve">. Every compliance event produces a journal entry — debit or credit — in dual units (EUR and tCO2e):</w:t>
      </w:r>
    </w:p>
    <w:tbl>
      <w:tblPr>
        <w:tblStyle w:val="Table"/>
        <w:tblW w:type="pct" w:w="5000"/>
        <w:tblLook w:firstRow="1" w:lastRow="0" w:firstColumn="0" w:lastColumn="0" w:noHBand="0" w:noVBand="0" w:val="0020"/>
        <w:jc w:val="start"/>
      </w:tblPr>
      <w:tblGrid>
        <w:gridCol w:w="2383"/>
        <w:gridCol w:w="1752"/>
        <w:gridCol w:w="2383"/>
        <w:gridCol w:w="1401"/>
      </w:tblGrid>
      <w:tr>
        <w:trPr>
          <w:tblHeader w:val="true"/>
        </w:trPr>
        <w:tc>
          <w:tcPr/>
          <w:p>
            <w:pPr>
              <w:pStyle w:val="Compact"/>
              <w:jc w:val="left"/>
            </w:pPr>
            <w:r>
              <w:t xml:space="preserve">Compliance Event</w:t>
            </w:r>
          </w:p>
        </w:tc>
        <w:tc>
          <w:tcPr/>
          <w:p>
            <w:pPr>
              <w:pStyle w:val="Compact"/>
              <w:jc w:val="left"/>
            </w:pPr>
            <w:r>
              <w:t xml:space="preserve">Debit (liability)</w:t>
            </w:r>
          </w:p>
        </w:tc>
        <w:tc>
          <w:tcPr/>
          <w:p>
            <w:pPr>
              <w:pStyle w:val="Compact"/>
              <w:jc w:val="left"/>
            </w:pPr>
            <w:r>
              <w:t xml:space="preserve">Credit (asset)</w:t>
            </w:r>
          </w:p>
        </w:tc>
        <w:tc>
          <w:tcPr/>
          <w:p>
            <w:pPr>
              <w:pStyle w:val="Compact"/>
              <w:jc w:val="left"/>
            </w:pPr>
            <w:r>
              <w:t xml:space="preserve">Regulation</w:t>
            </w:r>
          </w:p>
        </w:tc>
      </w:tr>
      <w:tr>
        <w:tc>
          <w:tcPr/>
          <w:p>
            <w:pPr>
              <w:pStyle w:val="Compact"/>
              <w:jc w:val="left"/>
            </w:pPr>
            <w:r>
              <w:t xml:space="preserve">ETS allowance surrender</w:t>
            </w:r>
          </w:p>
        </w:tc>
        <w:tc>
          <w:tcPr/>
          <w:p>
            <w:pPr>
              <w:pStyle w:val="Compact"/>
              <w:jc w:val="left"/>
            </w:pPr>
            <w:r>
              <w:t xml:space="preserve">tCO2e emitted + EUR cost</w:t>
            </w:r>
          </w:p>
        </w:tc>
        <w:tc>
          <w:tcPr/>
          <w:p>
            <w:pPr>
              <w:pStyle w:val="Compact"/>
              <w:jc w:val="left"/>
            </w:pPr>
            <w:r>
              <w:t xml:space="preserve">—</w:t>
            </w:r>
          </w:p>
        </w:tc>
        <w:tc>
          <w:tcPr/>
          <w:p>
            <w:pPr>
              <w:pStyle w:val="Compact"/>
              <w:jc w:val="left"/>
            </w:pPr>
            <w:r>
              <w:t xml:space="preserve">EU ETS</w:t>
            </w:r>
          </w:p>
        </w:tc>
      </w:tr>
      <w:tr>
        <w:tc>
          <w:tcPr/>
          <w:p>
            <w:pPr>
              <w:pStyle w:val="Compact"/>
              <w:jc w:val="left"/>
            </w:pPr>
            <w:r>
              <w:t xml:space="preserve">Free allocation received</w:t>
            </w:r>
          </w:p>
        </w:tc>
        <w:tc>
          <w:tcPr/>
          <w:p>
            <w:pPr>
              <w:pStyle w:val="Compact"/>
              <w:jc w:val="left"/>
            </w:pPr>
            <w:r>
              <w:t xml:space="preserve">—</w:t>
            </w:r>
          </w:p>
        </w:tc>
        <w:tc>
          <w:tcPr/>
          <w:p>
            <w:pPr>
              <w:pStyle w:val="Compact"/>
              <w:jc w:val="left"/>
            </w:pPr>
            <w:r>
              <w:t xml:space="preserve">tCO2e allocated</w:t>
            </w:r>
          </w:p>
        </w:tc>
        <w:tc>
          <w:tcPr/>
          <w:p>
            <w:pPr>
              <w:pStyle w:val="Compact"/>
              <w:jc w:val="left"/>
            </w:pPr>
            <w:r>
              <w:t xml:space="preserve">EU ETS</w:t>
            </w:r>
          </w:p>
        </w:tc>
      </w:tr>
      <w:tr>
        <w:tc>
          <w:tcPr/>
          <w:p>
            <w:pPr>
              <w:pStyle w:val="Compact"/>
              <w:jc w:val="left"/>
            </w:pPr>
            <w:r>
              <w:t xml:space="preserve">CBAM certificate purchase</w:t>
            </w:r>
          </w:p>
        </w:tc>
        <w:tc>
          <w:tcPr/>
          <w:p>
            <w:pPr>
              <w:pStyle w:val="Compact"/>
              <w:jc w:val="left"/>
            </w:pPr>
            <w:r>
              <w:t xml:space="preserve">EUR paid + tCO2e imported</w:t>
            </w:r>
          </w:p>
        </w:tc>
        <w:tc>
          <w:tcPr/>
          <w:p>
            <w:pPr>
              <w:pStyle w:val="Compact"/>
              <w:jc w:val="left"/>
            </w:pPr>
            <w:r>
              <w:t xml:space="preserve">—</w:t>
            </w:r>
          </w:p>
        </w:tc>
        <w:tc>
          <w:tcPr/>
          <w:p>
            <w:pPr>
              <w:pStyle w:val="Compact"/>
              <w:jc w:val="left"/>
            </w:pPr>
            <w:r>
              <w:t xml:space="preserve">CBAM</w:t>
            </w:r>
          </w:p>
        </w:tc>
      </w:tr>
      <w:tr>
        <w:tc>
          <w:tcPr/>
          <w:p>
            <w:pPr>
              <w:pStyle w:val="Compact"/>
              <w:jc w:val="left"/>
            </w:pPr>
            <w:r>
              <w:t xml:space="preserve">CBAM origin carbon price deduction</w:t>
            </w:r>
          </w:p>
        </w:tc>
        <w:tc>
          <w:tcPr/>
          <w:p>
            <w:pPr>
              <w:pStyle w:val="Compact"/>
              <w:jc w:val="left"/>
            </w:pPr>
            <w:r>
              <w:t xml:space="preserve">—</w:t>
            </w:r>
          </w:p>
        </w:tc>
        <w:tc>
          <w:tcPr/>
          <w:p>
            <w:pPr>
              <w:pStyle w:val="Compact"/>
              <w:jc w:val="left"/>
            </w:pPr>
            <w:r>
              <w:t xml:space="preserve">EUR already paid in origin country</w:t>
            </w:r>
          </w:p>
        </w:tc>
        <w:tc>
          <w:tcPr/>
          <w:p>
            <w:pPr>
              <w:pStyle w:val="Compact"/>
              <w:jc w:val="left"/>
            </w:pPr>
            <w:r>
              <w:t xml:space="preserve">CBAM</w:t>
            </w:r>
          </w:p>
        </w:tc>
      </w:tr>
      <w:tr>
        <w:tc>
          <w:tcPr/>
          <w:p>
            <w:pPr>
              <w:pStyle w:val="Compact"/>
              <w:jc w:val="left"/>
            </w:pPr>
            <w:r>
              <w:t xml:space="preserve">Verified offset retirement</w:t>
            </w:r>
          </w:p>
        </w:tc>
        <w:tc>
          <w:tcPr/>
          <w:p>
            <w:pPr>
              <w:pStyle w:val="Compact"/>
              <w:jc w:val="left"/>
            </w:pPr>
            <w:r>
              <w:t xml:space="preserve">—</w:t>
            </w:r>
          </w:p>
        </w:tc>
        <w:tc>
          <w:tcPr/>
          <w:p>
            <w:pPr>
              <w:pStyle w:val="Compact"/>
              <w:jc w:val="left"/>
            </w:pPr>
            <w:r>
              <w:t xml:space="preserve">tCO2e offset</w:t>
            </w:r>
          </w:p>
        </w:tc>
        <w:tc>
          <w:tcPr/>
          <w:p>
            <w:pPr>
              <w:pStyle w:val="Compact"/>
              <w:jc w:val="left"/>
            </w:pPr>
            <w:r>
              <w:t xml:space="preserve">Voluntary / Taxonomy</w:t>
            </w:r>
          </w:p>
        </w:tc>
      </w:tr>
    </w:tbl>
    <w:p>
      <w:pPr>
        <w:pStyle w:val="BodyText"/>
      </w:pPr>
      <w:r>
        <w:t xml:space="preserve">The carbon balance sheet — total liabilities (debits) minus total assets (credits) — gives a CFO a</w:t>
      </w:r>
      <w:r>
        <w:t xml:space="preserve"> </w:t>
      </w:r>
      <w:r>
        <w:rPr>
          <w:bCs/>
          <w:b/>
        </w:rPr>
        <w:t xml:space="preserve">net carbon position</w:t>
      </w:r>
      <w:r>
        <w:t xml:space="preserve"> </w:t>
      </w:r>
      <w:r>
        <w:t xml:space="preserve">that is auditable, reconcilable, and machine-readable (XBRL/iXBRL).</w:t>
      </w:r>
    </w:p>
    <w:bookmarkEnd w:id="258"/>
    <w:bookmarkStart w:id="259" w:name="cross-regulation-reconciliation"/>
    <w:p>
      <w:pPr>
        <w:pStyle w:val="Heading4"/>
      </w:pPr>
      <w:r>
        <w:t xml:space="preserve">10.17.3 Cross-Regulation Reconciliation</w:t>
      </w:r>
    </w:p>
    <w:p>
      <w:pPr>
        <w:pStyle w:val="FirstParagraph"/>
      </w:pPr>
      <w:r>
        <w:t xml:space="preserve">The debit-credit ledger enables what no current tool provides:</w:t>
      </w:r>
      <w:r>
        <w:t xml:space="preserve"> </w:t>
      </w:r>
      <w:r>
        <w:rPr>
          <w:bCs/>
          <w:b/>
        </w:rPr>
        <w:t xml:space="preserve">cross-regulation reconciliation</w:t>
      </w:r>
      <w:r>
        <w:t xml:space="preserve">. When a steel mill’s ETS data and a construction company’s CBAM data flow through the same ledger, the system can verify that embedded emissions match actual production emissions. This eliminates the reliance on CBAM default values (which overestimate by 20-50%) and produces transaction-verified Scope 3 data with ±3% accuracy instead of the ±40% from spend-based estimation.</w:t>
      </w:r>
    </w:p>
    <w:p>
      <w:pPr>
        <w:pStyle w:val="BodyText"/>
      </w:pPr>
      <w:r>
        <w:t xml:space="preserve">This is also a</w:t>
      </w:r>
      <w:r>
        <w:t xml:space="preserve"> </w:t>
      </w:r>
      <w:r>
        <w:rPr>
          <w:bCs/>
          <w:b/>
        </w:rPr>
        <w:t xml:space="preserve">network effect</w:t>
      </w:r>
      <w:r>
        <w:t xml:space="preserve">: when Customer A’s verified emissions improve Customer B’s CBAM factor accuracy, both benefit. The more industries on the ledger, the more cross-vertical intelligence emerges.</w:t>
      </w:r>
    </w:p>
    <w:bookmarkEnd w:id="259"/>
    <w:bookmarkStart w:id="260" w:name="implementation-dws-7-phase-2.6"/>
    <w:p>
      <w:pPr>
        <w:pStyle w:val="Heading4"/>
      </w:pPr>
      <w:r>
        <w:t xml:space="preserve">10.17.4 Implementation: DWS 7 Phase 2.6</w:t>
      </w:r>
    </w:p>
    <w:p>
      <w:pPr>
        <w:pStyle w:val="FirstParagraph"/>
      </w:pPr>
      <w:r>
        <w:t xml:space="preserve">The DWS IQ platform already implements the in-memory debit-credit transform (</w:t>
      </w:r>
      <w:r>
        <w:rPr>
          <w:rStyle w:val="VerbatimChar"/>
        </w:rPr>
        <w:t xml:space="preserve">src/compliance/debit-credit-ledger.ts</w:t>
      </w:r>
      <w:r>
        <w:t xml:space="preserve">) shipping in V1. DWS 7 Phase 2.6 (May–July 2026) promotes this to a persistent carbon balance sheet with 8 planned PRs (093A–093H):</w:t>
      </w:r>
    </w:p>
    <w:p>
      <w:pPr>
        <w:numPr>
          <w:ilvl w:val="0"/>
          <w:numId w:val="1089"/>
        </w:numPr>
        <w:pStyle w:val="Compact"/>
      </w:pPr>
      <w:r>
        <w:rPr>
          <w:bCs/>
          <w:b/>
        </w:rPr>
        <w:t xml:space="preserve">Persistent carbon ledger</w:t>
      </w:r>
      <w:r>
        <w:t xml:space="preserve"> </w:t>
      </w:r>
      <w:r>
        <w:t xml:space="preserve">— immutable append-only table, corrections as reverse entries</w:t>
      </w:r>
    </w:p>
    <w:p>
      <w:pPr>
        <w:numPr>
          <w:ilvl w:val="0"/>
          <w:numId w:val="1089"/>
        </w:numPr>
        <w:pStyle w:val="Compact"/>
      </w:pPr>
      <w:r>
        <w:rPr>
          <w:bCs/>
          <w:b/>
        </w:rPr>
        <w:t xml:space="preserve">Dual-unit entries</w:t>
      </w:r>
      <w:r>
        <w:t xml:space="preserve"> </w:t>
      </w:r>
      <w:r>
        <w:t xml:space="preserve">— EUR + tCO2e on every entry, carbon price preserved at time of entry</w:t>
      </w:r>
    </w:p>
    <w:p>
      <w:pPr>
        <w:numPr>
          <w:ilvl w:val="0"/>
          <w:numId w:val="1089"/>
        </w:numPr>
        <w:pStyle w:val="Compact"/>
      </w:pPr>
      <w:r>
        <w:rPr>
          <w:bCs/>
          <w:b/>
        </w:rPr>
        <w:t xml:space="preserve">Chart of carbon accounts</w:t>
      </w:r>
      <w:r>
        <w:t xml:space="preserve"> </w:t>
      </w:r>
      <w:r>
        <w:t xml:space="preserve">— standardized account structure mapping to ESRS E1 scopes</w:t>
      </w:r>
    </w:p>
    <w:p>
      <w:pPr>
        <w:numPr>
          <w:ilvl w:val="0"/>
          <w:numId w:val="1089"/>
        </w:numPr>
        <w:pStyle w:val="Compact"/>
      </w:pPr>
      <w:r>
        <w:rPr>
          <w:bCs/>
          <w:b/>
        </w:rPr>
        <w:t xml:space="preserve">Cross-regulation reconciliation</w:t>
      </w:r>
      <w:r>
        <w:t xml:space="preserve"> </w:t>
      </w:r>
      <w:r>
        <w:t xml:space="preserve">— ETS ↔ CBAM ↔ CSRD via shared ledger entries</w:t>
      </w:r>
    </w:p>
    <w:p>
      <w:pPr>
        <w:numPr>
          <w:ilvl w:val="0"/>
          <w:numId w:val="1089"/>
        </w:numPr>
        <w:pStyle w:val="Compact"/>
      </w:pPr>
      <w:r>
        <w:rPr>
          <w:bCs/>
          <w:b/>
        </w:rPr>
        <w:t xml:space="preserve">Ledger-native scoring</w:t>
      </w:r>
      <w:r>
        <w:t xml:space="preserve"> </w:t>
      </w:r>
      <w:r>
        <w:t xml:space="preserve">— compliance score derived from ledger balance, not computed from scratch</w:t>
      </w:r>
    </w:p>
    <w:p>
      <w:pPr>
        <w:numPr>
          <w:ilvl w:val="0"/>
          <w:numId w:val="1089"/>
        </w:numPr>
        <w:pStyle w:val="Compact"/>
      </w:pPr>
      <w:r>
        <w:rPr>
          <w:bCs/>
          <w:b/>
        </w:rPr>
        <w:t xml:space="preserve">CFO dashboard</w:t>
      </w:r>
      <w:r>
        <w:t xml:space="preserve"> </w:t>
      </w:r>
      <w:r>
        <w:t xml:space="preserve">— balance sheet view with drill-down by regulation, scope, and entity</w:t>
      </w:r>
    </w:p>
    <w:p>
      <w:pPr>
        <w:numPr>
          <w:ilvl w:val="0"/>
          <w:numId w:val="1089"/>
        </w:numPr>
        <w:pStyle w:val="Compact"/>
      </w:pPr>
      <w:r>
        <w:rPr>
          <w:bCs/>
          <w:b/>
        </w:rPr>
        <w:t xml:space="preserve">ERP GL sync</w:t>
      </w:r>
      <w:r>
        <w:t xml:space="preserve"> </w:t>
      </w:r>
      <w:r>
        <w:t xml:space="preserve">— carbon entries pushed to SAP/IFS/Dynamics general ledger</w:t>
      </w:r>
    </w:p>
    <w:p>
      <w:pPr>
        <w:numPr>
          <w:ilvl w:val="0"/>
          <w:numId w:val="1089"/>
        </w:numPr>
        <w:pStyle w:val="Compact"/>
      </w:pPr>
      <w:r>
        <w:rPr>
          <w:bCs/>
          <w:b/>
        </w:rPr>
        <w:t xml:space="preserve">XBRL export</w:t>
      </w:r>
      <w:r>
        <w:t xml:space="preserve"> </w:t>
      </w:r>
      <w:r>
        <w:t xml:space="preserve">— machine-readable CSRD reports from ledger data</w:t>
      </w:r>
    </w:p>
    <w:bookmarkEnd w:id="260"/>
    <w:bookmarkStart w:id="261" w:name="X748721c776941c0882d5e0f7c33e37caa432074"/>
    <w:p>
      <w:pPr>
        <w:pStyle w:val="Heading4"/>
      </w:pPr>
      <w:r>
        <w:t xml:space="preserve">10.17.5 Open Source Input: Connectors as the Data Ingestion Layer</w:t>
      </w:r>
    </w:p>
    <w:p>
      <w:pPr>
        <w:pStyle w:val="FirstParagraph"/>
      </w:pPr>
      <w:r>
        <w:t xml:space="preserve">A carbon balance sheet is only as accurate as the data that enters it. The ledger architecture depends on</w:t>
      </w:r>
      <w:r>
        <w:t xml:space="preserve"> </w:t>
      </w:r>
      <w:r>
        <w:rPr>
          <w:bCs/>
          <w:b/>
        </w:rPr>
        <w:t xml:space="preserve">open source connectors</w:t>
      </w:r>
      <w:r>
        <w:t xml:space="preserve"> </w:t>
      </w:r>
      <w:r>
        <w:t xml:space="preserve">to ingest verified emissions data from heterogeneous industrial systems. Without standardized, auditable data pipelines, the double-entry model collapses into the same manual-entry problem it replaces.</w:t>
      </w:r>
    </w:p>
    <w:p>
      <w:pPr>
        <w:pStyle w:val="BodyText"/>
      </w:pPr>
      <w:r>
        <w:t xml:space="preserve">The DWS connector architecture follows the ERP integration patterns established in</w:t>
      </w:r>
      <w:r>
        <w:t xml:space="preserve"> </w:t>
      </w:r>
      <w:r>
        <w:rPr>
          <w:rStyle w:val="VerbatimChar"/>
        </w:rPr>
        <w:t xml:space="preserve">src/integrations/erp/</w:t>
      </w:r>
      <w:r>
        <w:t xml:space="preserve"> </w:t>
      </w:r>
      <w:r>
        <w:t xml:space="preserve">(Section 10.9), extending them to carbon-specific data sources:</w:t>
      </w:r>
    </w:p>
    <w:tbl>
      <w:tblPr>
        <w:tblStyle w:val="Table"/>
        <w:tblW w:type="pct" w:w="5000"/>
        <w:tblLook w:firstRow="1" w:lastRow="0" w:firstColumn="0" w:lastColumn="0" w:noHBand="0" w:noVBand="0" w:val="0020"/>
        <w:jc w:val="start"/>
      </w:tblPr>
      <w:tblGrid>
        <w:gridCol w:w="1096"/>
        <w:gridCol w:w="2436"/>
        <w:gridCol w:w="3168"/>
        <w:gridCol w:w="1218"/>
      </w:tblGrid>
      <w:tr>
        <w:trPr>
          <w:tblHeader w:val="true"/>
        </w:trPr>
        <w:tc>
          <w:tcPr/>
          <w:p>
            <w:pPr>
              <w:pStyle w:val="Compact"/>
              <w:jc w:val="left"/>
            </w:pPr>
            <w:r>
              <w:t xml:space="preserve">Connector Type</w:t>
            </w:r>
          </w:p>
        </w:tc>
        <w:tc>
          <w:tcPr/>
          <w:p>
            <w:pPr>
              <w:pStyle w:val="Compact"/>
              <w:jc w:val="left"/>
            </w:pPr>
            <w:r>
              <w:t xml:space="preserve">Source Systems</w:t>
            </w:r>
          </w:p>
        </w:tc>
        <w:tc>
          <w:tcPr/>
          <w:p>
            <w:pPr>
              <w:pStyle w:val="Compact"/>
              <w:jc w:val="left"/>
            </w:pPr>
            <w:r>
              <w:t xml:space="preserve">Data Flow</w:t>
            </w:r>
          </w:p>
        </w:tc>
        <w:tc>
          <w:tcPr/>
          <w:p>
            <w:pPr>
              <w:pStyle w:val="Compact"/>
              <w:jc w:val="left"/>
            </w:pPr>
            <w:r>
              <w:t xml:space="preserve">License Model</w:t>
            </w:r>
          </w:p>
        </w:tc>
      </w:tr>
      <w:tr>
        <w:tc>
          <w:tcPr/>
          <w:p>
            <w:pPr>
              <w:pStyle w:val="Compact"/>
              <w:jc w:val="left"/>
            </w:pPr>
            <w:r>
              <w:rPr>
                <w:bCs/>
                <w:b/>
              </w:rPr>
              <w:t xml:space="preserve">ERP connectors</w:t>
            </w:r>
          </w:p>
        </w:tc>
        <w:tc>
          <w:tcPr/>
          <w:p>
            <w:pPr>
              <w:pStyle w:val="Compact"/>
              <w:jc w:val="left"/>
            </w:pPr>
            <w:r>
              <w:t xml:space="preserve">SAP S/4HANA, IFS Cloud, Dynamics 365, Monitor, Visma, Jeeves</w:t>
            </w:r>
          </w:p>
        </w:tc>
        <w:tc>
          <w:tcPr/>
          <w:p>
            <w:pPr>
              <w:pStyle w:val="Compact"/>
              <w:jc w:val="left"/>
            </w:pPr>
            <w:r>
              <w:t xml:space="preserve">Production volumes, energy consumption, material inputs → ledger debit entries</w:t>
            </w:r>
          </w:p>
        </w:tc>
        <w:tc>
          <w:tcPr/>
          <w:p>
            <w:pPr>
              <w:pStyle w:val="Compact"/>
              <w:jc w:val="left"/>
            </w:pPr>
            <w:r>
              <w:t xml:space="preserve">Open source (MIT)</w:t>
            </w:r>
          </w:p>
        </w:tc>
      </w:tr>
      <w:tr>
        <w:tc>
          <w:tcPr/>
          <w:p>
            <w:pPr>
              <w:pStyle w:val="Compact"/>
              <w:jc w:val="left"/>
            </w:pPr>
            <w:r>
              <w:rPr>
                <w:bCs/>
                <w:b/>
              </w:rPr>
              <w:t xml:space="preserve">ETS/Registry connectors</w:t>
            </w:r>
          </w:p>
        </w:tc>
        <w:tc>
          <w:tcPr/>
          <w:p>
            <w:pPr>
              <w:pStyle w:val="Compact"/>
              <w:jc w:val="left"/>
            </w:pPr>
            <w:r>
              <w:t xml:space="preserve">EU Transaction Log (EUTL), national registries</w:t>
            </w:r>
          </w:p>
        </w:tc>
        <w:tc>
          <w:tcPr/>
          <w:p>
            <w:pPr>
              <w:pStyle w:val="Compact"/>
              <w:jc w:val="left"/>
            </w:pPr>
            <w:r>
              <w:t xml:space="preserve">Allowance balances, surrenders, free allocations → ledger credit/debit</w:t>
            </w:r>
          </w:p>
        </w:tc>
        <w:tc>
          <w:tcPr/>
          <w:p>
            <w:pPr>
              <w:pStyle w:val="Compact"/>
              <w:jc w:val="left"/>
            </w:pPr>
            <w:r>
              <w:t xml:space="preserve">Open source (MIT)</w:t>
            </w:r>
          </w:p>
        </w:tc>
      </w:tr>
      <w:tr>
        <w:tc>
          <w:tcPr/>
          <w:p>
            <w:pPr>
              <w:pStyle w:val="Compact"/>
              <w:jc w:val="left"/>
            </w:pPr>
            <w:r>
              <w:rPr>
                <w:bCs/>
                <w:b/>
              </w:rPr>
              <w:t xml:space="preserve">CBAM connectors</w:t>
            </w:r>
          </w:p>
        </w:tc>
        <w:tc>
          <w:tcPr/>
          <w:p>
            <w:pPr>
              <w:pStyle w:val="Compact"/>
              <w:jc w:val="left"/>
            </w:pPr>
            <w:r>
              <w:t xml:space="preserve">CBAM Transitional Registry, customs declarations</w:t>
            </w:r>
          </w:p>
        </w:tc>
        <w:tc>
          <w:tcPr/>
          <w:p>
            <w:pPr>
              <w:pStyle w:val="Compact"/>
              <w:jc w:val="left"/>
            </w:pPr>
            <w:r>
              <w:t xml:space="preserve">Imported goods embedded emissions, certificates purchased → ledger debit</w:t>
            </w:r>
          </w:p>
        </w:tc>
        <w:tc>
          <w:tcPr/>
          <w:p>
            <w:pPr>
              <w:pStyle w:val="Compact"/>
              <w:jc w:val="left"/>
            </w:pPr>
            <w:r>
              <w:t xml:space="preserve">Open source (MIT)</w:t>
            </w:r>
          </w:p>
        </w:tc>
      </w:tr>
      <w:tr>
        <w:tc>
          <w:tcPr/>
          <w:p>
            <w:pPr>
              <w:pStyle w:val="Compact"/>
              <w:jc w:val="left"/>
            </w:pPr>
            <w:r>
              <w:rPr>
                <w:bCs/>
                <w:b/>
              </w:rPr>
              <w:t xml:space="preserve">Emission factor feeds</w:t>
            </w:r>
          </w:p>
        </w:tc>
        <w:tc>
          <w:tcPr/>
          <w:p>
            <w:pPr>
              <w:pStyle w:val="Compact"/>
              <w:jc w:val="left"/>
            </w:pPr>
            <w:r>
              <w:t xml:space="preserve">EEA GHG Inventory, IPCC, EU ETS benchmarks</w:t>
            </w:r>
          </w:p>
        </w:tc>
        <w:tc>
          <w:tcPr/>
          <w:p>
            <w:pPr>
              <w:pStyle w:val="Compact"/>
              <w:jc w:val="left"/>
            </w:pPr>
            <w:r>
              <w:t xml:space="preserve">Validated factors for Scope 1/2/3 calculations</w:t>
            </w:r>
          </w:p>
        </w:tc>
        <w:tc>
          <w:tcPr/>
          <w:p>
            <w:pPr>
              <w:pStyle w:val="Compact"/>
              <w:jc w:val="left"/>
            </w:pPr>
            <w:r>
              <w:t xml:space="preserve">Open data + open source parser</w:t>
            </w:r>
          </w:p>
        </w:tc>
      </w:tr>
      <w:tr>
        <w:tc>
          <w:tcPr/>
          <w:p>
            <w:pPr>
              <w:pStyle w:val="Compact"/>
              <w:jc w:val="left"/>
            </w:pPr>
            <w:r>
              <w:rPr>
                <w:bCs/>
                <w:b/>
              </w:rPr>
              <w:t xml:space="preserve">IoT/edge connectors</w:t>
            </w:r>
          </w:p>
        </w:tc>
        <w:tc>
          <w:tcPr/>
          <w:p>
            <w:pPr>
              <w:pStyle w:val="Compact"/>
              <w:jc w:val="left"/>
            </w:pPr>
            <w:r>
              <w:t xml:space="preserve">NVIDIA Jetson Orin Nano, industrial sensors, energy meters</w:t>
            </w:r>
          </w:p>
        </w:tc>
        <w:tc>
          <w:tcPr/>
          <w:p>
            <w:pPr>
              <w:pStyle w:val="Compact"/>
              <w:jc w:val="left"/>
            </w:pPr>
            <w:r>
              <w:t xml:space="preserve">Real-time energy consumption, Scope 1 direct measurements → ledger debit</w:t>
            </w:r>
          </w:p>
        </w:tc>
        <w:tc>
          <w:tcPr/>
          <w:p>
            <w:pPr>
              <w:pStyle w:val="Compact"/>
              <w:jc w:val="left"/>
            </w:pPr>
            <w:r>
              <w:t xml:space="preserve">Open source (MIT)</w:t>
            </w:r>
          </w:p>
        </w:tc>
      </w:tr>
      <w:tr>
        <w:tc>
          <w:tcPr/>
          <w:p>
            <w:pPr>
              <w:pStyle w:val="Compact"/>
              <w:jc w:val="left"/>
            </w:pPr>
            <w:r>
              <w:rPr>
                <w:bCs/>
                <w:b/>
              </w:rPr>
              <w:t xml:space="preserve">ESG platform connectors</w:t>
            </w:r>
          </w:p>
        </w:tc>
        <w:tc>
          <w:tcPr/>
          <w:p>
            <w:pPr>
              <w:pStyle w:val="Compact"/>
              <w:jc w:val="left"/>
            </w:pPr>
            <w:r>
              <w:t xml:space="preserve">Worldfavor, PositionGreen, CDP</w:t>
            </w:r>
          </w:p>
        </w:tc>
        <w:tc>
          <w:tcPr/>
          <w:p>
            <w:pPr>
              <w:pStyle w:val="Compact"/>
              <w:jc w:val="left"/>
            </w:pPr>
            <w:r>
              <w:t xml:space="preserve">Third-party ESG scores, Scope 3 supplier data → ledger entries</w:t>
            </w:r>
          </w:p>
        </w:tc>
        <w:tc>
          <w:tcPr/>
          <w:p>
            <w:pPr>
              <w:pStyle w:val="Compact"/>
              <w:jc w:val="left"/>
            </w:pPr>
            <w:r>
              <w:t xml:space="preserve">Open source (MIT)</w:t>
            </w:r>
          </w:p>
        </w:tc>
      </w:tr>
    </w:tbl>
    <w:p>
      <w:pPr>
        <w:pStyle w:val="BodyText"/>
      </w:pPr>
      <w:r>
        <w:rPr>
          <w:bCs/>
          <w:b/>
        </w:rPr>
        <w:t xml:space="preserve">Why open source matters for compliance infrastructure:</w:t>
      </w:r>
    </w:p>
    <w:p>
      <w:pPr>
        <w:numPr>
          <w:ilvl w:val="0"/>
          <w:numId w:val="1090"/>
        </w:numPr>
      </w:pPr>
      <w:r>
        <w:rPr>
          <w:bCs/>
          <w:b/>
        </w:rPr>
        <w:t xml:space="preserve">Auditability:</w:t>
      </w:r>
      <w:r>
        <w:t xml:space="preserve"> </w:t>
      </w:r>
      <w:r>
        <w:t xml:space="preserve">Proprietary connectors are black boxes. When an auditor asks</w:t>
      </w:r>
      <w:r>
        <w:t xml:space="preserve"> </w:t>
      </w:r>
      <w:r>
        <w:t xml:space="preserve">“</w:t>
      </w:r>
      <w:r>
        <w:t xml:space="preserve">how did this emission factor enter the ledger?</w:t>
      </w:r>
      <w:r>
        <w:t xml:space="preserve">”</w:t>
      </w:r>
      <w:r>
        <w:t xml:space="preserve">, the answer must be inspectable source code — not a vendor’s API documentation. Open source connectors make the entire data path from source system to ledger entry transparent and reproducible.</w:t>
      </w:r>
    </w:p>
    <w:p>
      <w:pPr>
        <w:numPr>
          <w:ilvl w:val="0"/>
          <w:numId w:val="1090"/>
        </w:numPr>
      </w:pPr>
      <w:r>
        <w:rPr>
          <w:bCs/>
          <w:b/>
        </w:rPr>
        <w:t xml:space="preserve">Network effect acceleration:</w:t>
      </w:r>
      <w:r>
        <w:t xml:space="preserve"> </w:t>
      </w:r>
      <w:r>
        <w:t xml:space="preserve">The cross-vertical intelligence thesis (Section 10.17.3) depends on data flowing from many industries into one ledger. Open source connectors lower the adoption barrier — a steel mill’s IT team can deploy the SAP connector, verify the code, and contribute upstream improvements. Proprietary connectors create vendor lock-in that slows network growth.</w:t>
      </w:r>
    </w:p>
    <w:p>
      <w:pPr>
        <w:numPr>
          <w:ilvl w:val="0"/>
          <w:numId w:val="1090"/>
        </w:numPr>
      </w:pPr>
      <w:r>
        <w:rPr>
          <w:bCs/>
          <w:b/>
        </w:rPr>
        <w:t xml:space="preserve">Regulatory defensibility:</w:t>
      </w:r>
      <w:r>
        <w:t xml:space="preserve"> </w:t>
      </w:r>
      <w:r>
        <w:t xml:space="preserve">EU AI Act Article 12 requires logging of AI system operations. When AI agents generate ledger entries from connector data, the entire pipeline — connector code, transformation logic, agent decision — must be auditable. Open source satisfies this requirement by design.</w:t>
      </w:r>
    </w:p>
    <w:p>
      <w:pPr>
        <w:numPr>
          <w:ilvl w:val="0"/>
          <w:numId w:val="1090"/>
        </w:numPr>
      </w:pPr>
      <w:r>
        <w:rPr>
          <w:bCs/>
          <w:b/>
        </w:rPr>
        <w:t xml:space="preserve">Community validation:</w:t>
      </w:r>
      <w:r>
        <w:t xml:space="preserve"> </w:t>
      </w:r>
      <w:r>
        <w:t xml:space="preserve">Emission factor databases change annually. Open source connectors enable community-driven maintenance — when the EEA publishes updated GHG inventory data, any contributor can submit a PR updating the factor feed, and the change is reviewed in the open.</w:t>
      </w:r>
    </w:p>
    <w:p>
      <w:pPr>
        <w:pStyle w:val="FirstParagraph"/>
      </w:pPr>
      <w:r>
        <w:t xml:space="preserve">The connector layer transforms the carbon balance sheet from a single-company tool into a</w:t>
      </w:r>
      <w:r>
        <w:t xml:space="preserve"> </w:t>
      </w:r>
      <w:r>
        <w:rPr>
          <w:bCs/>
          <w:b/>
        </w:rPr>
        <w:t xml:space="preserve">multi-tenant compliance network</w:t>
      </w:r>
      <w:r>
        <w:t xml:space="preserve">. Each connector is a standardized adapter (input schema → journal entry) that plugs into the ledger’s append-only ingestion API. The open source model ensures that the largest EU companies requiring CSRD compliance (fewer than ~5,000 post-Omnibus, &gt;1,000 employees and &gt;€450M turnover) — and the far larger population of suppliers pulled in via Scope-3 value-chain reporting — can adopt the infrastructure without vendor dependency.</w:t>
      </w:r>
    </w:p>
    <w:bookmarkEnd w:id="261"/>
    <w:bookmarkStart w:id="262" w:name="research-contribution-8"/>
    <w:p>
      <w:pPr>
        <w:pStyle w:val="Heading4"/>
      </w:pPr>
      <w:r>
        <w:t xml:space="preserve">10.17.6 Research Contribution</w:t>
      </w:r>
    </w:p>
    <w:p>
      <w:pPr>
        <w:pStyle w:val="FirstParagraph"/>
      </w:pPr>
      <w:r>
        <w:t xml:space="preserve">This concluding section contributes three findings:</w:t>
      </w:r>
    </w:p>
    <w:p>
      <w:pPr>
        <w:numPr>
          <w:ilvl w:val="0"/>
          <w:numId w:val="1091"/>
        </w:numPr>
      </w:pPr>
      <w:r>
        <w:rPr>
          <w:bCs/>
          <w:b/>
        </w:rPr>
        <w:t xml:space="preserve">Architectural insight:</w:t>
      </w:r>
      <w:r>
        <w:t xml:space="preserve"> </w:t>
      </w:r>
      <w:r>
        <w:t xml:space="preserve">Carbon compliance is structurally isomorphic to financial accounting. The double-entry ledger is not a metaphor — it is the technically correct data structure for tracking carbon across multiple regulations, entities, and supply chains. This finding emerged from the practical implementation of the DWS compliance engine across 20 EU-regulated industries.</w:t>
      </w:r>
    </w:p>
    <w:p>
      <w:pPr>
        <w:numPr>
          <w:ilvl w:val="0"/>
          <w:numId w:val="1091"/>
        </w:numPr>
      </w:pPr>
      <w:r>
        <w:rPr>
          <w:bCs/>
          <w:b/>
        </w:rPr>
        <w:t xml:space="preserve">Cross-vertical intelligence thesis:</w:t>
      </w:r>
      <w:r>
        <w:t xml:space="preserve"> </w:t>
      </w:r>
      <w:r>
        <w:t xml:space="preserve">A multi-industry carbon ledger produces emergent intelligence that single-vertical tools cannot replicate. A steel mill’s ETS surrender correlates with a construction sector CSRD disclosure from the same supply chain. This correlation is only visible when both industries share one ledger format — validating the platform architecture described throughout this thesis.</w:t>
      </w:r>
    </w:p>
    <w:p>
      <w:pPr>
        <w:numPr>
          <w:ilvl w:val="0"/>
          <w:numId w:val="1091"/>
        </w:numPr>
      </w:pPr>
      <w:r>
        <w:rPr>
          <w:bCs/>
          <w:b/>
        </w:rPr>
        <w:t xml:space="preserve">Funding infrastructure, not features:</w:t>
      </w:r>
      <w:r>
        <w:t xml:space="preserve"> </w:t>
      </w:r>
      <w:r>
        <w:t xml:space="preserve">The carbon balance sheet represents the transition from</w:t>
      </w:r>
      <w:r>
        <w:t xml:space="preserve"> </w:t>
      </w:r>
      <w:r>
        <w:t xml:space="preserve">“</w:t>
      </w:r>
      <w:r>
        <w:t xml:space="preserve">compliance reporting tool</w:t>
      </w:r>
      <w:r>
        <w:t xml:space="preserve">”</w:t>
      </w:r>
      <w:r>
        <w:t xml:space="preserve"> </w:t>
      </w:r>
      <w:r>
        <w:t xml:space="preserve">to</w:t>
      </w:r>
      <w:r>
        <w:t xml:space="preserve"> </w:t>
      </w:r>
      <w:r>
        <w:t xml:space="preserve">“</w:t>
      </w:r>
      <w:r>
        <w:t xml:space="preserve">compliance infrastructure</w:t>
      </w:r>
      <w:r>
        <w:t xml:space="preserve">”</w:t>
      </w:r>
      <w:r>
        <w:t xml:space="preserve"> </w:t>
      </w:r>
      <w:r>
        <w:t xml:space="preserve">— the same distinction as between a spreadsheet and an ERP system. This architectural choice has strategic implications for enterprise stickiness (switching cost equivalent to changing your financial ledger), market timing (fewer than ~5,000 large EU companies mandated post-Omnibus, plus their value chains via Scope 3), and network effects (more industries on the ledger = more accurate cross-regulation data).</w:t>
      </w:r>
    </w:p>
    <w:p>
      <w:pPr>
        <w:pStyle w:val="FirstParagraph"/>
      </w:pPr>
      <w:r>
        <w:t xml:space="preserve">The Firehorse Product Manufacturing Operating Model, documented across the preceding 16 sections, provided the engineering foundation — harness architecture, multi-agent orchestration, edge deployment, and regulatory intelligence — required to build this carbon balance sheet infrastructure. The conclusion is that the platform’s competitive moat is not any single agent or regulation module, but the ledger that connects them all.</w:t>
      </w:r>
    </w:p>
    <w:bookmarkEnd w:id="262"/>
    <w:bookmarkEnd w:id="263"/>
    <w:bookmarkStart w:id="270" w:name="Xb4ae91a050c08ad4c62396846880f6708c37124"/>
    <w:p>
      <w:pPr>
        <w:pStyle w:val="Heading3"/>
      </w:pPr>
      <w:r>
        <w:t xml:space="preserve">10.18 LWM Sequencing Strategy — From Regulatory Intelligence to Physical AI</w:t>
      </w:r>
    </w:p>
    <w:bookmarkStart w:id="264" w:name="strategic-context"/>
    <w:p>
      <w:pPr>
        <w:pStyle w:val="Heading4"/>
      </w:pPr>
      <w:r>
        <w:t xml:space="preserve">10.18.1 Strategic Context</w:t>
      </w:r>
    </w:p>
    <w:p>
      <w:pPr>
        <w:pStyle w:val="FirstParagraph"/>
      </w:pPr>
      <w:r>
        <w:t xml:space="preserve">The Lifetime World Model (LWM) serves as the</w:t>
      </w:r>
      <w:r>
        <w:t xml:space="preserve"> </w:t>
      </w:r>
      <w:r>
        <w:t xml:space="preserve">“</w:t>
      </w:r>
      <w:r>
        <w:t xml:space="preserve">Memory</w:t>
      </w:r>
      <w:r>
        <w:t xml:space="preserve">”</w:t>
      </w:r>
      <w:r>
        <w:t xml:space="preserve"> </w:t>
      </w:r>
      <w:r>
        <w:t xml:space="preserve">layer in the Brain-Memory-Body-Hands architecture. However, investor and market analysis (March 2026) revealed a framing contradiction: the platform was simultaneously pitched as</w:t>
      </w:r>
      <w:r>
        <w:t xml:space="preserve"> </w:t>
      </w:r>
      <w:r>
        <w:t xml:space="preserve">“</w:t>
      </w:r>
      <w:r>
        <w:t xml:space="preserve">carbon balance sheet infrastructure</w:t>
      </w:r>
      <w:r>
        <w:t xml:space="preserve">”</w:t>
      </w:r>
      <w:r>
        <w:t xml:space="preserve"> </w:t>
      </w:r>
      <w:r>
        <w:t xml:space="preserve">(compliance SaaS),</w:t>
      </w:r>
      <w:r>
        <w:t xml:space="preserve"> </w:t>
      </w:r>
      <w:r>
        <w:t xml:space="preserve">“</w:t>
      </w:r>
      <w:r>
        <w:t xml:space="preserve">55B parameter Physical AI</w:t>
      </w:r>
      <w:r>
        <w:t xml:space="preserve">”</w:t>
      </w:r>
      <w:r>
        <w:t xml:space="preserve"> </w:t>
      </w:r>
      <w:r>
        <w:t xml:space="preserve">(world model), and</w:t>
      </w:r>
      <w:r>
        <w:t xml:space="preserve"> </w:t>
      </w:r>
      <w:r>
        <w:t xml:space="preserve">“</w:t>
      </w:r>
      <w:r>
        <w:t xml:space="preserve">autonomous healthcare fleet</w:t>
      </w:r>
      <w:r>
        <w:t xml:space="preserve">”</w:t>
      </w:r>
      <w:r>
        <w:t xml:space="preserve"> </w:t>
      </w:r>
      <w:r>
        <w:t xml:space="preserve">(robotics). Each story targets different investors at different stages and invites questions the codebase cannot yet answer.</w:t>
      </w:r>
    </w:p>
    <w:p>
      <w:pPr>
        <w:pStyle w:val="BodyText"/>
      </w:pPr>
      <w:r>
        <w:t xml:space="preserve">This section documents the resolution: a three-phase sequencing strategy where each phase funds and de-risks the next.</w:t>
      </w:r>
    </w:p>
    <w:bookmarkEnd w:id="264"/>
    <w:bookmarkStart w:id="265" w:name="the-three-phases"/>
    <w:p>
      <w:pPr>
        <w:pStyle w:val="Heading4"/>
      </w:pPr>
      <w:r>
        <w:t xml:space="preserve">10.18.2 The Three Phases</w:t>
      </w:r>
    </w:p>
    <w:p>
      <w:pPr>
        <w:pStyle w:val="FirstParagraph"/>
      </w:pPr>
      <w:r>
        <w:rPr>
          <w:bCs/>
          <w:b/>
        </w:rPr>
        <w:t xml:space="preserve">Phase 1 (Current — EUR 650K SAFE):</w:t>
      </w:r>
      <w:r>
        <w:t xml:space="preserve"> </w:t>
      </w:r>
      <w:r>
        <w:t xml:space="preserve">LWM = regulatory intelligence engine. 15,000+ EU regulatory documents indexed across 20 industries, 18 AI agents, carbon balance sheet with cross-regulation reconciliation (ETS ↔ CBAM ↔ CSRD ↔ Taxonomy). Revenue target: EUR 900K ARR. Ships DWS 7 with persistent carbon balance sheet (July 2026).</w:t>
      </w:r>
    </w:p>
    <w:p>
      <w:pPr>
        <w:pStyle w:val="BodyText"/>
      </w:pPr>
      <w:r>
        <w:rPr>
          <w:bCs/>
          <w:b/>
        </w:rPr>
        <w:t xml:space="preserve">Phase 2 (Post-SAFE — Helsinki Pilot):</w:t>
      </w:r>
      <w:r>
        <w:t xml:space="preserve"> </w:t>
      </w:r>
      <w:r>
        <w:t xml:space="preserve">LWM = regulatory intelligence + physical planning. LeWorldModel-style latent planning bolted onto the regulatory knowledge graph. KELA-backed healthcare fleet pilot on NVIDIA hardware (Acer GN-100). The carbon ledger provides constraint data for physical planning decisions.</w:t>
      </w:r>
    </w:p>
    <w:p>
      <w:pPr>
        <w:pStyle w:val="BodyText"/>
      </w:pPr>
      <w:r>
        <w:rPr>
          <w:bCs/>
          <w:b/>
        </w:rPr>
        <w:t xml:space="preserve">Phase 3 (Series A 2027):</w:t>
      </w:r>
      <w:r>
        <w:t xml:space="preserve"> </w:t>
      </w:r>
      <w:r>
        <w:t xml:space="preserve">LWM = full dual-use product. Carbon balance sheet + edge Physical AI across construction, healthcare, manufacturing, energy, and defence. The sequencing ensures each phase is funded by the previous one’s revenue.</w:t>
      </w:r>
    </w:p>
    <w:bookmarkEnd w:id="265"/>
    <w:bookmarkStart w:id="266" w:name="X0247d25fb087e0c2d85dd7e41541fd516eed067"/>
    <w:p>
      <w:pPr>
        <w:pStyle w:val="Heading4"/>
      </w:pPr>
      <w:r>
        <w:t xml:space="preserve">10.18.3 External Validation: LeWorldModel (arXiv:2603.19312)</w:t>
      </w:r>
    </w:p>
    <w:p>
      <w:pPr>
        <w:pStyle w:val="FirstParagraph"/>
      </w:pPr>
      <w:r>
        <w:t xml:space="preserve">In March 2026, Maes, Le Lidec, Scieur, LeCun, and Balestriero published LeWorldModel — the first Joint Embedding Predictive Architecture (JEPA) that trains stably end-to-end from raw pixels. Key findings relevant to LWM:</w:t>
      </w:r>
    </w:p>
    <w:p>
      <w:pPr>
        <w:numPr>
          <w:ilvl w:val="0"/>
          <w:numId w:val="1092"/>
        </w:numPr>
        <w:pStyle w:val="Compact"/>
      </w:pPr>
      <w:r>
        <w:rPr>
          <w:bCs/>
          <w:b/>
        </w:rPr>
        <w:t xml:space="preserve">Simplicity:</w:t>
      </w:r>
      <w:r>
        <w:t xml:space="preserve"> </w:t>
      </w:r>
      <w:r>
        <w:t xml:space="preserve">2 loss terms (prediction + SIGReg regularizer) replace 6+ hyperparameters, frozen encoders, stop-gradients, and EMA hacks</w:t>
      </w:r>
    </w:p>
    <w:p>
      <w:pPr>
        <w:numPr>
          <w:ilvl w:val="0"/>
          <w:numId w:val="1092"/>
        </w:numPr>
        <w:pStyle w:val="Compact"/>
      </w:pPr>
      <w:r>
        <w:rPr>
          <w:bCs/>
          <w:b/>
        </w:rPr>
        <w:t xml:space="preserve">Efficiency:</w:t>
      </w:r>
      <w:r>
        <w:t xml:space="preserve"> </w:t>
      </w:r>
      <w:r>
        <w:t xml:space="preserve">15M parameters, single GPU, ~1 second planning vs 47 seconds for DINO-WM, 200x fewer tokens</w:t>
      </w:r>
    </w:p>
    <w:p>
      <w:pPr>
        <w:numPr>
          <w:ilvl w:val="0"/>
          <w:numId w:val="1092"/>
        </w:numPr>
        <w:pStyle w:val="Compact"/>
      </w:pPr>
      <w:r>
        <w:rPr>
          <w:bCs/>
          <w:b/>
        </w:rPr>
        <w:t xml:space="preserve">Results:</w:t>
      </w:r>
      <w:r>
        <w:t xml:space="preserve"> </w:t>
      </w:r>
      <w:r>
        <w:t xml:space="preserve">96% success rate on PushT manipulation task (beats DINO-WM’s 92% even without proprioceptive inputs)</w:t>
      </w:r>
    </w:p>
    <w:p>
      <w:pPr>
        <w:pStyle w:val="FirstParagraph"/>
      </w:pPr>
      <w:r>
        <w:t xml:space="preserve">Concurrently, LeCun launched AMI Labs ($1.03B seed, March 2026) and Fei-Fei Li raised $1B for World Labs — $2B in three weeks for world model companies. This validates the category but does not validate Lifetime’s specific product. The honest framing: Lifetime builds domain-specific regulatory infrastructure on top of commodity AI, not general-purpose world models.</w:t>
      </w:r>
    </w:p>
    <w:bookmarkEnd w:id="266"/>
    <w:bookmarkStart w:id="267" w:name="phase-2-technical-gap-analysis"/>
    <w:p>
      <w:pPr>
        <w:pStyle w:val="Heading4"/>
      </w:pPr>
      <w:r>
        <w:t xml:space="preserve">10.18.4 Phase 2 Technical Gap Analysis</w:t>
      </w:r>
    </w:p>
    <w:p>
      <w:pPr>
        <w:pStyle w:val="FirstParagraph"/>
      </w:pPr>
      <w:r>
        <w:t xml:space="preserve">Three unsolved problems bridge Phase 1 to Phase 2:</w:t>
      </w:r>
    </w:p>
    <w:p>
      <w:pPr>
        <w:numPr>
          <w:ilvl w:val="0"/>
          <w:numId w:val="1093"/>
        </w:numPr>
      </w:pPr>
      <w:r>
        <w:rPr>
          <w:bCs/>
          <w:b/>
        </w:rPr>
        <w:t xml:space="preserve">Input modality gap:</w:t>
      </w:r>
      <w:r>
        <w:t xml:space="preserve"> </w:t>
      </w:r>
      <w:r>
        <w:t xml:space="preserve">LeWorldModel expects pixel observations. LWM Phase 1 operates on structured regulatory text. The most realistic bridge is a digital twin (OpenUSD scene representation) that encodes both physical layout and regulatory metadata.</w:t>
      </w:r>
    </w:p>
    <w:p>
      <w:pPr>
        <w:numPr>
          <w:ilvl w:val="0"/>
          <w:numId w:val="1093"/>
        </w:numPr>
      </w:pPr>
      <w:r>
        <w:rPr>
          <w:bCs/>
          <w:b/>
        </w:rPr>
        <w:t xml:space="preserve">Scale gap:</w:t>
      </w:r>
      <w:r>
        <w:t xml:space="preserve"> </w:t>
      </w:r>
      <w:r>
        <w:t xml:space="preserve">LeWorldModel tested on controlled simulation (PushT, Reacher). Industrial environments are uncontrolled, long-horizon, and sparse-reward. Whether latent planning scales to construction sites is research, not engineering.</w:t>
      </w:r>
    </w:p>
    <w:p>
      <w:pPr>
        <w:numPr>
          <w:ilvl w:val="0"/>
          <w:numId w:val="1093"/>
        </w:numPr>
      </w:pPr>
      <w:r>
        <w:rPr>
          <w:bCs/>
          <w:b/>
        </w:rPr>
        <w:t xml:space="preserve">Regulatory-physical integration:</w:t>
      </w:r>
      <w:r>
        <w:t xml:space="preserve"> </w:t>
      </w:r>
      <w:r>
        <w:t xml:space="preserve">How does a physical plan (crane movement, vehicle route) get validated against the carbon ledger before execution? The proposed architecture: physical planner proposes actions → regulatory engine validates against carbon budget → KYA governance gate enforces or blocks. KYA v1.4 (Firecracker MicroVM kill-switches) is the only Phase 2 component already built.</w:t>
      </w:r>
    </w:p>
    <w:p>
      <w:pPr>
        <w:pStyle w:val="FirstParagraph"/>
      </w:pPr>
      <w:r>
        <w:rPr>
          <w:bCs/>
          <w:b/>
        </w:rPr>
        <w:t xml:space="preserve">Key insight:</w:t>
      </w:r>
      <w:r>
        <w:t xml:space="preserve"> </w:t>
      </w:r>
      <w:r>
        <w:t xml:space="preserve">Phase 1 outputs (regulatory graph, carbon ledger, KYA governance) are Phase 2 inputs. The sequencing is not just a fundraising story — it is technically correct. Compliance data feeds physical planning. Not the other way around.</w:t>
      </w:r>
    </w:p>
    <w:bookmarkEnd w:id="267"/>
    <w:bookmarkStart w:id="268" w:name="X258de097a6f938c6924e770ba10f22f8a4dd897"/>
    <w:p>
      <w:pPr>
        <w:pStyle w:val="Heading4"/>
      </w:pPr>
      <w:r>
        <w:t xml:space="preserve">10.18.5 Market Positioning and Comparable Companies</w:t>
      </w:r>
    </w:p>
    <w:p>
      <w:pPr>
        <w:pStyle w:val="FirstParagraph"/>
      </w:pPr>
      <w:r>
        <w:t xml:space="preserve">Analysis of carbon compliance SaaS benchmarks: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Company</w:t>
            </w:r>
          </w:p>
        </w:tc>
        <w:tc>
          <w:tcPr/>
          <w:p>
            <w:pPr>
              <w:pStyle w:val="Compact"/>
              <w:jc w:val="left"/>
            </w:pPr>
            <w:r>
              <w:t xml:space="preserve">Round</w:t>
            </w:r>
          </w:p>
        </w:tc>
        <w:tc>
          <w:tcPr/>
          <w:p>
            <w:pPr>
              <w:pStyle w:val="Compact"/>
              <w:jc w:val="left"/>
            </w:pPr>
            <w:r>
              <w:t xml:space="preserve">Revenue</w:t>
            </w:r>
          </w:p>
        </w:tc>
        <w:tc>
          <w:tcPr/>
          <w:p>
            <w:pPr>
              <w:pStyle w:val="Compact"/>
              <w:jc w:val="left"/>
            </w:pPr>
            <w:r>
              <w:t xml:space="preserve">Year</w:t>
            </w:r>
          </w:p>
        </w:tc>
      </w:tr>
      <w:tr>
        <w:tc>
          <w:tcPr/>
          <w:p>
            <w:pPr>
              <w:pStyle w:val="Compact"/>
              <w:jc w:val="left"/>
            </w:pPr>
            <w:r>
              <w:t xml:space="preserve">Persefoni</w:t>
            </w:r>
          </w:p>
        </w:tc>
        <w:tc>
          <w:tcPr/>
          <w:p>
            <w:pPr>
              <w:pStyle w:val="Compact"/>
              <w:jc w:val="left"/>
            </w:pPr>
            <w:r>
              <w:t xml:space="preserve">Series A ($9.7M)</w:t>
            </w:r>
          </w:p>
        </w:tc>
        <w:tc>
          <w:tcPr/>
          <w:p>
            <w:pPr>
              <w:pStyle w:val="Compact"/>
              <w:jc w:val="left"/>
            </w:pPr>
            <w:r>
              <w:t xml:space="preserve">$1.8M ARR</w:t>
            </w:r>
          </w:p>
        </w:tc>
        <w:tc>
          <w:tcPr/>
          <w:p>
            <w:pPr>
              <w:pStyle w:val="Compact"/>
              <w:jc w:val="left"/>
            </w:pPr>
            <w:r>
              <w:t xml:space="preserve">2021</w:t>
            </w:r>
          </w:p>
        </w:tc>
      </w:tr>
      <w:tr>
        <w:tc>
          <w:tcPr/>
          <w:p>
            <w:pPr>
              <w:pStyle w:val="Compact"/>
              <w:jc w:val="left"/>
            </w:pPr>
            <w:r>
              <w:t xml:space="preserve">Sweep</w:t>
            </w:r>
          </w:p>
        </w:tc>
        <w:tc>
          <w:tcPr/>
          <w:p>
            <w:pPr>
              <w:pStyle w:val="Compact"/>
              <w:jc w:val="left"/>
            </w:pPr>
            <w:r>
              <w:t xml:space="preserve">Series A ($22M)</w:t>
            </w:r>
          </w:p>
        </w:tc>
        <w:tc>
          <w:tcPr/>
          <w:p>
            <w:pPr>
              <w:pStyle w:val="Compact"/>
              <w:jc w:val="left"/>
            </w:pPr>
            <w:r>
              <w:t xml:space="preserve">Early revenue</w:t>
            </w:r>
          </w:p>
        </w:tc>
        <w:tc>
          <w:tcPr/>
          <w:p>
            <w:pPr>
              <w:pStyle w:val="Compact"/>
              <w:jc w:val="left"/>
            </w:pPr>
            <w:r>
              <w:t xml:space="preserve">2021</w:t>
            </w:r>
          </w:p>
        </w:tc>
      </w:tr>
      <w:tr>
        <w:tc>
          <w:tcPr/>
          <w:p>
            <w:pPr>
              <w:pStyle w:val="Compact"/>
              <w:jc w:val="left"/>
            </w:pPr>
            <w:r>
              <w:t xml:space="preserve">Workiva</w:t>
            </w:r>
          </w:p>
        </w:tc>
        <w:tc>
          <w:tcPr/>
          <w:p>
            <w:pPr>
              <w:pStyle w:val="Compact"/>
              <w:jc w:val="left"/>
            </w:pPr>
            <w:r>
              <w:t xml:space="preserve">IPO</w:t>
            </w:r>
          </w:p>
        </w:tc>
        <w:tc>
          <w:tcPr/>
          <w:p>
            <w:pPr>
              <w:pStyle w:val="Compact"/>
              <w:jc w:val="left"/>
            </w:pPr>
            <w:r>
              <w:t xml:space="preserve">~$100M ARR</w:t>
            </w:r>
          </w:p>
        </w:tc>
        <w:tc>
          <w:tcPr/>
          <w:p>
            <w:pPr>
              <w:pStyle w:val="Compact"/>
              <w:jc w:val="left"/>
            </w:pPr>
            <w:r>
              <w:t xml:space="preserve">2014</w:t>
            </w:r>
          </w:p>
        </w:tc>
      </w:tr>
      <w:tr>
        <w:tc>
          <w:tcPr/>
          <w:p>
            <w:pPr>
              <w:pStyle w:val="Compact"/>
              <w:jc w:val="left"/>
            </w:pPr>
            <w:r>
              <w:t xml:space="preserve">Lifetime</w:t>
            </w:r>
          </w:p>
        </w:tc>
        <w:tc>
          <w:tcPr/>
          <w:p>
            <w:pPr>
              <w:pStyle w:val="Compact"/>
              <w:jc w:val="left"/>
            </w:pPr>
            <w:r>
              <w:t xml:space="preserve">SAFE (EUR 650K)</w:t>
            </w:r>
          </w:p>
        </w:tc>
        <w:tc>
          <w:tcPr/>
          <w:p>
            <w:pPr>
              <w:pStyle w:val="Compact"/>
              <w:jc w:val="left"/>
            </w:pPr>
            <w:r>
              <w:t xml:space="preserve">EUR 84K ARR</w:t>
            </w:r>
          </w:p>
        </w:tc>
        <w:tc>
          <w:tcPr/>
          <w:p>
            <w:pPr>
              <w:pStyle w:val="Compact"/>
              <w:jc w:val="left"/>
            </w:pPr>
            <w:r>
              <w:t xml:space="preserve">2026</w:t>
            </w:r>
          </w:p>
        </w:tc>
      </w:tr>
    </w:tbl>
    <w:p>
      <w:pPr>
        <w:pStyle w:val="BodyText"/>
      </w:pPr>
      <w:r>
        <w:t xml:space="preserve">Lifetime’s EUR 3.8M cap is below early-stage carbon SaaS benchmarks. Persefoni raised at a higher implied valuation with less traction. Lifetime has more customers (6), a government payer (KELA), edge deployment (EUR 17K/year vs EUR 350K/year cloud), and a 7-year regulatory knowledge graph.</w:t>
      </w:r>
    </w:p>
    <w:bookmarkEnd w:id="268"/>
    <w:bookmarkStart w:id="269" w:name="research-contribution-9"/>
    <w:p>
      <w:pPr>
        <w:pStyle w:val="Heading4"/>
      </w:pPr>
      <w:r>
        <w:t xml:space="preserve">10.18.6 Research Contribution</w:t>
      </w:r>
    </w:p>
    <w:p>
      <w:pPr>
        <w:pStyle w:val="FirstParagraph"/>
      </w:pPr>
      <w:r>
        <w:t xml:space="preserve">This section contributes three findings:</w:t>
      </w:r>
    </w:p>
    <w:p>
      <w:pPr>
        <w:numPr>
          <w:ilvl w:val="0"/>
          <w:numId w:val="1094"/>
        </w:numPr>
      </w:pPr>
      <w:r>
        <w:rPr>
          <w:bCs/>
          <w:b/>
        </w:rPr>
        <w:t xml:space="preserve">Sequencing discipline:</w:t>
      </w:r>
      <w:r>
        <w:t xml:space="preserve"> </w:t>
      </w:r>
      <w:r>
        <w:t xml:space="preserve">The framing of a product should match its current capabilities, not its future vision. Presenting Phase 3 capabilities in a Phase 1 fundraise creates contradictions that informed investors will catch. The three-phase model demonstrates how startup storytelling can be honest and ambitious simultaneously.</w:t>
      </w:r>
    </w:p>
    <w:p>
      <w:pPr>
        <w:numPr>
          <w:ilvl w:val="0"/>
          <w:numId w:val="1094"/>
        </w:numPr>
      </w:pPr>
      <w:r>
        <w:rPr>
          <w:bCs/>
          <w:b/>
        </w:rPr>
        <w:t xml:space="preserve">Compliance-first world model thesis:</w:t>
      </w:r>
      <w:r>
        <w:t xml:space="preserve"> </w:t>
      </w:r>
      <w:r>
        <w:t xml:space="preserve">The insight that compliance data feeds physical planning (not the reverse) is a novel architectural contribution. A construction site digital twin has nothing to optimize without verified emissions data. A healthcare fleet robot has no billing path without KELA integration. This inverts the typical world model narrative (physics first, compliance later) and may generalize to other regulated industries.</w:t>
      </w:r>
    </w:p>
    <w:p>
      <w:pPr>
        <w:numPr>
          <w:ilvl w:val="0"/>
          <w:numId w:val="1094"/>
        </w:numPr>
      </w:pPr>
      <w:r>
        <w:rPr>
          <w:bCs/>
          <w:b/>
        </w:rPr>
        <w:t xml:space="preserve">Phase 2 technical scoping:</w:t>
      </w:r>
      <w:r>
        <w:t xml:space="preserve"> </w:t>
      </w:r>
      <w:r>
        <w:t xml:space="preserve">The three unsolved problems (input modality, scale, regulatory-physical integration) provide a concrete research agenda that connects LeWorldModel’s theoretical advances to industrial application. The digital twin bridge via OpenUSD is identified as the most realistic near-term path.</w:t>
      </w:r>
    </w:p>
    <w:bookmarkEnd w:id="269"/>
    <w:bookmarkEnd w:id="270"/>
    <w:bookmarkStart w:id="275" w:name="Xffdfef13a0852165795bac8c15daacb1d6dc62a"/>
    <w:p>
      <w:pPr>
        <w:pStyle w:val="Heading3"/>
      </w:pPr>
      <w:r>
        <w:t xml:space="preserve">10.19 Thesis Versioning Strategy: v3.30.50 Metropolia Freeze</w:t>
      </w:r>
    </w:p>
    <w:bookmarkStart w:id="271" w:name="motivation-3"/>
    <w:p>
      <w:pPr>
        <w:pStyle w:val="Heading4"/>
      </w:pPr>
      <w:r>
        <w:t xml:space="preserve">10.19.1 Motivation</w:t>
      </w:r>
    </w:p>
    <w:p>
      <w:pPr>
        <w:pStyle w:val="FirstParagraph"/>
      </w:pPr>
      <w:r>
        <w:t xml:space="preserve">By version 3.31, the master thesis had grown to 82 pages and 26,000+ words — nearly double the 40-50 page target for Metropolia submission. Rather than permanently losing detailed research content, a dual-version architecture was adopted.</w:t>
      </w:r>
    </w:p>
    <w:bookmarkEnd w:id="271"/>
    <w:bookmarkStart w:id="272" w:name="dual-version-architecture"/>
    <w:p>
      <w:pPr>
        <w:pStyle w:val="Heading4"/>
      </w:pPr>
      <w:r>
        <w:t xml:space="preserve">10.19.2 Dual-Version Architecture</w:t>
      </w:r>
    </w:p>
    <w:tbl>
      <w:tblPr>
        <w:tblStyle w:val="Table"/>
        <w:tblW w:type="pct" w:w="5000"/>
        <w:tblLook w:firstRow="1" w:lastRow="0" w:firstColumn="0" w:lastColumn="0" w:noHBand="0" w:noVBand="0" w:val="0020"/>
        <w:jc w:val="start"/>
      </w:tblPr>
      <w:tblGrid>
        <w:gridCol w:w="772"/>
        <w:gridCol w:w="2414"/>
        <w:gridCol w:w="482"/>
        <w:gridCol w:w="579"/>
        <w:gridCol w:w="3670"/>
      </w:tblGrid>
      <w:tr>
        <w:trPr>
          <w:tblHeader w:val="true"/>
        </w:trPr>
        <w:tc>
          <w:tcPr/>
          <w:p>
            <w:pPr>
              <w:pStyle w:val="Compact"/>
              <w:jc w:val="left"/>
            </w:pPr>
            <w:r>
              <w:t xml:space="preserve">Version</w:t>
            </w:r>
          </w:p>
        </w:tc>
        <w:tc>
          <w:tcPr/>
          <w:p>
            <w:pPr>
              <w:pStyle w:val="Compact"/>
              <w:jc w:val="left"/>
            </w:pPr>
            <w:r>
              <w:t xml:space="preserve">File</w:t>
            </w:r>
          </w:p>
        </w:tc>
        <w:tc>
          <w:tcPr/>
          <w:p>
            <w:pPr>
              <w:pStyle w:val="Compact"/>
              <w:jc w:val="left"/>
            </w:pPr>
            <w:r>
              <w:t xml:space="preserve">Pages</w:t>
            </w:r>
          </w:p>
        </w:tc>
        <w:tc>
          <w:tcPr/>
          <w:p>
            <w:pPr>
              <w:pStyle w:val="Compact"/>
              <w:jc w:val="left"/>
            </w:pPr>
            <w:r>
              <w:t xml:space="preserve">Status</w:t>
            </w:r>
          </w:p>
        </w:tc>
        <w:tc>
          <w:tcPr/>
          <w:p>
            <w:pPr>
              <w:pStyle w:val="Compact"/>
              <w:jc w:val="left"/>
            </w:pPr>
            <w:r>
              <w:t xml:space="preserve">Purpose</w:t>
            </w:r>
          </w:p>
        </w:tc>
      </w:tr>
      <w:tr>
        <w:tc>
          <w:tcPr/>
          <w:p>
            <w:pPr>
              <w:pStyle w:val="Compact"/>
              <w:jc w:val="left"/>
            </w:pPr>
            <w:r>
              <w:t xml:space="preserve">v3.30.50</w:t>
            </w:r>
          </w:p>
        </w:tc>
        <w:tc>
          <w:tcPr/>
          <w:p>
            <w:pPr>
              <w:pStyle w:val="Compact"/>
              <w:jc w:val="left"/>
            </w:pPr>
            <w:r>
              <w:rPr>
                <w:rStyle w:val="VerbatimChar"/>
              </w:rPr>
              <w:t xml:space="preserve">V3Thesis_EN_v3.30.50.md</w:t>
            </w:r>
          </w:p>
        </w:tc>
        <w:tc>
          <w:tcPr/>
          <w:p>
            <w:pPr>
              <w:pStyle w:val="Compact"/>
              <w:jc w:val="left"/>
            </w:pPr>
            <w:r>
              <w:t xml:space="preserve">~50</w:t>
            </w:r>
          </w:p>
        </w:tc>
        <w:tc>
          <w:tcPr/>
          <w:p>
            <w:pPr>
              <w:pStyle w:val="Compact"/>
              <w:jc w:val="left"/>
            </w:pPr>
            <w:r>
              <w:t xml:space="preserve">FROZEN</w:t>
            </w:r>
          </w:p>
        </w:tc>
        <w:tc>
          <w:tcPr/>
          <w:p>
            <w:pPr>
              <w:pStyle w:val="Compact"/>
              <w:jc w:val="left"/>
            </w:pPr>
            <w:r>
              <w:t xml:space="preserve">Metropolia outgoing submission</w:t>
            </w:r>
          </w:p>
        </w:tc>
      </w:tr>
      <w:tr>
        <w:tc>
          <w:tcPr/>
          <w:p>
            <w:pPr>
              <w:pStyle w:val="Compact"/>
              <w:jc w:val="left"/>
            </w:pPr>
            <w:r>
              <w:t xml:space="preserve">v3.32+</w:t>
            </w:r>
          </w:p>
        </w:tc>
        <w:tc>
          <w:tcPr/>
          <w:p>
            <w:pPr>
              <w:pStyle w:val="Compact"/>
              <w:jc w:val="left"/>
            </w:pPr>
            <w:r>
              <w:rPr>
                <w:rStyle w:val="VerbatimChar"/>
              </w:rPr>
              <w:t xml:space="preserve">V3Thesis_EN.md</w:t>
            </w:r>
          </w:p>
        </w:tc>
        <w:tc>
          <w:tcPr/>
          <w:p>
            <w:pPr>
              <w:pStyle w:val="Compact"/>
              <w:jc w:val="left"/>
            </w:pPr>
            <w:r>
              <w:t xml:space="preserve">~82</w:t>
            </w:r>
          </w:p>
        </w:tc>
        <w:tc>
          <w:tcPr/>
          <w:p>
            <w:pPr>
              <w:pStyle w:val="Compact"/>
              <w:jc w:val="left"/>
            </w:pPr>
            <w:r>
              <w:t xml:space="preserve">Living</w:t>
            </w:r>
          </w:p>
        </w:tc>
        <w:tc>
          <w:tcPr/>
          <w:p>
            <w:pPr>
              <w:pStyle w:val="Compact"/>
              <w:jc w:val="left"/>
            </w:pPr>
            <w:r>
              <w:t xml:space="preserve">Complete research record</w:t>
            </w:r>
          </w:p>
        </w:tc>
      </w:tr>
      <w:tr>
        <w:tc>
          <w:tcPr/>
          <w:p>
            <w:pPr>
              <w:pStyle w:val="Compact"/>
              <w:jc w:val="left"/>
            </w:pPr>
            <w:r>
              <w:t xml:space="preserve">v3.2+</w:t>
            </w:r>
          </w:p>
        </w:tc>
        <w:tc>
          <w:tcPr/>
          <w:p>
            <w:pPr>
              <w:pStyle w:val="Compact"/>
              <w:jc w:val="left"/>
            </w:pPr>
            <w:r>
              <w:rPr>
                <w:rStyle w:val="VerbatimChar"/>
              </w:rPr>
              <w:t xml:space="preserve">PHD_FIREHORSE_EN.md</w:t>
            </w:r>
          </w:p>
        </w:tc>
        <w:tc>
          <w:tcPr/>
          <w:p>
            <w:pPr>
              <w:pStyle w:val="Compact"/>
              <w:jc w:val="left"/>
            </w:pPr>
            <w:r>
              <w:t xml:space="preserve">—</w:t>
            </w:r>
          </w:p>
        </w:tc>
        <w:tc>
          <w:tcPr/>
          <w:p>
            <w:pPr>
              <w:pStyle w:val="Compact"/>
              <w:jc w:val="left"/>
            </w:pPr>
            <w:r>
              <w:t xml:space="preserve">Living</w:t>
            </w:r>
          </w:p>
        </w:tc>
        <w:tc>
          <w:tcPr/>
          <w:p>
            <w:pPr>
              <w:pStyle w:val="Compact"/>
              <w:jc w:val="left"/>
            </w:pPr>
            <w:r>
              <w:t xml:space="preserve">Doctoral companion (detailed sections)</w:t>
            </w:r>
          </w:p>
        </w:tc>
      </w:tr>
    </w:tbl>
    <w:p>
      <w:pPr>
        <w:pStyle w:val="BodyText"/>
      </w:pPr>
      <w:r>
        <w:t xml:space="preserve">The v3.30.50 restructuring applied four transformations:</w:t>
      </w:r>
    </w:p>
    <w:p>
      <w:pPr>
        <w:numPr>
          <w:ilvl w:val="0"/>
          <w:numId w:val="1095"/>
        </w:numPr>
        <w:pStyle w:val="Compact"/>
      </w:pPr>
      <w:r>
        <w:rPr>
          <w:bCs/>
          <w:b/>
        </w:rPr>
        <w:t xml:space="preserve">Section 5 expansion</w:t>
      </w:r>
      <w:r>
        <w:t xml:space="preserve"> </w:t>
      </w:r>
      <w:r>
        <w:t xml:space="preserve">— From 0.7 pages to ~4 pages covering infrastructure deployment, agent architecture, coordination via Lifetime Scope Signals, evolution to 31 agents, customer onboarding results, and key metrics</w:t>
      </w:r>
    </w:p>
    <w:p>
      <w:pPr>
        <w:numPr>
          <w:ilvl w:val="0"/>
          <w:numId w:val="1095"/>
        </w:numPr>
        <w:pStyle w:val="Compact"/>
      </w:pPr>
      <w:r>
        <w:rPr>
          <w:bCs/>
          <w:b/>
        </w:rPr>
        <w:t xml:space="preserve">Section 10 consolidation</w:t>
      </w:r>
      <w:r>
        <w:t xml:space="preserve"> </w:t>
      </w:r>
      <w:r>
        <w:t xml:space="preserve">— Detailed sections 10.6-10.18 replaced with 10.6</w:t>
      </w:r>
      <w:r>
        <w:t xml:space="preserve"> </w:t>
      </w:r>
      <w:r>
        <w:t xml:space="preserve">“</w:t>
      </w:r>
      <w:r>
        <w:t xml:space="preserve">Extended Research Contributions (Summary)</w:t>
      </w:r>
      <w:r>
        <w:t xml:space="preserve">”</w:t>
      </w:r>
      <w:r>
        <w:t xml:space="preserve"> </w:t>
      </w:r>
      <w:r>
        <w:t xml:space="preserve">containing 1-paragraph summaries with PHD Firehorse cross-references</w:t>
      </w:r>
    </w:p>
    <w:p>
      <w:pPr>
        <w:numPr>
          <w:ilvl w:val="0"/>
          <w:numId w:val="1095"/>
        </w:numPr>
        <w:pStyle w:val="Compact"/>
      </w:pPr>
      <w:r>
        <w:rPr>
          <w:bCs/>
          <w:b/>
        </w:rPr>
        <w:t xml:space="preserve">Appendix trimming</w:t>
      </w:r>
      <w:r>
        <w:t xml:space="preserve"> </w:t>
      </w:r>
      <w:r>
        <w:t xml:space="preserve">— 8 appendices reduced to 4 (kept Solution Factory Canvas, LSS Protocol, Karpathy Principles, Glossary)</w:t>
      </w:r>
    </w:p>
    <w:p>
      <w:pPr>
        <w:numPr>
          <w:ilvl w:val="0"/>
          <w:numId w:val="1095"/>
        </w:numPr>
        <w:pStyle w:val="Compact"/>
      </w:pPr>
      <w:r>
        <w:rPr>
          <w:bCs/>
          <w:b/>
        </w:rPr>
        <w:t xml:space="preserve">Content preservation</w:t>
      </w:r>
      <w:r>
        <w:t xml:space="preserve"> </w:t>
      </w:r>
      <w:r>
        <w:t xml:space="preserve">— All removed content already exists in PHD Firehorse companion document</w:t>
      </w:r>
    </w:p>
    <w:bookmarkEnd w:id="272"/>
    <w:bookmarkStart w:id="273" w:name="versioning-rules"/>
    <w:p>
      <w:pPr>
        <w:pStyle w:val="Heading4"/>
      </w:pPr>
      <w:r>
        <w:t xml:space="preserve">10.19.3 Versioning Rules</w:t>
      </w:r>
    </w:p>
    <w:p>
      <w:pPr>
        <w:numPr>
          <w:ilvl w:val="0"/>
          <w:numId w:val="1096"/>
        </w:numPr>
        <w:pStyle w:val="Compact"/>
      </w:pPr>
      <w:r>
        <w:t xml:space="preserve">v3.30.50 files are</w:t>
      </w:r>
      <w:r>
        <w:t xml:space="preserve"> </w:t>
      </w:r>
      <w:r>
        <w:rPr>
          <w:bCs/>
          <w:b/>
        </w:rPr>
        <w:t xml:space="preserve">HIL-only</w:t>
      </w:r>
      <w:r>
        <w:t xml:space="preserve"> </w:t>
      </w:r>
      <w:r>
        <w:t xml:space="preserve">(Human-in-the-Loop) — no Claude Code edits after freeze</w:t>
      </w:r>
    </w:p>
    <w:p>
      <w:pPr>
        <w:numPr>
          <w:ilvl w:val="0"/>
          <w:numId w:val="1096"/>
        </w:numPr>
        <w:pStyle w:val="Compact"/>
      </w:pPr>
      <w:r>
        <w:t xml:space="preserve">The 82-page living document continues versioning normally (3.32, 3.33, …)</w:t>
      </w:r>
    </w:p>
    <w:p>
      <w:pPr>
        <w:numPr>
          <w:ilvl w:val="0"/>
          <w:numId w:val="1096"/>
        </w:numPr>
        <w:pStyle w:val="Compact"/>
      </w:pPr>
      <w:r>
        <w:t xml:space="preserve">PHD Firehorse continues independently (3.2, 3.3, …)</w:t>
      </w:r>
    </w:p>
    <w:p>
      <w:pPr>
        <w:numPr>
          <w:ilvl w:val="0"/>
          <w:numId w:val="1096"/>
        </w:numPr>
        <w:pStyle w:val="Compact"/>
      </w:pPr>
      <w:r>
        <w:t xml:space="preserve">Version updates to living documents should note if content also applies to the frozen version via copy-paste proposals</w:t>
      </w:r>
    </w:p>
    <w:bookmarkEnd w:id="273"/>
    <w:bookmarkStart w:id="274" w:name="research-contribution-10"/>
    <w:p>
      <w:pPr>
        <w:pStyle w:val="Heading4"/>
      </w:pPr>
      <w:r>
        <w:t xml:space="preserve">10.19.4 Research Contribution</w:t>
      </w:r>
    </w:p>
    <w:p>
      <w:pPr>
        <w:pStyle w:val="FirstParagraph"/>
      </w:pPr>
      <w:r>
        <w:rPr>
          <w:bCs/>
          <w:b/>
        </w:rPr>
        <w:t xml:space="preserve">Key Contribution #23:</w:t>
      </w:r>
      <w:r>
        <w:t xml:space="preserve"> </w:t>
      </w:r>
      <w:r>
        <w:t xml:space="preserve">The dual-version strategy demonstrates a practical solution for AI-assisted academic writing where research velocity exceeds submission format constraints. The 82-page living document preserves full research lineage (38 version entries, 22 key contributions), while the 50-page frozen version meets institutional requirements without losing intellectual property. This pattern may generalize to other fast-moving research projects using AI-assisted documentation.</w:t>
      </w:r>
    </w:p>
    <w:bookmarkEnd w:id="274"/>
    <w:bookmarkEnd w:id="275"/>
    <w:bookmarkStart w:id="282" w:name="X3f6265fb6545959661fa29af413e10addd1be2a"/>
    <w:p>
      <w:pPr>
        <w:pStyle w:val="Heading3"/>
      </w:pPr>
      <w:r>
        <w:t xml:space="preserve">10.20 April 2026 Evolution: Skills Paradigm, Lifetime Fleet Roadmap, 22nd Industry, and Founder→Team Transition</w:t>
      </w:r>
    </w:p>
    <w:p>
      <w:pPr>
        <w:pStyle w:val="FirstParagraph"/>
      </w:pPr>
      <w:r>
        <w:rPr>
          <w:iCs/>
          <w:i/>
        </w:rPr>
        <w:t xml:space="preserve">Source: field notes 2026-04-06 through 2026-04-19; PRs #1064, #1109, #1110, #1111, #1112, #1113, #1115, #1116, #1128; SOLO_FOUNDER_STATEMENT v1.2.</w:t>
      </w:r>
    </w:p>
    <w:bookmarkStart w:id="276" w:name="X55104cd22eceedc791d7344603ae34b8bbfd8f4"/>
    <w:p>
      <w:pPr>
        <w:pStyle w:val="Heading4"/>
      </w:pPr>
      <w:r>
        <w:t xml:space="preserve">10.20.1 Anthropic Skills Paradigm — External Validation of DWS Skill-First Architecture</w:t>
      </w:r>
    </w:p>
    <w:p>
      <w:pPr>
        <w:pStyle w:val="FirstParagraph"/>
      </w:pPr>
      <w:r>
        <w:t xml:space="preserve">On 2026-04-16, Anthropic published an essay titled</w:t>
      </w:r>
      <w:r>
        <w:t xml:space="preserve"> </w:t>
      </w:r>
      <w:r>
        <w:t xml:space="preserve">“</w:t>
      </w:r>
      <w:r>
        <w:t xml:space="preserve">Stop Building Agents, Start Building Skills</w:t>
      </w:r>
      <w:r>
        <w:t xml:space="preserve">”</w:t>
      </w:r>
      <w:r>
        <w:t xml:space="preserve"> </w:t>
      </w:r>
      <w:r>
        <w:t xml:space="preserve">(logged at</w:t>
      </w:r>
      <w:r>
        <w:t xml:space="preserve"> </w:t>
      </w:r>
      <w:r>
        <w:rPr>
          <w:rStyle w:val="VerbatimChar"/>
        </w:rPr>
        <w:t xml:space="preserve">docs/field-notes/2026-04-16-anthropic-skills-paradigm-stop-building-agents.md</w:t>
      </w:r>
      <w:r>
        <w:t xml:space="preserve">). The argument: monolithic agents over-consume context window capacity and degrade as tool counts grow; discrete, invocable skills (Claude Code Skills,</w:t>
      </w:r>
      <w:r>
        <w:t xml:space="preserve"> </w:t>
      </w:r>
      <w:r>
        <w:rPr>
          <w:rStyle w:val="VerbatimChar"/>
        </w:rPr>
        <w:t xml:space="preserve">.claude/commands/*.md</w:t>
      </w:r>
      <w:r>
        <w:t xml:space="preserve">) outperform agent frameworks at enterprise scale because each skill is loaded only when needed and is individually testable.</w:t>
      </w:r>
    </w:p>
    <w:p>
      <w:pPr>
        <w:pStyle w:val="BodyText"/>
      </w:pPr>
      <w:r>
        <w:t xml:space="preserve">This is the first major external validation of the architectural bet made in Section 10.13 (Claude Code Engineering Structure, Version 3.17, 02.03.2026) and Section 10.13.7 (Domain-Specific vs Generic AI Harness, Version 3.31, 31.03.2026). Specifically:</w:t>
      </w:r>
    </w:p>
    <w:tbl>
      <w:tblPr>
        <w:tblStyle w:val="Table"/>
        <w:tblW w:type="pct" w:w="5000"/>
        <w:tblLook w:firstRow="1" w:lastRow="0" w:firstColumn="0" w:lastColumn="0" w:noHBand="0" w:noVBand="0" w:val="0020"/>
        <w:jc w:val="start"/>
      </w:tblPr>
      <w:tblGrid>
        <w:gridCol w:w="4730"/>
        <w:gridCol w:w="2695"/>
        <w:gridCol w:w="495"/>
      </w:tblGrid>
      <w:tr>
        <w:trPr>
          <w:tblHeader w:val="true"/>
        </w:trPr>
        <w:tc>
          <w:tcPr/>
          <w:p>
            <w:pPr>
              <w:pStyle w:val="Compact"/>
              <w:jc w:val="left"/>
            </w:pPr>
            <w:r>
              <w:t xml:space="preserve">DWS Position (pre-April 2026)</w:t>
            </w:r>
          </w:p>
        </w:tc>
        <w:tc>
          <w:tcPr/>
          <w:p>
            <w:pPr>
              <w:pStyle w:val="Compact"/>
              <w:jc w:val="left"/>
            </w:pPr>
            <w:r>
              <w:t xml:space="preserve">Anthropic’s 2026-04-16 argument</w:t>
            </w:r>
          </w:p>
        </w:tc>
        <w:tc>
          <w:tcPr/>
          <w:p>
            <w:pPr>
              <w:pStyle w:val="Compact"/>
              <w:jc w:val="left"/>
            </w:pPr>
            <w:r>
              <w:t xml:space="preserve">Status</w:t>
            </w:r>
          </w:p>
        </w:tc>
      </w:tr>
      <w:tr>
        <w:tc>
          <w:tcPr/>
          <w:p>
            <w:pPr>
              <w:pStyle w:val="Compact"/>
              <w:jc w:val="left"/>
            </w:pPr>
            <w:r>
              <w:t xml:space="preserve">Skills as reusable workflow components (§10.13.3)</w:t>
            </w:r>
          </w:p>
        </w:tc>
        <w:tc>
          <w:tcPr/>
          <w:p>
            <w:pPr>
              <w:pStyle w:val="Compact"/>
              <w:jc w:val="left"/>
            </w:pPr>
            <w:r>
              <w:t xml:space="preserve">Skills over agents at scale</w:t>
            </w:r>
          </w:p>
        </w:tc>
        <w:tc>
          <w:tcPr/>
          <w:p>
            <w:pPr>
              <w:pStyle w:val="Compact"/>
              <w:jc w:val="left"/>
            </w:pPr>
            <w:r>
              <w:t xml:space="preserve">Validated</w:t>
            </w:r>
          </w:p>
        </w:tc>
      </w:tr>
      <w:tr>
        <w:tc>
          <w:tcPr/>
          <w:p>
            <w:pPr>
              <w:pStyle w:val="Compact"/>
              <w:jc w:val="left"/>
            </w:pPr>
            <w:r>
              <w:rPr>
                <w:rStyle w:val="VerbatimChar"/>
              </w:rPr>
              <w:t xml:space="preserve">.claude/commands/*.md</w:t>
            </w:r>
            <w:r>
              <w:t xml:space="preserve"> </w:t>
            </w:r>
            <w:r>
              <w:t xml:space="preserve">as product interface (§10.13.6)</w:t>
            </w:r>
          </w:p>
        </w:tc>
        <w:tc>
          <w:tcPr/>
          <w:p>
            <w:pPr>
              <w:pStyle w:val="Compact"/>
              <w:jc w:val="left"/>
            </w:pPr>
            <w:r>
              <w:t xml:space="preserve">Discrete invocables beat monoliths</w:t>
            </w:r>
          </w:p>
        </w:tc>
        <w:tc>
          <w:tcPr/>
          <w:p>
            <w:pPr>
              <w:pStyle w:val="Compact"/>
              <w:jc w:val="left"/>
            </w:pPr>
            <w:r>
              <w:t xml:space="preserve">Validated</w:t>
            </w:r>
          </w:p>
        </w:tc>
      </w:tr>
      <w:tr>
        <w:tc>
          <w:tcPr/>
          <w:p>
            <w:pPr>
              <w:pStyle w:val="Compact"/>
              <w:jc w:val="left"/>
            </w:pPr>
            <w:r>
              <w:t xml:space="preserve">Agent-first product rule — every product needs a skill (CLAUDE.md §</w:t>
            </w:r>
            <w:r>
              <w:t xml:space="preserve">“</w:t>
            </w:r>
            <w:r>
              <w:t xml:space="preserve">Build for Agents</w:t>
            </w:r>
            <w:r>
              <w:t xml:space="preserve">”</w:t>
            </w:r>
            <w:r>
              <w:t xml:space="preserve">)</w:t>
            </w:r>
          </w:p>
        </w:tc>
        <w:tc>
          <w:tcPr/>
          <w:p>
            <w:pPr>
              <w:pStyle w:val="Compact"/>
              <w:jc w:val="left"/>
            </w:pPr>
            <w:r>
              <w:t xml:space="preserve">Skills are the API surface</w:t>
            </w:r>
          </w:p>
        </w:tc>
        <w:tc>
          <w:tcPr/>
          <w:p>
            <w:pPr>
              <w:pStyle w:val="Compact"/>
              <w:jc w:val="left"/>
            </w:pPr>
            <w:r>
              <w:t xml:space="preserve">Validated</w:t>
            </w:r>
          </w:p>
        </w:tc>
      </w:tr>
      <w:tr>
        <w:tc>
          <w:tcPr/>
          <w:p>
            <w:pPr>
              <w:pStyle w:val="Compact"/>
              <w:jc w:val="left"/>
            </w:pPr>
            <w:r>
              <w:t xml:space="preserve">Domain-specific depth &gt; breadth (§10.13.7)</w:t>
            </w:r>
          </w:p>
        </w:tc>
        <w:tc>
          <w:tcPr/>
          <w:p>
            <w:pPr>
              <w:pStyle w:val="Compact"/>
              <w:jc w:val="left"/>
            </w:pPr>
            <w:r>
              <w:t xml:space="preserve">Generic 136-skill frameworks fail on token budget</w:t>
            </w:r>
          </w:p>
        </w:tc>
        <w:tc>
          <w:tcPr/>
          <w:p>
            <w:pPr>
              <w:pStyle w:val="Compact"/>
              <w:jc w:val="left"/>
            </w:pPr>
            <w:r>
              <w:t xml:space="preserve">Validated</w:t>
            </w:r>
          </w:p>
        </w:tc>
      </w:tr>
    </w:tbl>
    <w:p>
      <w:pPr>
        <w:pStyle w:val="BodyText"/>
      </w:pPr>
      <w:r>
        <w:rPr>
          <w:bCs/>
          <w:b/>
        </w:rPr>
        <w:t xml:space="preserve">Skill library growth since v3.31 (31.03.2026):</w:t>
      </w:r>
      <w:r>
        <w:t xml:space="preserve"> </w:t>
      </w:r>
      <w:r>
        <w:t xml:space="preserve">+3 production skills —</w:t>
      </w:r>
      <w:r>
        <w:t xml:space="preserve"> </w:t>
      </w:r>
      <w:r>
        <w:rPr>
          <w:rStyle w:val="VerbatimChar"/>
        </w:rPr>
        <w:t xml:space="preserve">/regulatory-radar</w:t>
      </w:r>
      <w:r>
        <w:t xml:space="preserve"> </w:t>
      </w:r>
      <w:r>
        <w:t xml:space="preserve">(EU regulation pipeline scanner),</w:t>
      </w:r>
      <w:r>
        <w:t xml:space="preserve"> </w:t>
      </w:r>
      <w:r>
        <w:rPr>
          <w:rStyle w:val="VerbatimChar"/>
        </w:rPr>
        <w:t xml:space="preserve">/investor-outreach</w:t>
      </w:r>
      <w:r>
        <w:t xml:space="preserve"> </w:t>
      </w:r>
      <w:r>
        <w:t xml:space="preserve">(draft/triage/track investor INTRO notes),</w:t>
      </w:r>
      <w:r>
        <w:t xml:space="preserve"> </w:t>
      </w:r>
      <w:r>
        <w:rPr>
          <w:rStyle w:val="VerbatimChar"/>
        </w:rPr>
        <w:t xml:space="preserve">/multilingual</w:t>
      </w:r>
      <w:r>
        <w:t xml:space="preserve"> </w:t>
      </w:r>
      <w:r>
        <w:t xml:space="preserve">(EU language bar generator for onelifetime.world and dws10.com). Total 24+ production skills with 4 blocking discipline gates.</w:t>
      </w:r>
    </w:p>
    <w:p>
      <w:pPr>
        <w:pStyle w:val="BodyText"/>
      </w:pPr>
      <w:r>
        <w:rPr>
          <w:bCs/>
          <w:b/>
        </w:rPr>
        <w:t xml:space="preserve">Research contribution:</w:t>
      </w:r>
      <w:r>
        <w:t xml:space="preserve"> </w:t>
      </w:r>
      <w:r>
        <w:t xml:space="preserve">The skills-first architecture is no longer a hypothesis under evaluation — it is the emerging industry consensus. For a one-person founder team operating in a regulated domain, the skill library also functions as an</w:t>
      </w:r>
      <w:r>
        <w:t xml:space="preserve"> </w:t>
      </w:r>
      <w:r>
        <w:rPr>
          <w:bCs/>
          <w:b/>
        </w:rPr>
        <w:t xml:space="preserve">on-ramp for co-founders and partners</w:t>
      </w:r>
      <w:r>
        <w:t xml:space="preserve">: each skill is a documented, testable unit of institutional knowledge that a new contributor can exercise without reading the full codebase.</w:t>
      </w:r>
    </w:p>
    <w:bookmarkEnd w:id="276"/>
    <w:bookmarkStart w:id="277" w:name="X64fbd3dc6bb8d3f19fa52f0e4a571fe1c405574"/>
    <w:p>
      <w:pPr>
        <w:pStyle w:val="Heading4"/>
      </w:pPr>
      <w:r>
        <w:t xml:space="preserve">10.20.2 Lifetime Fleet Roadmap Crystallization —</w:t>
      </w:r>
      <w:r>
        <w:t xml:space="preserve"> </w:t>
      </w:r>
      <w:r>
        <w:t xml:space="preserve">“</w:t>
      </w:r>
      <w:r>
        <w:t xml:space="preserve">Hands</w:t>
      </w:r>
      <w:r>
        <w:t xml:space="preserve">”</w:t>
      </w:r>
      <w:r>
        <w:t xml:space="preserve"> </w:t>
      </w:r>
      <w:r>
        <w:t xml:space="preserve">Layer Graduates from Spec to Timeline</w:t>
      </w:r>
    </w:p>
    <w:p>
      <w:pPr>
        <w:pStyle w:val="FirstParagraph"/>
      </w:pPr>
      <w:r>
        <w:t xml:space="preserve">The Brain-Memory-Body-Hands architecture (CLAUDE.md §</w:t>
      </w:r>
      <w:r>
        <w:t xml:space="preserve">“</w:t>
      </w:r>
      <w:r>
        <w:t xml:space="preserve">Project Overview</w:t>
      </w:r>
      <w:r>
        <w:t xml:space="preserve">”</w:t>
      </w:r>
      <w:r>
        <w:t xml:space="preserve">) listed Lifetime Fleet (</w:t>
      </w:r>
      <w:r>
        <w:t xml:space="preserve">“</w:t>
      </w:r>
      <w:r>
        <w:t xml:space="preserve">Hands</w:t>
      </w:r>
      <w:r>
        <w:t xml:space="preserve">”</w:t>
      </w:r>
      <w:r>
        <w:t xml:space="preserve">) as</w:t>
      </w:r>
      <w:r>
        <w:t xml:space="preserve"> </w:t>
      </w:r>
      <w:r>
        <w:rPr>
          <w:iCs/>
          <w:i/>
        </w:rPr>
        <w:t xml:space="preserve">“</w:t>
      </w:r>
      <w:r>
        <w:rPr>
          <w:iCs/>
          <w:i/>
        </w:rPr>
        <w:t xml:space="preserve">specification phase</w:t>
      </w:r>
      <w:r>
        <w:rPr>
          <w:iCs/>
          <w:i/>
        </w:rPr>
        <w:t xml:space="preserve">”</w:t>
      </w:r>
      <w:r>
        <w:t xml:space="preserve"> </w:t>
      </w:r>
      <w:r>
        <w:t xml:space="preserve">for the entire life of this thesis. In April 2026 this changed. Two field notes crystallize the roadmap:</w:t>
      </w:r>
    </w:p>
    <w:p>
      <w:pPr>
        <w:numPr>
          <w:ilvl w:val="0"/>
          <w:numId w:val="1097"/>
        </w:numPr>
        <w:pStyle w:val="Compact"/>
      </w:pPr>
      <w:r>
        <w:rPr>
          <w:rStyle w:val="VerbatimChar"/>
          <w:bCs/>
          <w:b/>
        </w:rPr>
        <w:t xml:space="preserve">docs/field-notes/2026-04-15-finland-drone-strategy-lifetime-fleet.md</w:t>
      </w:r>
      <w:r>
        <w:t xml:space="preserve"> </w:t>
      </w:r>
      <w:r>
        <w:t xml:space="preserve">— Alignment of Lifetime Fleet with Finland’s Drone Strategy 2030. Positions DWS as the governance + compliance layer for Finnish industrial drones (agriculture, forestry, infrastructure, defence) using the same KYA/Aegis/Firehorse inventory already built for the platform.</w:t>
      </w:r>
    </w:p>
    <w:p>
      <w:pPr>
        <w:numPr>
          <w:ilvl w:val="0"/>
          <w:numId w:val="1097"/>
        </w:numPr>
        <w:pStyle w:val="Compact"/>
      </w:pPr>
      <w:r>
        <w:rPr>
          <w:rStyle w:val="VerbatimChar"/>
          <w:bCs/>
          <w:b/>
        </w:rPr>
        <w:t xml:space="preserve">docs/field-notes/2026-04-19-drone-app-baltic-timeline-research.md</w:t>
      </w:r>
      <w:r>
        <w:t xml:space="preserve"> </w:t>
      </w:r>
      <w:r>
        <w:t xml:space="preserve">— Baltic-first MVP timeline: 12–16 weeks to a shippable drone application, reusing existing KYA governance (L1–L5), OpenSandbox agent isolation, and the Shufti IDV integration. No new hardware R&amp;D cycle required.</w:t>
      </w:r>
    </w:p>
    <w:p>
      <w:pPr>
        <w:pStyle w:val="FirstParagraph"/>
      </w:pPr>
      <w:r>
        <w:rPr>
          <w:bCs/>
          <w:b/>
        </w:rPr>
        <w:t xml:space="preserve">Why this matters for the thesis:</w:t>
      </w:r>
      <w:r>
        <w:t xml:space="preserve"> </w:t>
      </w:r>
      <w:r>
        <w:t xml:space="preserve">Section 10.18 (LWM Sequencing Strategy, Version 3.30) framed the Brain-Memory-Body-Hands stack as</w:t>
      </w:r>
      <w:r>
        <w:t xml:space="preserve"> </w:t>
      </w:r>
      <w:r>
        <w:rPr>
          <w:iCs/>
          <w:i/>
        </w:rPr>
        <w:t xml:space="preserve">compliance → fleet → Series A</w:t>
      </w:r>
      <w:r>
        <w:t xml:space="preserve">. The April 2026 field notes convert</w:t>
      </w:r>
      <w:r>
        <w:t xml:space="preserve"> </w:t>
      </w:r>
      <w:r>
        <w:t xml:space="preserve">“</w:t>
      </w:r>
      <w:r>
        <w:t xml:space="preserve">fleet</w:t>
      </w:r>
      <w:r>
        <w:t xml:space="preserve">”</w:t>
      </w:r>
      <w:r>
        <w:t xml:space="preserve"> </w:t>
      </w:r>
      <w:r>
        <w:t xml:space="preserve">from a Phase 2 aspiration to a concrete Baltic MVP with reuse-first economics. The compliance-first world-model thesis is now testable on a specific hardware class in a specific geography within one calendar quarter.</w:t>
      </w:r>
    </w:p>
    <w:bookmarkEnd w:id="277"/>
    <w:bookmarkStart w:id="278" w:name="Xe52a794bdd8a726ce7f08e3c909e0f9d68362fb"/>
    <w:p>
      <w:pPr>
        <w:pStyle w:val="Heading4"/>
      </w:pPr>
      <w:r>
        <w:t xml:space="preserve">10.20.3 DWS IQ 7 Datacentre Compliance Agent — 22nd Industry and the Green Hydrogen Additionality Mandate</w:t>
      </w:r>
    </w:p>
    <w:p>
      <w:pPr>
        <w:pStyle w:val="FirstParagraph"/>
      </w:pPr>
      <w:r>
        <w:t xml:space="preserve">Two new field notes add a 22nd industry to the platform:</w:t>
      </w:r>
    </w:p>
    <w:p>
      <w:pPr>
        <w:numPr>
          <w:ilvl w:val="0"/>
          <w:numId w:val="1098"/>
        </w:numPr>
        <w:pStyle w:val="Compact"/>
      </w:pPr>
      <w:r>
        <w:rPr>
          <w:rStyle w:val="VerbatimChar"/>
          <w:bCs/>
          <w:b/>
        </w:rPr>
        <w:t xml:space="preserve">docs/field-notes/2026-04-18-eu-green-hydrogen-additionality-finland-datacentres.md</w:t>
      </w:r>
      <w:r>
        <w:t xml:space="preserve"> </w:t>
      </w:r>
      <w:r>
        <w:t xml:space="preserve">— EU RFNBO Delegated Regulation 2023/1184 (additionality, temporal correlation, geographical correlation) applied to Finnish datacentres. Datacentres claiming renewable-hydrogen-backed operations must prove the hydrogen meets all three additionality tests.</w:t>
      </w:r>
    </w:p>
    <w:p>
      <w:pPr>
        <w:numPr>
          <w:ilvl w:val="0"/>
          <w:numId w:val="1098"/>
        </w:numPr>
        <w:pStyle w:val="Compact"/>
      </w:pPr>
      <w:r>
        <w:rPr>
          <w:rStyle w:val="VerbatimChar"/>
          <w:bCs/>
          <w:b/>
        </w:rPr>
        <w:t xml:space="preserve">docs/DWS_IQ_7_DATACENTRE_COMPLIANCE_AGENT_PRD_v0.1.md</w:t>
      </w:r>
      <w:r>
        <w:t xml:space="preserve"> </w:t>
      </w:r>
      <w:r>
        <w:t xml:space="preserve">(and later v0.2 locking Ops Manager as V0 buyer) — Agent specification targeting hyperscaler + colocation operators in Finland (Microsoft, Google, Amazon, Equinix, Digita). Ops Manager ICP validated with a buyer-persona validation script.</w:t>
      </w:r>
    </w:p>
    <w:p>
      <w:pPr>
        <w:pStyle w:val="FirstParagraph"/>
      </w:pPr>
      <w:r>
        <w:rPr>
          <w:bCs/>
          <w:b/>
        </w:rPr>
        <w:t xml:space="preserve">Regulatory contribution to Section 10.17 (Carbon Balance Sheet):</w:t>
      </w:r>
      <w:r>
        <w:t xml:space="preserve"> </w:t>
      </w:r>
      <w:r>
        <w:t xml:space="preserve">Datacentres are the first industry where the ledger must reconcile</w:t>
      </w:r>
      <w:r>
        <w:t xml:space="preserve"> </w:t>
      </w:r>
      <w:r>
        <w:rPr>
          <w:iCs/>
          <w:i/>
        </w:rPr>
        <w:t xml:space="preserve">both</w:t>
      </w:r>
      <w:r>
        <w:t xml:space="preserve"> </w:t>
      </w:r>
      <w:r>
        <w:t xml:space="preserve">electricity-side accounting (ETS Scope 2) and fuel-side accounting (RFNBO hydrogen additionality). This extends the double-entry carbon ledger from the cement/steel/construction verticals originally analysed to a data-intensive service vertical — stressing the cross-regulation reconciliation claim with a qualitatively different emission profile.</w:t>
      </w:r>
    </w:p>
    <w:bookmarkEnd w:id="278"/>
    <w:bookmarkStart w:id="279" w:name="Xb29a3383c35ba8692cb75a4852c600dcd88508a"/>
    <w:p>
      <w:pPr>
        <w:pStyle w:val="Heading4"/>
      </w:pPr>
      <w:r>
        <w:t xml:space="preserve">10.20.4 Regulatory Stack Expansion: NIS2 + CER (Hybrid Threats)</w:t>
      </w:r>
    </w:p>
    <w:p>
      <w:pPr>
        <w:pStyle w:val="FirstParagraph"/>
      </w:pPr>
      <w:r>
        <w:t xml:space="preserve">The CORE Resilience Model blog post (onelifetime.world/posts/core-resilience-hybrid-threats.html, 2026-04-13) and the Hybridiosaamiskeskus hallitus turvallisuusvastuu 8.5.2026 field note expand DWS’s regulatory coverage beyond climate regulation:</w:t>
      </w:r>
    </w:p>
    <w:tbl>
      <w:tblPr>
        <w:tblStyle w:val="Table"/>
        <w:tblW w:type="pct" w:w="5000"/>
        <w:tblLook w:firstRow="1" w:lastRow="0" w:firstColumn="0" w:lastColumn="0" w:noHBand="0" w:noVBand="0" w:val="0020"/>
        <w:jc w:val="start"/>
      </w:tblPr>
      <w:tblGrid>
        <w:gridCol w:w="2892"/>
        <w:gridCol w:w="3236"/>
        <w:gridCol w:w="1790"/>
      </w:tblGrid>
      <w:tr>
        <w:trPr>
          <w:tblHeader w:val="true"/>
        </w:trPr>
        <w:tc>
          <w:tcPr/>
          <w:p>
            <w:pPr>
              <w:pStyle w:val="Compact"/>
              <w:jc w:val="left"/>
            </w:pPr>
            <w:r>
              <w:t xml:space="preserve">Regulation</w:t>
            </w:r>
          </w:p>
        </w:tc>
        <w:tc>
          <w:tcPr/>
          <w:p>
            <w:pPr>
              <w:pStyle w:val="Compact"/>
              <w:jc w:val="left"/>
            </w:pPr>
            <w:r>
              <w:t xml:space="preserve">Scope</w:t>
            </w:r>
          </w:p>
        </w:tc>
        <w:tc>
          <w:tcPr/>
          <w:p>
            <w:pPr>
              <w:pStyle w:val="Compact"/>
              <w:jc w:val="left"/>
            </w:pPr>
            <w:r>
              <w:t xml:space="preserve">Coverage status</w:t>
            </w:r>
          </w:p>
        </w:tc>
      </w:tr>
      <w:tr>
        <w:tc>
          <w:tcPr/>
          <w:p>
            <w:pPr>
              <w:pStyle w:val="Compact"/>
              <w:jc w:val="left"/>
            </w:pPr>
            <w:r>
              <w:t xml:space="preserve">ETS, CBAM, CSRD, Taxonomy, EED, Fit-for-55</w:t>
            </w:r>
          </w:p>
        </w:tc>
        <w:tc>
          <w:tcPr/>
          <w:p>
            <w:pPr>
              <w:pStyle w:val="Compact"/>
              <w:jc w:val="left"/>
            </w:pPr>
            <w:r>
              <w:t xml:space="preserve">Climate/energy</w:t>
            </w:r>
          </w:p>
        </w:tc>
        <w:tc>
          <w:tcPr/>
          <w:p>
            <w:pPr>
              <w:pStyle w:val="Compact"/>
              <w:jc w:val="left"/>
            </w:pPr>
            <w:r>
              <w:t xml:space="preserve">Production (Section 10.17)</w:t>
            </w:r>
          </w:p>
        </w:tc>
      </w:tr>
      <w:tr>
        <w:tc>
          <w:tcPr/>
          <w:p>
            <w:pPr>
              <w:pStyle w:val="Compact"/>
              <w:jc w:val="left"/>
            </w:pPr>
            <w:r>
              <w:t xml:space="preserve">EU AI Act Art 12</w:t>
            </w:r>
          </w:p>
        </w:tc>
        <w:tc>
          <w:tcPr/>
          <w:p>
            <w:pPr>
              <w:pStyle w:val="Compact"/>
              <w:jc w:val="left"/>
            </w:pPr>
            <w:r>
              <w:t xml:space="preserve">AI governance/logging</w:t>
            </w:r>
          </w:p>
        </w:tc>
        <w:tc>
          <w:tcPr/>
          <w:p>
            <w:pPr>
              <w:pStyle w:val="Compact"/>
              <w:jc w:val="left"/>
            </w:pPr>
            <w:r>
              <w:t xml:space="preserve">Production (Section 10.13)</w:t>
            </w:r>
          </w:p>
        </w:tc>
      </w:tr>
      <w:tr>
        <w:tc>
          <w:tcPr/>
          <w:p>
            <w:pPr>
              <w:pStyle w:val="Compact"/>
              <w:jc w:val="left"/>
            </w:pPr>
            <w:r>
              <w:rPr>
                <w:bCs/>
                <w:b/>
              </w:rPr>
              <w:t xml:space="preserve">NIS2</w:t>
            </w:r>
            <w:r>
              <w:t xml:space="preserve"> </w:t>
            </w:r>
            <w:r>
              <w:t xml:space="preserve">(Directive 2022/2555)</w:t>
            </w:r>
          </w:p>
        </w:tc>
        <w:tc>
          <w:tcPr/>
          <w:p>
            <w:pPr>
              <w:pStyle w:val="Compact"/>
              <w:jc w:val="left"/>
            </w:pPr>
            <w:r>
              <w:t xml:space="preserve">Cybersecurity of essential &amp; important entities</w:t>
            </w:r>
          </w:p>
        </w:tc>
        <w:tc>
          <w:tcPr/>
          <w:p>
            <w:pPr>
              <w:pStyle w:val="Compact"/>
              <w:jc w:val="left"/>
            </w:pPr>
            <w:r>
              <w:rPr>
                <w:bCs/>
                <w:b/>
              </w:rPr>
              <w:t xml:space="preserve">Added April 2026</w:t>
            </w:r>
          </w:p>
        </w:tc>
      </w:tr>
      <w:tr>
        <w:tc>
          <w:tcPr/>
          <w:p>
            <w:pPr>
              <w:pStyle w:val="Compact"/>
              <w:jc w:val="left"/>
            </w:pPr>
            <w:r>
              <w:rPr>
                <w:bCs/>
                <w:b/>
              </w:rPr>
              <w:t xml:space="preserve">CER</w:t>
            </w:r>
            <w:r>
              <w:t xml:space="preserve"> </w:t>
            </w:r>
            <w:r>
              <w:t xml:space="preserve">(Directive 2022/2557)</w:t>
            </w:r>
          </w:p>
        </w:tc>
        <w:tc>
          <w:tcPr/>
          <w:p>
            <w:pPr>
              <w:pStyle w:val="Compact"/>
              <w:jc w:val="left"/>
            </w:pPr>
            <w:r>
              <w:t xml:space="preserve">Critical Entities Resilience (physical + cyber)</w:t>
            </w:r>
          </w:p>
        </w:tc>
        <w:tc>
          <w:tcPr/>
          <w:p>
            <w:pPr>
              <w:pStyle w:val="Compact"/>
              <w:jc w:val="left"/>
            </w:pPr>
            <w:r>
              <w:rPr>
                <w:bCs/>
                <w:b/>
              </w:rPr>
              <w:t xml:space="preserve">Added April 2026</w:t>
            </w:r>
          </w:p>
        </w:tc>
      </w:tr>
    </w:tbl>
    <w:p>
      <w:pPr>
        <w:pStyle w:val="BodyText"/>
      </w:pPr>
      <w:r>
        <w:t xml:space="preserve">The Aegis product (</w:t>
      </w:r>
      <w:r>
        <w:rPr>
          <w:rStyle w:val="VerbatimChar"/>
        </w:rPr>
        <w:t xml:space="preserve">dws10.com/products/aegis.html</w:t>
      </w:r>
      <w:r>
        <w:t xml:space="preserve">, hackathon demo PR #1128) is re-positioned as the NIS2/CER wedge: sovereign security governance for critical infrastructure operators (SNCF France infrastructure surveillance field note 2026-04-14 validates the vertical). This is the first time DWS IQ 6 covers non-climate EU regulation — a material extension of the platform’s compliance scope.</w:t>
      </w:r>
    </w:p>
    <w:bookmarkEnd w:id="279"/>
    <w:bookmarkStart w:id="280" w:name="Xf2a4d90a4ff0af74f75747240d184d5ff07a319"/>
    <w:p>
      <w:pPr>
        <w:pStyle w:val="Heading4"/>
      </w:pPr>
      <w:r>
        <w:t xml:space="preserve">10.20.5 Founder→Team Transition and the Investor Outreach Workflow</w:t>
      </w:r>
    </w:p>
    <w:p>
      <w:pPr>
        <w:pStyle w:val="FirstParagraph"/>
      </w:pPr>
      <w:r>
        <w:t xml:space="preserve">Sections 10.7 (BYOA) and 10.11 (CEO Automation Agent Suite) framed DWS IQ 6 as a one-person-operated platform where AI-assisted tooling substitutes for headcount. April 2026 marks the deliberate transition from solo founder to team:</w:t>
      </w:r>
    </w:p>
    <w:p>
      <w:pPr>
        <w:numPr>
          <w:ilvl w:val="0"/>
          <w:numId w:val="1099"/>
        </w:numPr>
        <w:pStyle w:val="Compact"/>
      </w:pPr>
      <w:r>
        <w:rPr>
          <w:rStyle w:val="VerbatimChar"/>
          <w:bCs/>
          <w:b/>
        </w:rPr>
        <w:t xml:space="preserve">docs/investor-intros/SOLO_FOUNDER_STATEMENT.md</w:t>
      </w:r>
      <w:r>
        <w:rPr>
          <w:bCs/>
          <w:b/>
        </w:rPr>
        <w:t xml:space="preserve"> </w:t>
      </w:r>
      <w:r>
        <w:rPr>
          <w:bCs/>
          <w:b/>
        </w:rPr>
        <w:t xml:space="preserve">v1.2</w:t>
      </w:r>
      <w:r>
        <w:t xml:space="preserve"> </w:t>
      </w:r>
      <w:r>
        <w:t xml:space="preserve">— Single source of truth narrative for Series A / SAFE investor conversations. Locks the solo-founder-with-AI-team thesis that the thesis itself documents.</w:t>
      </w:r>
    </w:p>
    <w:p>
      <w:pPr>
        <w:numPr>
          <w:ilvl w:val="0"/>
          <w:numId w:val="1099"/>
        </w:numPr>
        <w:pStyle w:val="Compact"/>
      </w:pPr>
      <w:r>
        <w:rPr>
          <w:bCs/>
          <w:b/>
        </w:rPr>
        <w:t xml:space="preserve">Anthony Maurin CTO co-builder track</w:t>
      </w:r>
      <w:r>
        <w:t xml:space="preserve"> </w:t>
      </w:r>
      <w:r>
        <w:t xml:space="preserve">(field note 2026-04-19</w:t>
      </w:r>
      <w:r>
        <w:t xml:space="preserve"> </w:t>
      </w:r>
      <w:r>
        <w:rPr>
          <w:iCs/>
          <w:i/>
        </w:rPr>
        <w:t xml:space="preserve">CTO LinkedIn search launched</w:t>
      </w:r>
      <w:r>
        <w:t xml:space="preserve">) — First named co-builder. Equity sequencing tightened against investor reactivation catalyst (Perissich).</w:t>
      </w:r>
    </w:p>
    <w:p>
      <w:pPr>
        <w:numPr>
          <w:ilvl w:val="0"/>
          <w:numId w:val="1099"/>
        </w:numPr>
        <w:pStyle w:val="Compact"/>
      </w:pPr>
      <w:r>
        <w:rPr>
          <w:rStyle w:val="VerbatimChar"/>
          <w:bCs/>
          <w:b/>
        </w:rPr>
        <w:t xml:space="preserve">/investor-outreach</w:t>
      </w:r>
      <w:r>
        <w:rPr>
          <w:bCs/>
          <w:b/>
        </w:rPr>
        <w:t xml:space="preserve"> </w:t>
      </w:r>
      <w:r>
        <w:rPr>
          <w:bCs/>
          <w:b/>
        </w:rPr>
        <w:t xml:space="preserve">skill</w:t>
      </w:r>
      <w:r>
        <w:t xml:space="preserve"> </w:t>
      </w:r>
      <w:r>
        <w:t xml:space="preserve">(PR #1109,</w:t>
      </w:r>
      <w:r>
        <w:t xml:space="preserve"> </w:t>
      </w:r>
      <w:r>
        <w:rPr>
          <w:rStyle w:val="VerbatimChar"/>
        </w:rPr>
        <w:t xml:space="preserve">.claude/commands/investor-outreach.md</w:t>
      </w:r>
      <w:r>
        <w:t xml:space="preserve">) — Reproducible workflow for drafting, triaging, and tracking investor INTRO notes. 10+ named notes drafted in the 2-week window: 42CAP (Wilke), Plug and Play Paris (Laouiti), Ingrisano, Perissich, Kefalogiannis, von Euen, Yomutbayev, Zawadzinski.</w:t>
      </w:r>
    </w:p>
    <w:p>
      <w:pPr>
        <w:pStyle w:val="FirstParagraph"/>
      </w:pPr>
      <w:r>
        <w:rPr>
          <w:bCs/>
          <w:b/>
        </w:rPr>
        <w:t xml:space="preserve">Research contribution:</w:t>
      </w:r>
      <w:r>
        <w:t xml:space="preserve"> </w:t>
      </w:r>
      <w:r>
        <w:t xml:space="preserve">The solo-founder-with-AI-team hypothesis is not abandoned — it is</w:t>
      </w:r>
      <w:r>
        <w:t xml:space="preserve"> </w:t>
      </w:r>
      <w:r>
        <w:rPr>
          <w:iCs/>
          <w:i/>
        </w:rPr>
        <w:t xml:space="preserve">staged</w:t>
      </w:r>
      <w:r>
        <w:t xml:space="preserve">. The platform must be usable by one person at t=0 (this thesis’s documented state) but must also absorb a small co-founding team without the platform’s thesis collapsing. The</w:t>
      </w:r>
      <w:r>
        <w:t xml:space="preserve"> </w:t>
      </w:r>
      <w:r>
        <w:rPr>
          <w:rStyle w:val="VerbatimChar"/>
        </w:rPr>
        <w:t xml:space="preserve">/investor-outreach</w:t>
      </w:r>
      <w:r>
        <w:t xml:space="preserve"> </w:t>
      </w:r>
      <w:r>
        <w:t xml:space="preserve">skill is a concrete mechanism: the investor pipeline itself is now a DWS IQ workflow, not tacit founder knowledge.</w:t>
      </w:r>
    </w:p>
    <w:bookmarkEnd w:id="280"/>
    <w:bookmarkStart w:id="281" w:name="research-contribution-11"/>
    <w:p>
      <w:pPr>
        <w:pStyle w:val="Heading4"/>
      </w:pPr>
      <w:r>
        <w:t xml:space="preserve">10.20.6 Research Contribution</w:t>
      </w:r>
    </w:p>
    <w:p>
      <w:pPr>
        <w:pStyle w:val="FirstParagraph"/>
      </w:pPr>
      <w:r>
        <w:rPr>
          <w:bCs/>
          <w:b/>
        </w:rPr>
        <w:t xml:space="preserve">Key Contribution #25 — Skills Paradigm Validated by Industry Consensus:</w:t>
      </w:r>
      <w:r>
        <w:t xml:space="preserve"> </w:t>
      </w:r>
      <w:r>
        <w:t xml:space="preserve">Anthropic’s 2026-04-16</w:t>
      </w:r>
      <w:r>
        <w:t xml:space="preserve"> </w:t>
      </w:r>
      <w:r>
        <w:t xml:space="preserve">“</w:t>
      </w:r>
      <w:r>
        <w:t xml:space="preserve">Stop Building Agents, Start Building Skills</w:t>
      </w:r>
      <w:r>
        <w:t xml:space="preserve">”</w:t>
      </w:r>
      <w:r>
        <w:t xml:space="preserve"> </w:t>
      </w:r>
      <w:r>
        <w:t xml:space="preserve">essay externally validates the skill-first architecture (§10.13) and the domain-specific-over-generic harness argument (§10.13.7). The DWS IQ 6 skill library (24+ production skills, 4 discipline gates) is the emerging industry pattern rather than a DWS-specific bet.</w:t>
      </w:r>
    </w:p>
    <w:p>
      <w:pPr>
        <w:pStyle w:val="BodyText"/>
      </w:pPr>
      <w:r>
        <w:rPr>
          <w:bCs/>
          <w:b/>
        </w:rPr>
        <w:t xml:space="preserve">Key Contribution #26 — Lifetime Fleet Crystallization:</w:t>
      </w:r>
      <w:r>
        <w:t xml:space="preserve"> </w:t>
      </w:r>
      <w:r>
        <w:t xml:space="preserve">The Brain-Memory-Body-Hands stack is now testable end-to-end. Lifetime Fleet graduates from</w:t>
      </w:r>
      <w:r>
        <w:t xml:space="preserve"> </w:t>
      </w:r>
      <w:r>
        <w:t xml:space="preserve">“</w:t>
      </w:r>
      <w:r>
        <w:t xml:space="preserve">specification phase</w:t>
      </w:r>
      <w:r>
        <w:t xml:space="preserve">”</w:t>
      </w:r>
      <w:r>
        <w:t xml:space="preserve"> </w:t>
      </w:r>
      <w:r>
        <w:t xml:space="preserve">to a 12–16 week Baltic-first MVP (2026-04-19) with full reuse of the KYA/Aegis/Firehorse governance stack. The compliance-first world-model thesis (§10.18) is no longer a Phase 2 abstraction.</w:t>
      </w:r>
    </w:p>
    <w:p>
      <w:pPr>
        <w:pStyle w:val="BodyText"/>
      </w:pPr>
      <w:r>
        <w:rPr>
          <w:bCs/>
          <w:b/>
        </w:rPr>
        <w:t xml:space="preserve">Key Contribution #27 — 22nd Industry via Green Hydrogen Additionality:</w:t>
      </w:r>
      <w:r>
        <w:t xml:space="preserve"> </w:t>
      </w:r>
      <w:r>
        <w:t xml:space="preserve">The Datacentre Compliance Agent (RFNBO Delegated Regulation 2023/1184) extends the double-entry carbon ledger (§10.17) to a qualitatively different vertical (data-intensive services, not heavy industry). The regulatory stack now covers NIS2 + CER in addition to climate regulation — the first cross-domain extension of the platform’s EU regulatory coverage.</w:t>
      </w:r>
    </w:p>
    <w:p>
      <w:pPr>
        <w:pStyle w:val="BodyText"/>
      </w:pPr>
      <w:r>
        <w:rPr>
          <w:bCs/>
          <w:b/>
        </w:rPr>
        <w:t xml:space="preserve">Key Contribution #28 — Founder→Team Transition as Platform Feature:</w:t>
      </w:r>
      <w:r>
        <w:t xml:space="preserve"> </w:t>
      </w:r>
      <w:r>
        <w:t xml:space="preserve">The solo-founder-with-AI-team thesis is staged rather than asserted. The</w:t>
      </w:r>
      <w:r>
        <w:t xml:space="preserve"> </w:t>
      </w:r>
      <w:r>
        <w:rPr>
          <w:rStyle w:val="VerbatimChar"/>
        </w:rPr>
        <w:t xml:space="preserve">/investor-outreach</w:t>
      </w:r>
      <w:r>
        <w:t xml:space="preserve"> </w:t>
      </w:r>
      <w:r>
        <w:t xml:space="preserve">skill and the SOLO_FOUNDER_STATEMENT single-source-of-truth pattern make investor outreach a DWS IQ workflow itself. This validates the platform’s own thesis: if the platform cannot run its own fundraising as a reproducible skill, it cannot claim to replicate solution-factory work for customers.</w:t>
      </w:r>
    </w:p>
    <w:bookmarkEnd w:id="281"/>
    <w:bookmarkEnd w:id="282"/>
    <w:bookmarkStart w:id="291" w:name="X77ddb91e7fdb68b40cc1db7b9a0417293ce1dc7"/>
    <w:p>
      <w:pPr>
        <w:pStyle w:val="Heading3"/>
      </w:pPr>
      <w:r>
        <w:t xml:space="preserve">10.21 Doctoral Track Targeting: KYA Foundation, DWS 7 Objectives, and Dual-Use Expansion</w:t>
      </w:r>
    </w:p>
    <w:bookmarkStart w:id="283" w:name="X0c656941d5f8d2e3b791fcbed61171dec2a1671"/>
    <w:p>
      <w:pPr>
        <w:pStyle w:val="Heading4"/>
      </w:pPr>
      <w:r>
        <w:t xml:space="preserve">10.21.1 KYA toward an Agentic AI Foundation Standard</w:t>
      </w:r>
    </w:p>
    <w:p>
      <w:pPr>
        <w:pStyle w:val="FirstParagraph"/>
      </w:pPr>
      <w:r>
        <w:t xml:space="preserve">In this update, KYA (Know Your Agent) is explicitly positioned beyond internal governance toward an</w:t>
      </w:r>
      <w:r>
        <w:t xml:space="preserve"> </w:t>
      </w:r>
      <w:r>
        <w:rPr>
          <w:bCs/>
          <w:b/>
        </w:rPr>
        <w:t xml:space="preserve">Agentic AI Foundation</w:t>
      </w:r>
      <w:r>
        <w:t xml:space="preserve"> </w:t>
      </w:r>
      <w:r>
        <w:t xml:space="preserve">standard candidate. The target scope includes identity binding, runtime control, audit traceability, kill-switch governance, and sovereignty controls for regulated agentic systems.</w:t>
      </w:r>
    </w:p>
    <w:bookmarkEnd w:id="283"/>
    <w:bookmarkStart w:id="284" w:name="X48461b96bf4a38ed3dd57f4301b56a548448b05"/>
    <w:p>
      <w:pPr>
        <w:pStyle w:val="Heading4"/>
      </w:pPr>
      <w:r>
        <w:t xml:space="preserve">10.21.2 DWS 7 Objectives as Empirical Research Frame</w:t>
      </w:r>
    </w:p>
    <w:p>
      <w:pPr>
        <w:pStyle w:val="FirstParagraph"/>
      </w:pPr>
      <w:r>
        <w:t xml:space="preserve">DWS 7 is defined as the operational validation frame for:</w:t>
      </w:r>
    </w:p>
    <w:p>
      <w:pPr>
        <w:numPr>
          <w:ilvl w:val="0"/>
          <w:numId w:val="1100"/>
        </w:numPr>
        <w:pStyle w:val="Compact"/>
      </w:pPr>
      <w:r>
        <w:t xml:space="preserve">persistent carbon-ledger infrastructure,</w:t>
      </w:r>
    </w:p>
    <w:p>
      <w:pPr>
        <w:numPr>
          <w:ilvl w:val="0"/>
          <w:numId w:val="1100"/>
        </w:numPr>
        <w:pStyle w:val="Compact"/>
      </w:pPr>
      <w:r>
        <w:t xml:space="preserve">production-grade KYA governance evidence chains,</w:t>
      </w:r>
    </w:p>
    <w:p>
      <w:pPr>
        <w:numPr>
          <w:ilvl w:val="0"/>
          <w:numId w:val="1100"/>
        </w:numPr>
        <w:pStyle w:val="Compact"/>
      </w:pPr>
      <w:r>
        <w:t xml:space="preserve">sovereignty segmentation across product layers (Aegis / Sovereign Infra / Connect),</w:t>
      </w:r>
    </w:p>
    <w:p>
      <w:pPr>
        <w:numPr>
          <w:ilvl w:val="0"/>
          <w:numId w:val="1100"/>
        </w:numPr>
        <w:pStyle w:val="Compact"/>
      </w:pPr>
      <w:r>
        <w:t xml:space="preserve">partner-channel integration with Siemens and NVIDIA Connect ecosystems.</w:t>
      </w:r>
    </w:p>
    <w:bookmarkEnd w:id="284"/>
    <w:bookmarkStart w:id="285" w:name="X4699dbcf452dd5ea1b2fa42cc5bebfe7930b074"/>
    <w:p>
      <w:pPr>
        <w:pStyle w:val="Heading4"/>
      </w:pPr>
      <w:r>
        <w:t xml:space="preserve">10.21.3 Hydrogen-Economy Continuity (DWS 5 -&gt; DWS 7)</w:t>
      </w:r>
    </w:p>
    <w:p>
      <w:pPr>
        <w:pStyle w:val="FirstParagraph"/>
      </w:pPr>
      <w:r>
        <w:t xml:space="preserve">Hydrogen economy requirements are formalized as a continuity thread from DWS 5 into DWS 7. RFNBO additionality logic, temporal correlation, and geographical correlation are treated as long-horizon regulatory constraints feeding platform architecture decisions.</w:t>
      </w:r>
    </w:p>
    <w:bookmarkEnd w:id="285"/>
    <w:bookmarkStart w:id="286" w:name="Xe1b12a92e1c53d08cb4663e1a46e174a15ae808"/>
    <w:p>
      <w:pPr>
        <w:pStyle w:val="Heading4"/>
      </w:pPr>
      <w:r>
        <w:t xml:space="preserve">10.21.4 Third Research Stream: Dual-Use Industries</w:t>
      </w:r>
    </w:p>
    <w:p>
      <w:pPr>
        <w:pStyle w:val="FirstParagraph"/>
      </w:pPr>
      <w:r>
        <w:t xml:space="preserve">The third stream is explicitly focused on dual-use industries (industrial + defence). Ongoing Nokia Defence discussions are recorded as part of the funding-and-pilot path for this stream.</w:t>
      </w:r>
    </w:p>
    <w:bookmarkEnd w:id="286"/>
    <w:bookmarkStart w:id="287" w:name="X4f5d6f7db936289d749397065e96e1698498be9"/>
    <w:p>
      <w:pPr>
        <w:pStyle w:val="Heading4"/>
      </w:pPr>
      <w:r>
        <w:t xml:space="preserve">10.21.5 Sovereignty Segmentation of Product Tiers (Core Figure)</w:t>
      </w:r>
    </w:p>
    <w:p>
      <w:pPr>
        <w:pStyle w:val="FirstParagraph"/>
      </w:pPr>
    </w:p>
    <w:p>
      <w:pPr>
        <w:pStyle w:val="BodyText"/>
      </w:pPr>
      <w:r>
        <w:t xml:space="preserve">Analytical role of the segmentation:</w:t>
      </w:r>
    </w:p>
    <w:p>
      <w:pPr>
        <w:numPr>
          <w:ilvl w:val="0"/>
          <w:numId w:val="1101"/>
        </w:numPr>
        <w:pStyle w:val="Compact"/>
      </w:pPr>
      <w:r>
        <w:rPr>
          <w:bCs/>
          <w:b/>
        </w:rPr>
        <w:t xml:space="preserve">Aegis:</w:t>
      </w:r>
      <w:r>
        <w:t xml:space="preserve"> </w:t>
      </w:r>
      <w:r>
        <w:t xml:space="preserve">critical-infrastructure security governance</w:t>
      </w:r>
    </w:p>
    <w:p>
      <w:pPr>
        <w:numPr>
          <w:ilvl w:val="0"/>
          <w:numId w:val="1101"/>
        </w:numPr>
        <w:pStyle w:val="Compact"/>
      </w:pPr>
      <w:r>
        <w:rPr>
          <w:bCs/>
          <w:b/>
        </w:rPr>
        <w:t xml:space="preserve">Sovereign Infra:</w:t>
      </w:r>
      <w:r>
        <w:t xml:space="preserve"> </w:t>
      </w:r>
      <w:r>
        <w:t xml:space="preserve">EU-sovereign deployment layer for regulated operators</w:t>
      </w:r>
    </w:p>
    <w:p>
      <w:pPr>
        <w:numPr>
          <w:ilvl w:val="0"/>
          <w:numId w:val="1101"/>
        </w:numPr>
        <w:pStyle w:val="Compact"/>
      </w:pPr>
      <w:r>
        <w:rPr>
          <w:bCs/>
          <w:b/>
        </w:rPr>
        <w:t xml:space="preserve">Connect:</w:t>
      </w:r>
      <w:r>
        <w:t xml:space="preserve"> </w:t>
      </w:r>
      <w:r>
        <w:t xml:space="preserve">global integration and distribution layer</w:t>
      </w:r>
    </w:p>
    <w:bookmarkEnd w:id="287"/>
    <w:bookmarkStart w:id="288" w:name="collaboration-anchors"/>
    <w:p>
      <w:pPr>
        <w:pStyle w:val="Heading4"/>
      </w:pPr>
      <w:r>
        <w:t xml:space="preserve">10.21.6 Collaboration Anchors</w:t>
      </w:r>
    </w:p>
    <w:p>
      <w:pPr>
        <w:pStyle w:val="FirstParagraph"/>
      </w:pPr>
      <w:r>
        <w:t xml:space="preserve">Siemens collaboration is anchored to digital-twin and industrial IoT data pathways. NVIDIA Connect collaboration is anchored to inference architecture, edge acceleration, and partner-led go-to-market channels.</w:t>
      </w:r>
    </w:p>
    <w:bookmarkEnd w:id="288"/>
    <w:bookmarkStart w:id="289" w:name="X170af2d183620e678abc5e690c0905d6d687438"/>
    <w:p>
      <w:pPr>
        <w:pStyle w:val="Heading4"/>
      </w:pPr>
      <w:r>
        <w:t xml:space="preserve">10.21.7 Supervisor Feedback and Response Structure</w:t>
      </w:r>
    </w:p>
    <w:p>
      <w:pPr>
        <w:pStyle w:val="FirstParagraph"/>
      </w:pPr>
      <w:r>
        <w:t xml:space="preserve">Kari Smolander’s guidance (2-year commitment limit, research-community socialization, 3-5 peer-reviewed papers plus synthesis thesis) is integrated into the plan. The response structure is aligned to four requested elements:</w:t>
      </w:r>
    </w:p>
    <w:p>
      <w:pPr>
        <w:numPr>
          <w:ilvl w:val="0"/>
          <w:numId w:val="1102"/>
        </w:numPr>
        <w:pStyle w:val="Compact"/>
      </w:pPr>
      <w:r>
        <w:t xml:space="preserve">research problem,</w:t>
      </w:r>
    </w:p>
    <w:p>
      <w:pPr>
        <w:numPr>
          <w:ilvl w:val="0"/>
          <w:numId w:val="1102"/>
        </w:numPr>
        <w:pStyle w:val="Compact"/>
      </w:pPr>
      <w:r>
        <w:t xml:space="preserve">research objectives,</w:t>
      </w:r>
    </w:p>
    <w:p>
      <w:pPr>
        <w:numPr>
          <w:ilvl w:val="0"/>
          <w:numId w:val="1102"/>
        </w:numPr>
        <w:pStyle w:val="Compact"/>
      </w:pPr>
      <w:r>
        <w:t xml:space="preserve">preliminary methods,</w:t>
      </w:r>
    </w:p>
    <w:p>
      <w:pPr>
        <w:numPr>
          <w:ilvl w:val="0"/>
          <w:numId w:val="1102"/>
        </w:numPr>
        <w:pStyle w:val="Compact"/>
      </w:pPr>
      <w:r>
        <w:t xml:space="preserve">execution staging and publication path.</w:t>
      </w:r>
    </w:p>
    <w:p>
      <w:pPr>
        <w:pStyle w:val="FirstParagraph"/>
      </w:pPr>
      <w:r>
        <w:t xml:space="preserve">This creates a concrete basis for the next supervisory meeting.</w:t>
      </w:r>
    </w:p>
    <w:bookmarkEnd w:id="289"/>
    <w:bookmarkStart w:id="290" w:name="X7a927fc66479ba5745bc7eaa609eff204a37dc4"/>
    <w:p>
      <w:pPr>
        <w:pStyle w:val="Heading4"/>
      </w:pPr>
      <w:r>
        <w:t xml:space="preserve">10.21.8 Open-Source Standard Path and Publication Phasing</w:t>
      </w:r>
    </w:p>
    <w:p>
      <w:pPr>
        <w:pStyle w:val="FirstParagraph"/>
      </w:pPr>
      <w:r>
        <w:t xml:space="preserve">Based on the Boardy exchange, the research program now records an explicit standardization strategy:</w:t>
      </w:r>
    </w:p>
    <w:p>
      <w:pPr>
        <w:numPr>
          <w:ilvl w:val="0"/>
          <w:numId w:val="1103"/>
        </w:numPr>
        <w:pStyle w:val="Compact"/>
      </w:pPr>
      <w:r>
        <w:rPr>
          <w:bCs/>
          <w:b/>
        </w:rPr>
        <w:t xml:space="preserve">Article 1 (2026):</w:t>
      </w:r>
      <w:r>
        <w:t xml:space="preserve"> </w:t>
      </w:r>
      <w:r>
        <w:t xml:space="preserve">“</w:t>
      </w:r>
      <w:r>
        <w:t xml:space="preserve">KYA Standard: An Open Source Governance Framework for Agentic AI in EU-Regulated Industries</w:t>
      </w:r>
      <w:r>
        <w:t xml:space="preserve">”</w:t>
      </w:r>
      <w:r>
        <w:t xml:space="preserve"> </w:t>
      </w:r>
      <w:r>
        <w:t xml:space="preserve">— proposal track toward Agentic AI Foundation / Linux Foundation + conference submission.</w:t>
      </w:r>
    </w:p>
    <w:p>
      <w:pPr>
        <w:numPr>
          <w:ilvl w:val="0"/>
          <w:numId w:val="1103"/>
        </w:numPr>
        <w:pStyle w:val="Compact"/>
      </w:pPr>
      <w:r>
        <w:rPr>
          <w:bCs/>
          <w:b/>
        </w:rPr>
        <w:t xml:space="preserve">Article 2 (2027):</w:t>
      </w:r>
      <w:r>
        <w:t xml:space="preserve"> </w:t>
      </w:r>
      <w:r>
        <w:t xml:space="preserve">scalability of MCP + A2A architecture across regulated verticals (journal-targeted).</w:t>
      </w:r>
    </w:p>
    <w:p>
      <w:pPr>
        <w:numPr>
          <w:ilvl w:val="0"/>
          <w:numId w:val="1103"/>
        </w:numPr>
        <w:pStyle w:val="Compact"/>
      </w:pPr>
      <w:r>
        <w:rPr>
          <w:bCs/>
          <w:b/>
        </w:rPr>
        <w:t xml:space="preserve">Articles 3-4 (2028):</w:t>
      </w:r>
      <w:r>
        <w:t xml:space="preserve"> </w:t>
      </w:r>
      <w:r>
        <w:t xml:space="preserve">empirical findings from production/customer environments.</w:t>
      </w:r>
    </w:p>
    <w:p>
      <w:pPr>
        <w:numPr>
          <w:ilvl w:val="0"/>
          <w:numId w:val="1103"/>
        </w:numPr>
        <w:pStyle w:val="Compact"/>
      </w:pPr>
      <w:r>
        <w:rPr>
          <w:bCs/>
          <w:b/>
        </w:rPr>
        <w:t xml:space="preserve">Synthesis phase (2028-2029):</w:t>
      </w:r>
      <w:r>
        <w:t xml:space="preserve"> </w:t>
      </w:r>
      <w:r>
        <w:t xml:space="preserve">introductory thesis volume + dissertation compilation.</w:t>
      </w:r>
    </w:p>
    <w:p>
      <w:pPr>
        <w:pStyle w:val="FirstParagraph"/>
      </w:pPr>
      <w:r>
        <w:t xml:space="preserve">Status clarification (21.04.2026):</w:t>
      </w:r>
    </w:p>
    <w:p>
      <w:pPr>
        <w:numPr>
          <w:ilvl w:val="0"/>
          <w:numId w:val="1104"/>
        </w:numPr>
        <w:pStyle w:val="Compact"/>
      </w:pPr>
      <w:r>
        <w:t xml:space="preserve">KYA open-source proposal has not been sent yet.</w:t>
      </w:r>
    </w:p>
    <w:p>
      <w:pPr>
        <w:numPr>
          <w:ilvl w:val="0"/>
          <w:numId w:val="1104"/>
        </w:numPr>
        <w:pStyle w:val="Compact"/>
      </w:pPr>
      <w:r>
        <w:t xml:space="preserve">NIST submission has not been sent yet.</w:t>
      </w:r>
    </w:p>
    <w:p>
      <w:pPr>
        <w:numPr>
          <w:ilvl w:val="0"/>
          <w:numId w:val="1104"/>
        </w:numPr>
        <w:pStyle w:val="Compact"/>
      </w:pPr>
      <w:r>
        <w:t xml:space="preserve">Paths are complementary; this cycle prioritizes open-source adoption first.</w:t>
      </w:r>
    </w:p>
    <w:p>
      <w:pPr>
        <w:pStyle w:val="FirstParagraph"/>
      </w:pPr>
      <w:r>
        <w:t xml:space="preserve">Additionally, the EIC Step 1 package (5-page proposal, 10-slide deck, 3-minute video script) is documented as a commercialization-facing narrative layer that supports Article 1 positioning, without replacing the peer-reviewed publication pathway.</w:t>
      </w:r>
    </w:p>
    <w:p>
      <w:r>
        <w:pict>
          <v:rect style="width:0;height:1.5pt" o:hralign="center" o:hrstd="t" o:hr="t"/>
        </w:pict>
      </w:r>
    </w:p>
    <w:bookmarkEnd w:id="290"/>
    <w:bookmarkEnd w:id="291"/>
    <w:bookmarkStart w:id="299" w:name="Xfe7a1c1d11c0a784faf7b9667fd4c53a99cca0d"/>
    <w:p>
      <w:pPr>
        <w:pStyle w:val="Heading3"/>
      </w:pPr>
      <w:r>
        <w:t xml:space="preserve">10.22 DWS Skilled Taxonomy: Three Tiers Across Agents, Workflows, and Jurisdictions</w:t>
      </w:r>
    </w:p>
    <w:p>
      <w:pPr>
        <w:pStyle w:val="FirstParagraph"/>
      </w:pPr>
      <w:r>
        <w:rPr>
          <w:iCs/>
          <w:i/>
        </w:rPr>
        <w:t xml:space="preserve">Added: 22.04.2026 | Source: CLAUDE.md</w:t>
      </w:r>
      <w:r>
        <w:rPr>
          <w:iCs/>
          <w:i/>
        </w:rPr>
        <w:t xml:space="preserve"> </w:t>
      </w:r>
      <w:r>
        <w:rPr>
          <w:iCs/>
          <w:i/>
        </w:rPr>
        <w:t xml:space="preserve">“</w:t>
      </w:r>
      <w:r>
        <w:rPr>
          <w:iCs/>
          <w:i/>
        </w:rPr>
        <w:t xml:space="preserve">DWS Skilled Taxonomy Rule</w:t>
      </w:r>
      <w:r>
        <w:rPr>
          <w:iCs/>
          <w:i/>
        </w:rPr>
        <w:t xml:space="preserve">”</w:t>
      </w:r>
      <w:r>
        <w:rPr>
          <w:iCs/>
          <w:i/>
        </w:rPr>
        <w:t xml:space="preserve">; Anthropic 2026-04-16 Skills paradigm essay (§10.20.1); deprecation of</w:t>
      </w:r>
      <w:r>
        <w:rPr>
          <w:iCs/>
          <w:i/>
        </w:rPr>
        <w:t xml:space="preserve"> </w:t>
      </w:r>
      <w:r>
        <w:rPr>
          <w:iCs/>
          <w:i/>
        </w:rPr>
        <w:t xml:space="preserve">“</w:t>
      </w:r>
      <w:r>
        <w:rPr>
          <w:iCs/>
          <w:i/>
        </w:rPr>
        <w:t xml:space="preserve">GodAgent</w:t>
      </w:r>
      <w:r>
        <w:rPr>
          <w:iCs/>
          <w:i/>
        </w:rPr>
        <w:t xml:space="preserve">”</w:t>
      </w:r>
      <w:r>
        <w:rPr>
          <w:iCs/>
          <w:i/>
        </w:rPr>
        <w:t xml:space="preserve"> </w:t>
      </w:r>
      <w:r>
        <w:rPr>
          <w:iCs/>
          <w:i/>
        </w:rPr>
        <w:t xml:space="preserve">branding.</w:t>
      </w:r>
    </w:p>
    <w:bookmarkStart w:id="292" w:name="motivation-4"/>
    <w:p>
      <w:pPr>
        <w:pStyle w:val="Heading4"/>
      </w:pPr>
      <w:r>
        <w:t xml:space="preserve">10.22.1 Motivation</w:t>
      </w:r>
    </w:p>
    <w:p>
      <w:pPr>
        <w:pStyle w:val="FirstParagraph"/>
      </w:pPr>
      <w:r>
        <w:t xml:space="preserve">The earlier</w:t>
      </w:r>
      <w:r>
        <w:t xml:space="preserve"> </w:t>
      </w:r>
      <w:r>
        <w:t xml:space="preserve">“</w:t>
      </w:r>
      <w:r>
        <w:t xml:space="preserve">GodAgent</w:t>
      </w:r>
      <w:r>
        <w:t xml:space="preserve">”</w:t>
      </w:r>
      <w:r>
        <w:t xml:space="preserve"> </w:t>
      </w:r>
      <w:r>
        <w:t xml:space="preserve">branding (introduced during the V3 platform build, see §10.13 and</w:t>
      </w:r>
      <w:r>
        <w:t xml:space="preserve"> </w:t>
      </w:r>
      <w:r>
        <w:rPr>
          <w:rStyle w:val="VerbatimChar"/>
        </w:rPr>
        <w:t xml:space="preserve">docs/Deputy-Agents-Architecture.md</w:t>
      </w:r>
      <w:r>
        <w:t xml:space="preserve">) conflated three distinct referents — a brand promise (capability acquired through skills), a technical specification (industry-scoped AI agent extending a base compliance layer), and a user-interface category (the enumerable list shown to buyers and operators). The conflation was tolerable during early-stage development but became a positioning liability once the Anthropic Skills paradigm (§10.20.1) validated</w:t>
      </w:r>
      <w:r>
        <w:t xml:space="preserve"> </w:t>
      </w:r>
      <w:r>
        <w:t xml:space="preserve">“</w:t>
      </w:r>
      <w:r>
        <w:t xml:space="preserve">skill-first</w:t>
      </w:r>
      <w:r>
        <w:t xml:space="preserve">”</w:t>
      </w:r>
      <w:r>
        <w:t xml:space="preserve"> </w:t>
      </w:r>
      <w:r>
        <w:t xml:space="preserve">as the industry-consensus architecture. A naming taxonomy is therefore introduced to replace the single</w:t>
      </w:r>
      <w:r>
        <w:t xml:space="preserve"> </w:t>
      </w:r>
      <w:r>
        <w:t xml:space="preserve">“</w:t>
      </w:r>
      <w:r>
        <w:t xml:space="preserve">GodAgent</w:t>
      </w:r>
      <w:r>
        <w:t xml:space="preserve">”</w:t>
      </w:r>
      <w:r>
        <w:t xml:space="preserve"> </w:t>
      </w:r>
      <w:r>
        <w:t xml:space="preserve">label with register-specific terms, and — more importantly — to generalise the pattern beyond agents to workflows and jurisdictions.</w:t>
      </w:r>
    </w:p>
    <w:bookmarkEnd w:id="292"/>
    <w:bookmarkStart w:id="293" w:name="three-tier-pattern"/>
    <w:p>
      <w:pPr>
        <w:pStyle w:val="Heading4"/>
      </w:pPr>
      <w:r>
        <w:t xml:space="preserve">10.22.2 Three-Tier Pattern</w:t>
      </w:r>
    </w:p>
    <w:p>
      <w:pPr>
        <w:pStyle w:val="FirstParagraph"/>
      </w:pPr>
      <w:r>
        <w:t xml:space="preserve">The taxonomy defines a single three-tier pattern applied to every capability axis where DWS offers depth:</w:t>
      </w:r>
    </w:p>
    <w:p>
      <w:pPr>
        <w:pStyle w:val="SourceCode"/>
      </w:pPr>
      <w:r>
        <w:rPr>
          <w:rStyle w:val="VerbatimChar"/>
        </w:rPr>
        <w:t xml:space="preserve">Skilled &lt;Axis&gt;                 ← BRAND   (what we SELL)</w:t>
      </w:r>
      <w:r>
        <w:br/>
      </w:r>
      <w:r>
        <w:rPr>
          <w:rStyle w:val="VerbatimChar"/>
        </w:rPr>
        <w:t xml:space="preserve">    └─ Industrial Specialist &lt;Axis&gt;    ← SPEC    (what they ARE)</w:t>
      </w:r>
      <w:r>
        <w:br/>
      </w:r>
      <w:r>
        <w:rPr>
          <w:rStyle w:val="VerbatimChar"/>
        </w:rPr>
        <w:t xml:space="preserve">            └─ Industry &lt;Axis&gt;         ← UI      (how we LIST them)</w:t>
      </w:r>
    </w:p>
    <w:p>
      <w:pPr>
        <w:pStyle w:val="FirstParagraph"/>
      </w:pPr>
      <w:r>
        <w:t xml:space="preserve">The three tiers separate marketing, documentation, and interface registers under a shared mental model. The three terms refer to the same underlying artefact at each axis; the register changes with the surface.</w:t>
      </w:r>
    </w:p>
    <w:bookmarkEnd w:id="293"/>
    <w:bookmarkStart w:id="294" w:name="three-active-axes-april-2026"/>
    <w:p>
      <w:pPr>
        <w:pStyle w:val="Heading4"/>
      </w:pPr>
      <w:r>
        <w:t xml:space="preserve">10.22.3 Three Active Axes (April 2026)</w:t>
      </w:r>
    </w:p>
    <w:tbl>
      <w:tblPr>
        <w:tblStyle w:val="Table"/>
        <w:tblW w:type="pct" w:w="5000"/>
        <w:tblLook w:firstRow="1" w:lastRow="0" w:firstColumn="0" w:lastColumn="0" w:noHBand="0" w:noVBand="0" w:val="0020"/>
        <w:jc w:val="start"/>
      </w:tblPr>
      <w:tblGrid>
        <w:gridCol w:w="398"/>
        <w:gridCol w:w="1595"/>
        <w:gridCol w:w="3817"/>
        <w:gridCol w:w="2108"/>
      </w:tblGrid>
      <w:tr>
        <w:trPr>
          <w:tblHeader w:val="true"/>
        </w:trPr>
        <w:tc>
          <w:tcPr/>
          <w:p>
            <w:pPr>
              <w:pStyle w:val="Compact"/>
              <w:jc w:val="left"/>
            </w:pPr>
            <w:r>
              <w:t xml:space="preserve">Tier</w:t>
            </w:r>
          </w:p>
        </w:tc>
        <w:tc>
          <w:tcPr/>
          <w:p>
            <w:pPr>
              <w:pStyle w:val="Compact"/>
              <w:jc w:val="left"/>
            </w:pPr>
            <w:r>
              <w:rPr>
                <w:bCs/>
                <w:b/>
              </w:rPr>
              <w:t xml:space="preserve">Agents</w:t>
            </w:r>
          </w:p>
        </w:tc>
        <w:tc>
          <w:tcPr/>
          <w:p>
            <w:pPr>
              <w:pStyle w:val="Compact"/>
              <w:jc w:val="left"/>
            </w:pPr>
            <w:r>
              <w:rPr>
                <w:bCs/>
                <w:b/>
              </w:rPr>
              <w:t xml:space="preserve">Workflows</w:t>
            </w:r>
          </w:p>
        </w:tc>
        <w:tc>
          <w:tcPr/>
          <w:p>
            <w:pPr>
              <w:pStyle w:val="Compact"/>
              <w:jc w:val="left"/>
            </w:pPr>
            <w:r>
              <w:rPr>
                <w:bCs/>
                <w:b/>
              </w:rPr>
              <w:t xml:space="preserve">Jurisdictions</w:t>
            </w:r>
          </w:p>
        </w:tc>
      </w:tr>
      <w:tr>
        <w:tc>
          <w:tcPr/>
          <w:p>
            <w:pPr>
              <w:pStyle w:val="Compact"/>
              <w:jc w:val="left"/>
            </w:pPr>
            <w:r>
              <w:t xml:space="preserve">1 Brand</w:t>
            </w:r>
          </w:p>
        </w:tc>
        <w:tc>
          <w:tcPr/>
          <w:p>
            <w:pPr>
              <w:pStyle w:val="Compact"/>
              <w:jc w:val="left"/>
            </w:pPr>
            <w:r>
              <w:t xml:space="preserve">Skilled Agents</w:t>
            </w:r>
          </w:p>
        </w:tc>
        <w:tc>
          <w:tcPr/>
          <w:p>
            <w:pPr>
              <w:pStyle w:val="Compact"/>
              <w:jc w:val="left"/>
            </w:pPr>
            <w:r>
              <w:t xml:space="preserve">Skilled Autonomous Workflows</w:t>
            </w:r>
          </w:p>
        </w:tc>
        <w:tc>
          <w:tcPr/>
          <w:p>
            <w:pPr>
              <w:pStyle w:val="Compact"/>
              <w:jc w:val="left"/>
            </w:pPr>
            <w:r>
              <w:t xml:space="preserve">Skilled Jurisdictions (EU, US, Aiven)</w:t>
            </w:r>
          </w:p>
        </w:tc>
      </w:tr>
      <w:tr>
        <w:tc>
          <w:tcPr/>
          <w:p>
            <w:pPr>
              <w:pStyle w:val="Compact"/>
              <w:jc w:val="left"/>
            </w:pPr>
            <w:r>
              <w:t xml:space="preserve">2 Spec</w:t>
            </w:r>
          </w:p>
        </w:tc>
        <w:tc>
          <w:tcPr/>
          <w:p>
            <w:pPr>
              <w:pStyle w:val="Compact"/>
              <w:jc w:val="left"/>
            </w:pPr>
            <w:r>
              <w:t xml:space="preserve">Industrial Specialist Agents</w:t>
            </w:r>
          </w:p>
        </w:tc>
        <w:tc>
          <w:tcPr/>
          <w:p>
            <w:pPr>
              <w:pStyle w:val="Compact"/>
              <w:jc w:val="left"/>
            </w:pPr>
            <w:r>
              <w:t xml:space="preserve">Specialist Workflows (long-form:</w:t>
            </w:r>
            <w:r>
              <w:t xml:space="preserve"> </w:t>
            </w:r>
            <w:r>
              <w:rPr>
                <w:iCs/>
                <w:i/>
              </w:rPr>
              <w:t xml:space="preserve">Industrial Specialist Workflows</w:t>
            </w:r>
            <w:r>
              <w:t xml:space="preserve">)</w:t>
            </w:r>
          </w:p>
        </w:tc>
        <w:tc>
          <w:tcPr/>
          <w:p>
            <w:pPr>
              <w:pStyle w:val="Compact"/>
              <w:jc w:val="left"/>
            </w:pPr>
            <w:r>
              <w:t xml:space="preserve">Regulatory Specialist Jurisdictions</w:t>
            </w:r>
          </w:p>
        </w:tc>
      </w:tr>
      <w:tr>
        <w:tc>
          <w:tcPr/>
          <w:p>
            <w:pPr>
              <w:pStyle w:val="Compact"/>
              <w:jc w:val="left"/>
            </w:pPr>
            <w:r>
              <w:t xml:space="preserve">3 UI</w:t>
            </w:r>
          </w:p>
        </w:tc>
        <w:tc>
          <w:tcPr/>
          <w:p>
            <w:pPr>
              <w:pStyle w:val="Compact"/>
              <w:jc w:val="left"/>
            </w:pPr>
            <w:r>
              <w:t xml:space="preserve">Industry Agents</w:t>
            </w:r>
          </w:p>
        </w:tc>
        <w:tc>
          <w:tcPr/>
          <w:p>
            <w:pPr>
              <w:pStyle w:val="Compact"/>
              <w:jc w:val="left"/>
            </w:pPr>
            <w:r>
              <w:t xml:space="preserve">Industrial Workflows</w:t>
            </w:r>
          </w:p>
        </w:tc>
        <w:tc>
          <w:tcPr/>
          <w:p>
            <w:pPr>
              <w:pStyle w:val="Compact"/>
              <w:jc w:val="left"/>
            </w:pPr>
            <w:r>
              <w:t xml:space="preserve">Jurisdictions</w:t>
            </w:r>
          </w:p>
        </w:tc>
      </w:tr>
    </w:tbl>
    <w:p>
      <w:pPr>
        <w:pStyle w:val="BodyText"/>
      </w:pPr>
      <w:r>
        <w:rPr>
          <w:bCs/>
          <w:b/>
        </w:rPr>
        <w:t xml:space="preserve">Agents.</w:t>
      </w:r>
      <w:r>
        <w:t xml:space="preserve"> </w:t>
      </w:r>
      <w:r>
        <w:t xml:space="preserve">Industry-scoped AI agents that extend the base Athena EU-compliance layer with sector-specific knowledge (steel, cement, chemicals, construction, datacentres, and the 20+ industries documented in §10.6–10.8).</w:t>
      </w:r>
    </w:p>
    <w:p>
      <w:pPr>
        <w:pStyle w:val="BodyText"/>
      </w:pPr>
      <w:r>
        <w:rPr>
          <w:bCs/>
          <w:b/>
        </w:rPr>
        <w:t xml:space="preserve">Workflows.</w:t>
      </w:r>
      <w:r>
        <w:t xml:space="preserve"> </w:t>
      </w:r>
      <w:r>
        <w:t xml:space="preserve">Deterministic compositions of agents triggered by schedule or event — the skill invocation layer from §10.13.3.</w:t>
      </w:r>
      <w:r>
        <w:t xml:space="preserve"> </w:t>
      </w:r>
      <w:r>
        <w:t xml:space="preserve">“</w:t>
      </w:r>
      <w:r>
        <w:t xml:space="preserve">Autonomous</w:t>
      </w:r>
      <w:r>
        <w:t xml:space="preserve">”</w:t>
      </w:r>
      <w:r>
        <w:t xml:space="preserve"> </w:t>
      </w:r>
      <w:r>
        <w:t xml:space="preserve">is added to the brand tier because workflows execute without a human in the loop, whereas agents are invoked.</w:t>
      </w:r>
    </w:p>
    <w:p>
      <w:pPr>
        <w:pStyle w:val="BodyText"/>
      </w:pPr>
      <w:r>
        <w:rPr>
          <w:bCs/>
          <w:b/>
        </w:rPr>
        <w:t xml:space="preserve">Jurisdictions.</w:t>
      </w:r>
      <w:r>
        <w:t xml:space="preserve"> </w:t>
      </w:r>
      <w:r>
        <w:t xml:space="preserve">The regulatory surfaces the platform is skilled in — currently EU (AI Act, GDPR, CBAM, ETS, CSRD, ESRS, EPBD), with US and Aiven mapped on the data-residency architecture (see</w:t>
      </w:r>
      <w:r>
        <w:t xml:space="preserve"> </w:t>
      </w:r>
      <w:r>
        <w:rPr>
          <w:rStyle w:val="VerbatimChar"/>
        </w:rPr>
        <w:t xml:space="preserve">docs/CLOUD_ENVIRONMENTS.md</w:t>
      </w:r>
      <w:r>
        <w:t xml:space="preserve">). The spec tier adds</w:t>
      </w:r>
      <w:r>
        <w:t xml:space="preserve"> </w:t>
      </w:r>
      <w:r>
        <w:t xml:space="preserve">“</w:t>
      </w:r>
      <w:r>
        <w:t xml:space="preserve">Regulatory</w:t>
      </w:r>
      <w:r>
        <w:t xml:space="preserve">”</w:t>
      </w:r>
      <w:r>
        <w:t xml:space="preserve"> </w:t>
      </w:r>
      <w:r>
        <w:t xml:space="preserve">because a jurisdiction is defined by its regulatory surface, not its geography alone.</w:t>
      </w:r>
    </w:p>
    <w:bookmarkEnd w:id="294"/>
    <w:bookmarkStart w:id="295" w:name="extensibility"/>
    <w:p>
      <w:pPr>
        <w:pStyle w:val="Heading4"/>
      </w:pPr>
      <w:r>
        <w:t xml:space="preserve">10.22.4 Extensibility</w:t>
      </w:r>
    </w:p>
    <w:p>
      <w:pPr>
        <w:pStyle w:val="FirstParagraph"/>
      </w:pPr>
      <w:r>
        <w:t xml:space="preserve">When DWS adds a new capability axis (e.g., Datasets, Models, Regulations, Reports), it is named</w:t>
      </w:r>
      <w:r>
        <w:t xml:space="preserve"> </w:t>
      </w:r>
      <w:r>
        <w:rPr>
          <w:rStyle w:val="VerbatimChar"/>
        </w:rPr>
        <w:t xml:space="preserve">Skilled &lt;Axis&gt;</w:t>
      </w:r>
      <w:r>
        <w:t xml:space="preserve"> </w:t>
      </w:r>
      <w:r>
        <w:t xml:space="preserve">/</w:t>
      </w:r>
      <w:r>
        <w:t xml:space="preserve"> </w:t>
      </w:r>
      <w:r>
        <w:rPr>
          <w:rStyle w:val="VerbatimChar"/>
        </w:rPr>
        <w:t xml:space="preserve">Industrial Specialist &lt;Axis&gt;</w:t>
      </w:r>
      <w:r>
        <w:t xml:space="preserve"> </w:t>
      </w:r>
      <w:r>
        <w:t xml:space="preserve">/</w:t>
      </w:r>
      <w:r>
        <w:t xml:space="preserve"> </w:t>
      </w:r>
      <w:r>
        <w:rPr>
          <w:rStyle w:val="VerbatimChar"/>
        </w:rPr>
        <w:t xml:space="preserve">Industry &lt;Axis&gt;</w:t>
      </w:r>
      <w:r>
        <w:t xml:space="preserve"> </w:t>
      </w:r>
      <w:r>
        <w:t xml:space="preserve">and added as a new column to the taxonomy table. Parallel brand words are disallowed; the pattern is deliberately monotone to prevent the register-conflation problem the earlier</w:t>
      </w:r>
      <w:r>
        <w:t xml:space="preserve"> </w:t>
      </w:r>
      <w:r>
        <w:t xml:space="preserve">“</w:t>
      </w:r>
      <w:r>
        <w:t xml:space="preserve">GodAgent</w:t>
      </w:r>
      <w:r>
        <w:t xml:space="preserve">”</w:t>
      </w:r>
      <w:r>
        <w:t xml:space="preserve"> </w:t>
      </w:r>
      <w:r>
        <w:t xml:space="preserve">label caused.</w:t>
      </w:r>
    </w:p>
    <w:bookmarkEnd w:id="295"/>
    <w:bookmarkStart w:id="296" w:name="count-dynamism"/>
    <w:p>
      <w:pPr>
        <w:pStyle w:val="Heading4"/>
      </w:pPr>
      <w:r>
        <w:t xml:space="preserve">10.22.5 Count Dynamism</w:t>
      </w:r>
    </w:p>
    <w:p>
      <w:pPr>
        <w:pStyle w:val="FirstParagraph"/>
      </w:pPr>
      <w:r>
        <w:t xml:space="preserve">The number of entries in each axis changes over time (e.g., the 22nd industry introduced via the Datacentre Compliance Agent, §10.20.3; the skill library expanding from 6 to 21 to 24+ between v3.31 and v3.34). Hard-coded counts in brand copy are therefore an anti-pattern. Three patterns are acceptable:</w:t>
      </w:r>
    </w:p>
    <w:p>
      <w:pPr>
        <w:numPr>
          <w:ilvl w:val="0"/>
          <w:numId w:val="1105"/>
        </w:numPr>
        <w:pStyle w:val="Compact"/>
      </w:pPr>
      <w:r>
        <w:rPr>
          <w:bCs/>
          <w:b/>
        </w:rPr>
        <w:t xml:space="preserve">Open-ended counts</w:t>
      </w:r>
      <w:r>
        <w:t xml:space="preserve"> </w:t>
      </w:r>
      <w:r>
        <w:t xml:space="preserve">in platform copy —</w:t>
      </w:r>
      <w:r>
        <w:t xml:space="preserve"> </w:t>
      </w:r>
      <w:r>
        <w:rPr>
          <w:rStyle w:val="VerbatimChar"/>
        </w:rPr>
        <w:t xml:space="preserve">18+ Skilled Agents</w:t>
      </w:r>
      <w:r>
        <w:t xml:space="preserve">,</w:t>
      </w:r>
      <w:r>
        <w:t xml:space="preserve"> </w:t>
      </w:r>
      <w:r>
        <w:rPr>
          <w:rStyle w:val="VerbatimChar"/>
        </w:rPr>
        <w:t xml:space="preserve">20+ Skilled Jurisdictions</w:t>
      </w:r>
      <w:r>
        <w:t xml:space="preserve">; the</w:t>
      </w:r>
      <w:r>
        <w:t xml:space="preserve"> </w:t>
      </w:r>
      <w:r>
        <w:rPr>
          <w:rStyle w:val="VerbatimChar"/>
        </w:rPr>
        <w:t xml:space="preserve">+</w:t>
      </w:r>
      <w:r>
        <w:t xml:space="preserve"> </w:t>
      </w:r>
      <w:r>
        <w:t xml:space="preserve">absorbs growth.</w:t>
      </w:r>
    </w:p>
    <w:p>
      <w:pPr>
        <w:numPr>
          <w:ilvl w:val="0"/>
          <w:numId w:val="1105"/>
        </w:numPr>
        <w:pStyle w:val="Compact"/>
      </w:pPr>
      <w:r>
        <w:rPr>
          <w:bCs/>
          <w:b/>
        </w:rPr>
        <w:t xml:space="preserve">Registry-anchored references</w:t>
      </w:r>
      <w:r>
        <w:t xml:space="preserve"> </w:t>
      </w:r>
      <w:r>
        <w:t xml:space="preserve">in documents —</w:t>
      </w:r>
      <w:r>
        <w:t xml:space="preserve"> </w:t>
      </w:r>
      <w:r>
        <w:t xml:space="preserve">“</w:t>
      </w:r>
      <w:r>
        <w:t xml:space="preserve">see the Industrial Specialist Agent registry in</w:t>
      </w:r>
      <w:r>
        <w:t xml:space="preserve"> </w:t>
      </w:r>
      <w:r>
        <w:rPr>
          <w:rStyle w:val="VerbatimChar"/>
        </w:rPr>
        <w:t xml:space="preserve">docs/Deputy-Agents-Architecture.md</w:t>
      </w:r>
      <w:r>
        <w:t xml:space="preserve"> </w:t>
      </w:r>
      <w:r>
        <w:t xml:space="preserve">§3</w:t>
      </w:r>
      <w:r>
        <w:t xml:space="preserve">”</w:t>
      </w:r>
      <w:r>
        <w:t xml:space="preserve">; no number in prose.</w:t>
      </w:r>
    </w:p>
    <w:p>
      <w:pPr>
        <w:numPr>
          <w:ilvl w:val="0"/>
          <w:numId w:val="1105"/>
        </w:numPr>
        <w:pStyle w:val="Compact"/>
      </w:pPr>
      <w:r>
        <w:rPr>
          <w:bCs/>
          <w:b/>
        </w:rPr>
        <w:t xml:space="preserve">Product-scoped counts</w:t>
      </w:r>
      <w:r>
        <w:t xml:space="preserve"> </w:t>
      </w:r>
      <w:r>
        <w:t xml:space="preserve">in SKU copy —</w:t>
      </w:r>
      <w:r>
        <w:t xml:space="preserve"> </w:t>
      </w:r>
      <w:r>
        <w:t xml:space="preserve">“</w:t>
      </w:r>
      <w:r>
        <w:t xml:space="preserve">Climate Intelligence ships with 8 Skilled Agents</w:t>
      </w:r>
      <w:r>
        <w:t xml:space="preserve">”</w:t>
      </w:r>
      <w:r>
        <w:t xml:space="preserve">; acceptable but treated as part of the SKU specification in</w:t>
      </w:r>
      <w:r>
        <w:t xml:space="preserve"> </w:t>
      </w:r>
      <w:r>
        <w:rPr>
          <w:rStyle w:val="VerbatimChar"/>
        </w:rPr>
        <w:t xml:space="preserve">products.json</w:t>
      </w:r>
      <w:r>
        <w:t xml:space="preserve">, not as free-floating copy.</w:t>
      </w:r>
    </w:p>
    <w:bookmarkEnd w:id="296"/>
    <w:bookmarkStart w:id="297" w:name="exclusions"/>
    <w:p>
      <w:pPr>
        <w:pStyle w:val="Heading4"/>
      </w:pPr>
      <w:r>
        <w:t xml:space="preserve">10.22.6 Exclusions</w:t>
      </w:r>
    </w:p>
    <w:p>
      <w:pPr>
        <w:pStyle w:val="FirstParagraph"/>
      </w:pPr>
      <w:r>
        <w:t xml:space="preserve">Three scopes are explicitly excluded from the rename:</w:t>
      </w:r>
    </w:p>
    <w:p>
      <w:pPr>
        <w:numPr>
          <w:ilvl w:val="0"/>
          <w:numId w:val="1106"/>
        </w:numPr>
        <w:pStyle w:val="Compact"/>
      </w:pPr>
      <w:r>
        <w:rPr>
          <w:bCs/>
          <w:b/>
        </w:rPr>
        <w:t xml:space="preserve">Docker and infrastructure identifiers</w:t>
      </w:r>
      <w:r>
        <w:t xml:space="preserve"> </w:t>
      </w:r>
      <w:r>
        <w:t xml:space="preserve">(</w:t>
      </w:r>
      <w:r>
        <w:rPr>
          <w:rStyle w:val="VerbatimChar"/>
        </w:rPr>
        <w:t xml:space="preserve">dws-godagent-llm</w:t>
      </w:r>
      <w:r>
        <w:t xml:space="preserve"> </w:t>
      </w:r>
      <w:r>
        <w:t xml:space="preserve">network,</w:t>
      </w:r>
      <w:r>
        <w:t xml:space="preserve"> </w:t>
      </w:r>
      <w:r>
        <w:rPr>
          <w:rStyle w:val="VerbatimChar"/>
        </w:rPr>
        <w:t xml:space="preserve">dws-godagent:latest</w:t>
      </w:r>
      <w:r>
        <w:t xml:space="preserve"> </w:t>
      </w:r>
      <w:r>
        <w:t xml:space="preserve">image, label</w:t>
      </w:r>
      <w:r>
        <w:t xml:space="preserve"> </w:t>
      </w:r>
      <w:r>
        <w:rPr>
          <w:rStyle w:val="VerbatimChar"/>
        </w:rPr>
        <w:t xml:space="preserve">dws-godagent</w:t>
      </w:r>
      <w:r>
        <w:t xml:space="preserve">, iptables rules described in</w:t>
      </w:r>
      <w:r>
        <w:t xml:space="preserve"> </w:t>
      </w:r>
      <w:r>
        <w:rPr>
          <w:rStyle w:val="VerbatimChar"/>
        </w:rPr>
        <w:t xml:space="preserve">docs/Deputy-Agents-Architecture.md</w:t>
      </w:r>
      <w:r>
        <w:t xml:space="preserve"> </w:t>
      </w:r>
      <w:r>
        <w:t xml:space="preserve">§2.4–2.6) remain unchanged. Renaming these would require a coordinated infra migration, not a documentation change.</w:t>
      </w:r>
    </w:p>
    <w:p>
      <w:pPr>
        <w:numPr>
          <w:ilvl w:val="0"/>
          <w:numId w:val="1106"/>
        </w:numPr>
        <w:pStyle w:val="Compact"/>
      </w:pPr>
      <w:r>
        <w:rPr>
          <w:bCs/>
          <w:b/>
        </w:rPr>
        <w:t xml:space="preserve">Pantheon</w:t>
      </w:r>
      <w:r>
        <w:rPr>
          <w:bCs/>
          <w:b/>
        </w:rPr>
        <w:t xml:space="preserve"> </w:t>
      </w:r>
      <w:r>
        <w:rPr>
          <w:bCs/>
          <w:b/>
        </w:rPr>
        <w:t xml:space="preserve">“</w:t>
      </w:r>
      <w:r>
        <w:rPr>
          <w:bCs/>
          <w:b/>
        </w:rPr>
        <w:t xml:space="preserve">God Agents</w:t>
      </w:r>
      <w:r>
        <w:rPr>
          <w:bCs/>
          <w:b/>
        </w:rPr>
        <w:t xml:space="preserve">”</w:t>
      </w:r>
      <w:r>
        <w:t xml:space="preserve"> </w:t>
      </w:r>
      <w:r>
        <w:t xml:space="preserve">(two words,</w:t>
      </w:r>
      <w:r>
        <w:t xml:space="preserve"> </w:t>
      </w:r>
      <w:r>
        <w:rPr>
          <w:rStyle w:val="VerbatimChar"/>
        </w:rPr>
        <w:t xml:space="preserve">onelifetime.world</w:t>
      </w:r>
      <w:r>
        <w:t xml:space="preserve"> </w:t>
      </w:r>
      <w:r>
        <w:t xml:space="preserve">Pantheon storyboard, Greek-mythology agent characters — Zeus, Athena, etc.) is a distinct brand identity (§10.13 Climate IQ Pantheon naming convention) and remains unchanged.</w:t>
      </w:r>
    </w:p>
    <w:p>
      <w:pPr>
        <w:numPr>
          <w:ilvl w:val="0"/>
          <w:numId w:val="1106"/>
        </w:numPr>
        <w:pStyle w:val="Compact"/>
      </w:pPr>
      <w:r>
        <w:rPr>
          <w:bCs/>
          <w:b/>
        </w:rPr>
        <w:t xml:space="preserve">Historical records</w:t>
      </w:r>
      <w:r>
        <w:t xml:space="preserve"> </w:t>
      </w:r>
      <w:r>
        <w:t xml:space="preserve">(field notes,</w:t>
      </w:r>
      <w:r>
        <w:t xml:space="preserve"> </w:t>
      </w:r>
      <w:r>
        <w:rPr>
          <w:rStyle w:val="VerbatimChar"/>
        </w:rPr>
        <w:t xml:space="preserve">tuntikirjausraportti</w:t>
      </w:r>
      <w:r>
        <w:t xml:space="preserve">,</w:t>
      </w:r>
      <w:r>
        <w:t xml:space="preserve"> </w:t>
      </w:r>
      <w:r>
        <w:rPr>
          <w:rStyle w:val="VerbatimChar"/>
        </w:rPr>
        <w:t xml:space="preserve">Oppimispäiväkirja</w:t>
      </w:r>
      <w:r>
        <w:t xml:space="preserve">, dated project-cost folders) are point-in-time records and are not retroactively edited.</w:t>
      </w:r>
    </w:p>
    <w:bookmarkEnd w:id="297"/>
    <w:bookmarkStart w:id="298" w:name="research-contribution-12"/>
    <w:p>
      <w:pPr>
        <w:pStyle w:val="Heading4"/>
      </w:pPr>
      <w:r>
        <w:t xml:space="preserve">10.22.7 Research Contribution</w:t>
      </w:r>
    </w:p>
    <w:p>
      <w:pPr>
        <w:pStyle w:val="FirstParagraph"/>
      </w:pPr>
      <w:r>
        <w:t xml:space="preserve">The taxonomy is not merely a naming convention; it documents a design principle. Agentic product branding is multi-register, and a single label cannot serve brand, specification, and UI simultaneously without diluting each register. For EU-regulated industrial platforms — where audit-grade precision (spec register) and buyer-legible copy (brand register) must both survive compliance review, and where the nav-level category label is a buying decision made in seconds — a three-tier taxonomy decomposes a branding problem that Silicon Valley consumer platforms can evade with a single trade name. Extending the pattern across three orthogonal axes (agents, workflows, jurisdictions) demonstrates that the tiering generalises beyond the specific case of</w:t>
      </w:r>
      <w:r>
        <w:t xml:space="preserve"> </w:t>
      </w:r>
      <w:r>
        <w:t xml:space="preserve">“</w:t>
      </w:r>
      <w:r>
        <w:t xml:space="preserve">what we call our agents</w:t>
      </w:r>
      <w:r>
        <w:t xml:space="preserve">”</w:t>
      </w:r>
      <w:r>
        <w:t xml:space="preserve"> </w:t>
      </w:r>
      <w:r>
        <w:t xml:space="preserve">to any capability axis where DWS sells depth.</w:t>
      </w:r>
    </w:p>
    <w:p>
      <w:pPr>
        <w:pStyle w:val="BodyText"/>
      </w:pPr>
      <w:r>
        <w:rPr>
          <w:bCs/>
          <w:b/>
        </w:rPr>
        <w:t xml:space="preserve">Key Contribution #31 — Three-Tier Skilled Taxonomy for Regulated-Industry AI Platforms:</w:t>
      </w:r>
      <w:r>
        <w:t xml:space="preserve"> </w:t>
      </w:r>
      <w:r>
        <w:t xml:space="preserve">A brand / specification / UI taxonomy (Skilled / Industrial Specialist / Industry) is proposed as a design pattern for agent platforms that must simultaneously address brand, documentation, and interface audiences in EU-regulated industries. The pattern generalises across capability axes (agents, workflows, jurisdictions, and future axes) under a monotone</w:t>
      </w:r>
      <w:r>
        <w:t xml:space="preserve"> </w:t>
      </w:r>
      <w:r>
        <w:rPr>
          <w:rStyle w:val="VerbatimChar"/>
        </w:rPr>
        <w:t xml:space="preserve">Skilled &lt;Axis&gt;</w:t>
      </w:r>
      <w:r>
        <w:t xml:space="preserve"> </w:t>
      </w:r>
      <w:r>
        <w:t xml:space="preserve">pattern, avoiding the conflation that single-label conventions impose on platforms where each register is subject to different compliance constraints.</w:t>
      </w:r>
    </w:p>
    <w:p>
      <w:r>
        <w:pict>
          <v:rect style="width:0;height:1.5pt" o:hralign="center" o:hrstd="t" o:hr="t"/>
        </w:pict>
      </w:r>
    </w:p>
    <w:bookmarkEnd w:id="298"/>
    <w:bookmarkEnd w:id="299"/>
    <w:bookmarkStart w:id="307" w:name="Xe83162b5c540d5392c7c3cb92605c79fe18dc9a"/>
    <w:p>
      <w:pPr>
        <w:pStyle w:val="Heading3"/>
      </w:pPr>
      <w:r>
        <w:t xml:space="preserve">10.23 Three-Capital Accumulation Model: Token Capital, Human Capital, and Control Room Capital as Durable Assets of the DWS IQ 6 Operating Model</w:t>
      </w:r>
    </w:p>
    <w:bookmarkStart w:id="300" w:name="context-and-motivation"/>
    <w:p>
      <w:pPr>
        <w:pStyle w:val="Heading4"/>
      </w:pPr>
      <w:r>
        <w:t xml:space="preserve">10.23.1 Context and Motivation</w:t>
      </w:r>
    </w:p>
    <w:p>
      <w:pPr>
        <w:pStyle w:val="FirstParagraph"/>
      </w:pPr>
      <w:r>
        <w:t xml:space="preserve">The seven months from October 2025 through approximately May 2026 constituted the most intensive Human-in-the-Loop (HIL) phase of the DWS IQ 6 operating model. In June 2026, an observable phase transition occurred: the system reached a level of operational maturity where the operator’s primary role shifted from reviewing individual outputs to setting and maintaining the architectural policies that govern output generation. The gym returned to the daily schedule.</w:t>
      </w:r>
    </w:p>
    <w:p>
      <w:pPr>
        <w:pStyle w:val="BodyText"/>
      </w:pPr>
      <w:r>
        <w:t xml:space="preserve">This section documents the implementation evidence for what the PhD thesis (§14.25) frames theoretically as the three-capital accumulation model:</w:t>
      </w:r>
      <w:r>
        <w:t xml:space="preserve"> </w:t>
      </w:r>
      <w:r>
        <w:rPr>
          <w:bCs/>
          <w:b/>
        </w:rPr>
        <w:t xml:space="preserve">token capital</w:t>
      </w:r>
      <w:r>
        <w:t xml:space="preserve">,</w:t>
      </w:r>
      <w:r>
        <w:t xml:space="preserve"> </w:t>
      </w:r>
      <w:r>
        <w:rPr>
          <w:bCs/>
          <w:b/>
        </w:rPr>
        <w:t xml:space="preserve">human capital</w:t>
      </w:r>
      <w:r>
        <w:t xml:space="preserve">, and</w:t>
      </w:r>
      <w:r>
        <w:t xml:space="preserve"> </w:t>
      </w:r>
      <w:r>
        <w:rPr>
          <w:bCs/>
          <w:b/>
        </w:rPr>
        <w:t xml:space="preserve">Control Room capital</w:t>
      </w:r>
      <w:r>
        <w:t xml:space="preserve">. All three accumulated simultaneously during the HIL phase. This section covers the implementation facts; the market-signal framing (Satya Nadella’s Build 2026 vocabulary) and competitive analysis live in §14.25 per the §1.4 master-vs-PhD scope rule.</w:t>
      </w:r>
    </w:p>
    <w:bookmarkEnd w:id="300"/>
    <w:bookmarkStart w:id="301" w:name="X856be6b608e9493c830b859845254a22f7df7d2"/>
    <w:p>
      <w:pPr>
        <w:pStyle w:val="Heading4"/>
      </w:pPr>
      <w:r>
        <w:t xml:space="preserve">10.23.2 Token Capital — Measured Inventory (June 2026)</w:t>
      </w:r>
    </w:p>
    <w:p>
      <w:pPr>
        <w:pStyle w:val="FirstParagraph"/>
      </w:pPr>
      <w:r>
        <w:t xml:space="preserve">Token capital is the reusable organisational asset produced by sustained AI-assisted operations. It is not the tokens consumed; it is the durable output that survives session boundaries and persists in codified form.</w:t>
      </w:r>
    </w:p>
    <w:p>
      <w:pPr>
        <w:pStyle w:val="BodyText"/>
      </w:pPr>
      <w:r>
        <w:rPr>
          <w:bCs/>
          <w:b/>
        </w:rPr>
        <w:t xml:space="preserve">Measured inventory as of June 2026:</w:t>
      </w:r>
    </w:p>
    <w:tbl>
      <w:tblPr>
        <w:tblStyle w:val="Table"/>
        <w:tblW w:type="pct" w:w="5000"/>
        <w:tblLook w:firstRow="1" w:lastRow="0" w:firstColumn="0" w:lastColumn="0" w:noHBand="0" w:noVBand="0" w:val="0020"/>
        <w:jc w:val="start"/>
      </w:tblPr>
      <w:tblGrid>
        <w:gridCol w:w="1803"/>
        <w:gridCol w:w="627"/>
        <w:gridCol w:w="2587"/>
        <w:gridCol w:w="2901"/>
      </w:tblGrid>
      <w:tr>
        <w:trPr>
          <w:tblHeader w:val="true"/>
        </w:trPr>
        <w:tc>
          <w:tcPr/>
          <w:p>
            <w:pPr>
              <w:pStyle w:val="Compact"/>
              <w:jc w:val="left"/>
            </w:pPr>
            <w:r>
              <w:t xml:space="preserve">Asset class</w:t>
            </w:r>
          </w:p>
        </w:tc>
        <w:tc>
          <w:tcPr/>
          <w:p>
            <w:pPr>
              <w:pStyle w:val="Compact"/>
              <w:jc w:val="left"/>
            </w:pPr>
            <w:r>
              <w:t xml:space="preserve">Count</w:t>
            </w:r>
          </w:p>
        </w:tc>
        <w:tc>
          <w:tcPr/>
          <w:p>
            <w:pPr>
              <w:pStyle w:val="Compact"/>
              <w:jc w:val="left"/>
            </w:pPr>
            <w:r>
              <w:t xml:space="preserve">Location</w:t>
            </w:r>
          </w:p>
        </w:tc>
        <w:tc>
          <w:tcPr/>
          <w:p>
            <w:pPr>
              <w:pStyle w:val="Compact"/>
              <w:jc w:val="left"/>
            </w:pPr>
            <w:r>
              <w:t xml:space="preserve">Reuse mechanism</w:t>
            </w:r>
          </w:p>
        </w:tc>
      </w:tr>
      <w:tr>
        <w:tc>
          <w:tcPr/>
          <w:p>
            <w:pPr>
              <w:pStyle w:val="Compact"/>
              <w:jc w:val="left"/>
            </w:pPr>
            <w:r>
              <w:t xml:space="preserve">Skill files</w:t>
            </w:r>
          </w:p>
        </w:tc>
        <w:tc>
          <w:tcPr/>
          <w:p>
            <w:pPr>
              <w:pStyle w:val="Compact"/>
              <w:jc w:val="left"/>
            </w:pPr>
            <w:r>
              <w:t xml:space="preserve">30+</w:t>
            </w:r>
          </w:p>
        </w:tc>
        <w:tc>
          <w:tcPr/>
          <w:p>
            <w:pPr>
              <w:pStyle w:val="Compact"/>
              <w:jc w:val="left"/>
            </w:pPr>
            <w:r>
              <w:rPr>
                <w:rStyle w:val="VerbatimChar"/>
              </w:rPr>
              <w:t xml:space="preserve">skills/&lt;name&gt;/SKILL.md</w:t>
            </w:r>
          </w:p>
        </w:tc>
        <w:tc>
          <w:tcPr/>
          <w:p>
            <w:pPr>
              <w:pStyle w:val="Compact"/>
              <w:jc w:val="left"/>
            </w:pPr>
            <w:r>
              <w:t xml:space="preserve">Slash-invocable from any session</w:t>
            </w:r>
          </w:p>
        </w:tc>
      </w:tr>
      <w:tr>
        <w:tc>
          <w:tcPr/>
          <w:p>
            <w:pPr>
              <w:pStyle w:val="Compact"/>
              <w:jc w:val="left"/>
            </w:pPr>
            <w:r>
              <w:t xml:space="preserve">Field notes</w:t>
            </w:r>
          </w:p>
        </w:tc>
        <w:tc>
          <w:tcPr/>
          <w:p>
            <w:pPr>
              <w:pStyle w:val="Compact"/>
              <w:jc w:val="left"/>
            </w:pPr>
            <w:r>
              <w:t xml:space="preserve">150+</w:t>
            </w:r>
          </w:p>
        </w:tc>
        <w:tc>
          <w:tcPr/>
          <w:p>
            <w:pPr>
              <w:pStyle w:val="Compact"/>
              <w:jc w:val="left"/>
            </w:pPr>
            <w:r>
              <w:rPr>
                <w:rStyle w:val="VerbatimChar"/>
              </w:rPr>
              <w:t xml:space="preserve">docs/field-notes/</w:t>
            </w:r>
          </w:p>
        </w:tc>
        <w:tc>
          <w:tcPr/>
          <w:p>
            <w:pPr>
              <w:pStyle w:val="Compact"/>
              <w:jc w:val="left"/>
            </w:pPr>
            <w:r>
              <w:t xml:space="preserve">Searchable institutional memory</w:t>
            </w:r>
          </w:p>
        </w:tc>
      </w:tr>
      <w:tr>
        <w:tc>
          <w:tcPr/>
          <w:p>
            <w:pPr>
              <w:pStyle w:val="Compact"/>
              <w:jc w:val="left"/>
            </w:pPr>
            <w:r>
              <w:t xml:space="preserve">Agent configurations</w:t>
            </w:r>
          </w:p>
        </w:tc>
        <w:tc>
          <w:tcPr/>
          <w:p>
            <w:pPr>
              <w:pStyle w:val="Compact"/>
              <w:jc w:val="left"/>
            </w:pPr>
            <w:r>
              <w:t xml:space="preserve">50</w:t>
            </w:r>
          </w:p>
        </w:tc>
        <w:tc>
          <w:tcPr/>
          <w:p>
            <w:pPr>
              <w:pStyle w:val="Compact"/>
              <w:jc w:val="left"/>
            </w:pPr>
            <w:r>
              <w:rPr>
                <w:rStyle w:val="VerbatimChar"/>
              </w:rPr>
              <w:t xml:space="preserve">src/agents/</w:t>
            </w:r>
          </w:p>
        </w:tc>
        <w:tc>
          <w:tcPr/>
          <w:p>
            <w:pPr>
              <w:pStyle w:val="Compact"/>
              <w:jc w:val="left"/>
            </w:pPr>
            <w:r>
              <w:t xml:space="preserve">Foundry with Article 12 logging</w:t>
            </w:r>
          </w:p>
        </w:tc>
      </w:tr>
      <w:tr>
        <w:tc>
          <w:tcPr/>
          <w:p>
            <w:pPr>
              <w:pStyle w:val="Compact"/>
              <w:jc w:val="left"/>
            </w:pPr>
            <w:r>
              <w:t xml:space="preserve">Standards documents</w:t>
            </w:r>
          </w:p>
        </w:tc>
        <w:tc>
          <w:tcPr/>
          <w:p>
            <w:pPr>
              <w:pStyle w:val="Compact"/>
              <w:jc w:val="left"/>
            </w:pPr>
            <w:r>
              <w:t xml:space="preserve">10+</w:t>
            </w:r>
          </w:p>
        </w:tc>
        <w:tc>
          <w:tcPr/>
          <w:p>
            <w:pPr>
              <w:pStyle w:val="Compact"/>
              <w:jc w:val="left"/>
            </w:pPr>
            <w:r>
              <w:t xml:space="preserve">Root-level</w:t>
            </w:r>
            <w:r>
              <w:t xml:space="preserve"> </w:t>
            </w:r>
            <w:r>
              <w:rPr>
                <w:rStyle w:val="VerbatimChar"/>
              </w:rPr>
              <w:t xml:space="preserve">DWS_*.md</w:t>
            </w:r>
          </w:p>
        </w:tc>
        <w:tc>
          <w:tcPr/>
          <w:p>
            <w:pPr>
              <w:pStyle w:val="Compact"/>
              <w:jc w:val="left"/>
            </w:pPr>
            <w:r>
              <w:t xml:space="preserve">Routing table in CLAUDE.md</w:t>
            </w:r>
          </w:p>
        </w:tc>
      </w:tr>
      <w:tr>
        <w:tc>
          <w:tcPr/>
          <w:p>
            <w:pPr>
              <w:pStyle w:val="Compact"/>
              <w:jc w:val="left"/>
            </w:pPr>
            <w:r>
              <w:t xml:space="preserve">Validated hooks</w:t>
            </w:r>
          </w:p>
        </w:tc>
        <w:tc>
          <w:tcPr/>
          <w:p>
            <w:pPr>
              <w:pStyle w:val="Compact"/>
              <w:jc w:val="left"/>
            </w:pPr>
            <w:r>
              <w:t xml:space="preserve">Multiple</w:t>
            </w:r>
          </w:p>
        </w:tc>
        <w:tc>
          <w:tcPr/>
          <w:p>
            <w:pPr>
              <w:pStyle w:val="Compact"/>
              <w:jc w:val="left"/>
            </w:pPr>
            <w:r>
              <w:rPr>
                <w:rStyle w:val="VerbatimChar"/>
              </w:rPr>
              <w:t xml:space="preserve">.claude/hooks/</w:t>
            </w:r>
          </w:p>
        </w:tc>
        <w:tc>
          <w:tcPr/>
          <w:p>
            <w:pPr>
              <w:pStyle w:val="Compact"/>
              <w:jc w:val="left"/>
            </w:pPr>
            <w:r>
              <w:t xml:space="preserve">Session-start, pre-commit, audit</w:t>
            </w:r>
          </w:p>
        </w:tc>
      </w:tr>
      <w:tr>
        <w:tc>
          <w:tcPr/>
          <w:p>
            <w:pPr>
              <w:pStyle w:val="Compact"/>
              <w:jc w:val="left"/>
            </w:pPr>
            <w:r>
              <w:t xml:space="preserve">Cron/automation entries</w:t>
            </w:r>
          </w:p>
        </w:tc>
        <w:tc>
          <w:tcPr/>
          <w:p>
            <w:pPr>
              <w:pStyle w:val="Compact"/>
              <w:jc w:val="left"/>
            </w:pPr>
            <w:r>
              <w:t xml:space="preserve">Multiple</w:t>
            </w:r>
          </w:p>
        </w:tc>
        <w:tc>
          <w:tcPr/>
          <w:p>
            <w:pPr>
              <w:pStyle w:val="Compact"/>
              <w:jc w:val="left"/>
            </w:pPr>
            <w:r>
              <w:rPr>
                <w:rStyle w:val="VerbatimChar"/>
              </w:rPr>
              <w:t xml:space="preserve">scripts/daily</w:t>
            </w:r>
            <w:r>
              <w:t xml:space="preserve">,</w:t>
            </w:r>
            <w:r>
              <w:t xml:space="preserve"> </w:t>
            </w:r>
            <w:r>
              <w:rPr>
                <w:rStyle w:val="VerbatimChar"/>
              </w:rPr>
              <w:t xml:space="preserve">scripts/weekly</w:t>
            </w:r>
          </w:p>
        </w:tc>
        <w:tc>
          <w:tcPr/>
          <w:p>
            <w:pPr>
              <w:pStyle w:val="Compact"/>
              <w:jc w:val="left"/>
            </w:pPr>
            <w:r>
              <w:t xml:space="preserve">Scheduler-registered, runs unattended</w:t>
            </w:r>
          </w:p>
        </w:tc>
      </w:tr>
    </w:tbl>
    <w:p>
      <w:pPr>
        <w:pStyle w:val="BodyText"/>
      </w:pPr>
      <w:r>
        <w:t xml:space="preserve">The CLAUDE.md rule</w:t>
      </w:r>
      <w:r>
        <w:t xml:space="preserve"> </w:t>
      </w:r>
      <w:r>
        <w:t xml:space="preserve">“</w:t>
      </w:r>
      <w:r>
        <w:t xml:space="preserve">Asked Twice = Failure</w:t>
      </w:r>
      <w:r>
        <w:t xml:space="preserve">”</w:t>
      </w:r>
      <w:r>
        <w:t xml:space="preserve"> </w:t>
      </w:r>
      <w:r>
        <w:t xml:space="preserve">operationalises the accumulation mechanism: each manually-completed judgment that closes a skill loop removes that decision permanently from the operator’s recurring attention. The skills corpus is the primary measurable output of this ratchet.</w:t>
      </w:r>
    </w:p>
    <w:p>
      <w:pPr>
        <w:pStyle w:val="BodyText"/>
      </w:pPr>
      <w:r>
        <w:rPr>
          <w:bCs/>
          <w:b/>
        </w:rPr>
        <w:t xml:space="preserve">Key implementation pattern:</w:t>
      </w:r>
      <w:r>
        <w:t xml:space="preserve"> </w:t>
      </w:r>
      <w:r>
        <w:t xml:space="preserve">Skills are parameterised procedures, not domain scripts. A skill describes the process (</w:t>
      </w:r>
      <w:r>
        <w:rPr>
          <w:rStyle w:val="VerbatimChar"/>
        </w:rPr>
        <w:t xml:space="preserve">/compliance-check INDUSTRY=steel</w:t>
      </w:r>
      <w:r>
        <w:t xml:space="preserve">); the invocation supplies the context. This is what distinguishes token capital from stored conversation history — it is executable, not archival.</w:t>
      </w:r>
    </w:p>
    <w:bookmarkEnd w:id="301"/>
    <w:bookmarkStart w:id="302" w:name="X0b326ce0267766d71ab85b7fa1670509d70276c"/>
    <w:p>
      <w:pPr>
        <w:pStyle w:val="Heading4"/>
      </w:pPr>
      <w:r>
        <w:t xml:space="preserve">10.23.3 Human Capital — The HIL Phase as a Training Programme</w:t>
      </w:r>
    </w:p>
    <w:p>
      <w:pPr>
        <w:pStyle w:val="FirstParagraph"/>
      </w:pPr>
      <w:r>
        <w:t xml:space="preserve">The seven-month HIL phase functioned, in retrospect, as an intensive and domain-specific training programme. The operator was not replaced; the operator’s expertise profile changed substantially.</w:t>
      </w:r>
    </w:p>
    <w:p>
      <w:pPr>
        <w:pStyle w:val="BodyText"/>
      </w:pPr>
      <w:r>
        <w:rPr>
          <w:bCs/>
          <w:b/>
        </w:rPr>
        <w:t xml:space="preserve">Capabilities deepened during the HIL phase:</w:t>
      </w:r>
    </w:p>
    <w:p>
      <w:pPr>
        <w:numPr>
          <w:ilvl w:val="0"/>
          <w:numId w:val="1107"/>
        </w:numPr>
        <w:pStyle w:val="Compact"/>
      </w:pPr>
      <w:r>
        <w:rPr>
          <w:bCs/>
          <w:b/>
        </w:rPr>
        <w:t xml:space="preserve">Agent output pattern recognition</w:t>
      </w:r>
      <w:r>
        <w:t xml:space="preserve"> </w:t>
      </w:r>
      <w:r>
        <w:t xml:space="preserve">— ability to identify failure signatures (hallucination type, scope creep, standard routing errors) from the first paragraph of output without full review</w:t>
      </w:r>
    </w:p>
    <w:p>
      <w:pPr>
        <w:numPr>
          <w:ilvl w:val="0"/>
          <w:numId w:val="1107"/>
        </w:numPr>
        <w:pStyle w:val="Compact"/>
      </w:pPr>
      <w:r>
        <w:rPr>
          <w:bCs/>
          <w:b/>
        </w:rPr>
        <w:t xml:space="preserve">Prompt calibration intuition</w:t>
      </w:r>
      <w:r>
        <w:t xml:space="preserve"> </w:t>
      </w:r>
      <w:r>
        <w:t xml:space="preserve">— ability to diagnose system-prompt underspecification from output signature, rather than through trial-and-error iteration</w:t>
      </w:r>
    </w:p>
    <w:p>
      <w:pPr>
        <w:numPr>
          <w:ilvl w:val="0"/>
          <w:numId w:val="1107"/>
        </w:numPr>
        <w:pStyle w:val="Compact"/>
      </w:pPr>
      <w:r>
        <w:rPr>
          <w:bCs/>
          <w:b/>
        </w:rPr>
        <w:t xml:space="preserve">Architectural judgment on delegation</w:t>
      </w:r>
      <w:r>
        <w:t xml:space="preserve"> </w:t>
      </w:r>
      <w:r>
        <w:t xml:space="preserve">— ability to set evidence-based thresholds for which agent actions require review versus which can be trusted to run unattended</w:t>
      </w:r>
    </w:p>
    <w:p>
      <w:pPr>
        <w:numPr>
          <w:ilvl w:val="0"/>
          <w:numId w:val="1107"/>
        </w:numPr>
        <w:pStyle w:val="Compact"/>
      </w:pPr>
      <w:r>
        <w:rPr>
          <w:bCs/>
          <w:b/>
        </w:rPr>
        <w:t xml:space="preserve">Failure mode literacy</w:t>
      </w:r>
      <w:r>
        <w:t xml:space="preserve"> </w:t>
      </w:r>
      <w:r>
        <w:t xml:space="preserve">— domain-specific knowledge of which tasks carry which failure modes, enabling targeted review rather than uniform review</w:t>
      </w:r>
    </w:p>
    <w:p>
      <w:pPr>
        <w:numPr>
          <w:ilvl w:val="0"/>
          <w:numId w:val="1107"/>
        </w:numPr>
        <w:pStyle w:val="Compact"/>
      </w:pPr>
      <w:r>
        <w:rPr>
          <w:bCs/>
          <w:b/>
        </w:rPr>
        <w:t xml:space="preserve">Skills taxonomy fluency</w:t>
      </w:r>
      <w:r>
        <w:t xml:space="preserve"> </w:t>
      </w:r>
      <w:r>
        <w:t xml:space="preserve">— the ability to recognise, in real time, when a judgment task is recurring and therefore should be codified rather than repeated</w:t>
      </w:r>
    </w:p>
    <w:p>
      <w:pPr>
        <w:pStyle w:val="FirstParagraph"/>
      </w:pPr>
      <w:r>
        <w:t xml:space="preserve">This expertise is tacit and embodied. It cannot be replicated by hiring someone who did not participate in the HIL phase. It is human capital in the strict sense: it is attached to the operator, compounds through application, and does not depreciate with tool changes.</w:t>
      </w:r>
    </w:p>
    <w:bookmarkEnd w:id="302"/>
    <w:bookmarkStart w:id="303" w:name="X0584e3b7d4fc413be36ff9b26715f5e8fb020b2"/>
    <w:p>
      <w:pPr>
        <w:pStyle w:val="Heading4"/>
      </w:pPr>
      <w:r>
        <w:t xml:space="preserve">10.23.4 Control Room Capital — Deployed Infrastructure (June 2026)</w:t>
      </w:r>
    </w:p>
    <w:p>
      <w:pPr>
        <w:pStyle w:val="FirstParagraph"/>
      </w:pPr>
      <w:r>
        <w:t xml:space="preserve">The DWS Control Room architecture (as defined in</w:t>
      </w:r>
      <w:r>
        <w:t xml:space="preserve"> </w:t>
      </w:r>
      <w:r>
        <w:rPr>
          <w:rStyle w:val="VerbatimChar"/>
        </w:rPr>
        <w:t xml:space="preserve">docs/Lyhenteet.md</w:t>
      </w:r>
      <w:r>
        <w:t xml:space="preserve"> </w:t>
      </w:r>
      <w:r>
        <w:t xml:space="preserve">and</w:t>
      </w:r>
      <w:r>
        <w:t xml:space="preserve"> </w:t>
      </w:r>
      <w:r>
        <w:rPr>
          <w:rStyle w:val="VerbatimChar"/>
        </w:rPr>
        <w:t xml:space="preserve">docs/Deputy-Agents-Architecture.md §9</w:t>
      </w:r>
      <w:r>
        <w:t xml:space="preserve">) is the edge layer of the hybrid architecture:</w:t>
      </w:r>
    </w:p>
    <w:p>
      <w:pPr>
        <w:numPr>
          <w:ilvl w:val="0"/>
          <w:numId w:val="1108"/>
        </w:numPr>
        <w:pStyle w:val="Compact"/>
      </w:pPr>
      <w:r>
        <w:rPr>
          <w:bCs/>
          <w:b/>
        </w:rPr>
        <w:t xml:space="preserve">Control Room</w:t>
      </w:r>
      <w:r>
        <w:t xml:space="preserve"> </w:t>
      </w:r>
      <w:r>
        <w:t xml:space="preserve">— edge layer, real-time observations, HIL approval gates, interrupt/override, Article 12 audit trail, target latency &lt; 100 ms</w:t>
      </w:r>
    </w:p>
    <w:p>
      <w:pPr>
        <w:numPr>
          <w:ilvl w:val="0"/>
          <w:numId w:val="1108"/>
        </w:numPr>
        <w:pStyle w:val="Compact"/>
      </w:pPr>
      <w:r>
        <w:rPr>
          <w:bCs/>
          <w:b/>
        </w:rPr>
        <w:t xml:space="preserve">Situation Room</w:t>
      </w:r>
      <w:r>
        <w:t xml:space="preserve"> </w:t>
      </w:r>
      <w:r>
        <w:t xml:space="preserve">— cloud layer, strategic aggregation, deep analytics, ERP/BIM/IoT integration, compliance reporting</w:t>
      </w:r>
    </w:p>
    <w:p>
      <w:pPr>
        <w:pStyle w:val="FirstParagraph"/>
      </w:pPr>
      <w:r>
        <w:rPr>
          <w:bCs/>
          <w:b/>
        </w:rPr>
        <w:t xml:space="preserve">Control Room Capital accumulated during the HIL phase:</w:t>
      </w:r>
    </w:p>
    <w:tbl>
      <w:tblPr>
        <w:tblStyle w:val="Table"/>
        <w:tblW w:type="pct" w:w="5000"/>
        <w:tblLook w:firstRow="1" w:lastRow="0" w:firstColumn="0" w:lastColumn="0" w:noHBand="0" w:noVBand="0" w:val="0020"/>
        <w:jc w:val="start"/>
      </w:tblPr>
      <w:tblGrid>
        <w:gridCol w:w="2383"/>
        <w:gridCol w:w="1691"/>
        <w:gridCol w:w="3844"/>
      </w:tblGrid>
      <w:tr>
        <w:trPr>
          <w:tblHeader w:val="true"/>
        </w:trPr>
        <w:tc>
          <w:tcPr/>
          <w:p>
            <w:pPr>
              <w:pStyle w:val="Compact"/>
              <w:jc w:val="left"/>
            </w:pPr>
            <w:r>
              <w:t xml:space="preserve">Asset</w:t>
            </w:r>
          </w:p>
        </w:tc>
        <w:tc>
          <w:tcPr/>
          <w:p>
            <w:pPr>
              <w:pStyle w:val="Compact"/>
              <w:jc w:val="left"/>
            </w:pPr>
            <w:r>
              <w:t xml:space="preserve">Status (June 2026)</w:t>
            </w:r>
          </w:p>
        </w:tc>
        <w:tc>
          <w:tcPr/>
          <w:p>
            <w:pPr>
              <w:pStyle w:val="Compact"/>
              <w:jc w:val="left"/>
            </w:pPr>
            <w:r>
              <w:t xml:space="preserve">Evidence</w:t>
            </w:r>
          </w:p>
        </w:tc>
      </w:tr>
      <w:tr>
        <w:tc>
          <w:tcPr/>
          <w:p>
            <w:pPr>
              <w:pStyle w:val="Compact"/>
              <w:jc w:val="left"/>
            </w:pPr>
            <w:r>
              <w:t xml:space="preserve">Edge compute nodes</w:t>
            </w:r>
          </w:p>
        </w:tc>
        <w:tc>
          <w:tcPr/>
          <w:p>
            <w:pPr>
              <w:pStyle w:val="Compact"/>
              <w:jc w:val="left"/>
            </w:pPr>
            <w:r>
              <w:t xml:space="preserve">Deployed</w:t>
            </w:r>
          </w:p>
        </w:tc>
        <w:tc>
          <w:tcPr/>
          <w:p>
            <w:pPr>
              <w:pStyle w:val="Compact"/>
              <w:jc w:val="left"/>
            </w:pPr>
            <w:r>
              <w:t xml:space="preserve">Acer Veriton GN100, DGX Spark, NVIDIA Jetson tiers</w:t>
            </w:r>
          </w:p>
        </w:tc>
      </w:tr>
      <w:tr>
        <w:tc>
          <w:tcPr/>
          <w:p>
            <w:pPr>
              <w:pStyle w:val="Compact"/>
              <w:jc w:val="left"/>
            </w:pPr>
            <w:r>
              <w:t xml:space="preserve">Classification thresholds</w:t>
            </w:r>
          </w:p>
        </w:tc>
        <w:tc>
          <w:tcPr/>
          <w:p>
            <w:pPr>
              <w:pStyle w:val="Compact"/>
              <w:jc w:val="left"/>
            </w:pPr>
            <w:r>
              <w:t xml:space="preserve">Empirically calibrated</w:t>
            </w:r>
          </w:p>
        </w:tc>
        <w:tc>
          <w:tcPr/>
          <w:p>
            <w:pPr>
              <w:pStyle w:val="Compact"/>
              <w:jc w:val="left"/>
            </w:pPr>
            <w:r>
              <w:t xml:space="preserve">Field notes: 2026-03-01, 2026-03-13, 2026-03-29</w:t>
            </w:r>
          </w:p>
        </w:tc>
      </w:tr>
      <w:tr>
        <w:tc>
          <w:tcPr/>
          <w:p>
            <w:pPr>
              <w:pStyle w:val="Compact"/>
              <w:jc w:val="left"/>
            </w:pPr>
            <w:r>
              <w:t xml:space="preserve">HIL approval gate configuration</w:t>
            </w:r>
          </w:p>
        </w:tc>
        <w:tc>
          <w:tcPr/>
          <w:p>
            <w:pPr>
              <w:pStyle w:val="Compact"/>
              <w:jc w:val="left"/>
            </w:pPr>
            <w:r>
              <w:t xml:space="preserve">Tested in production</w:t>
            </w:r>
          </w:p>
        </w:tc>
        <w:tc>
          <w:tcPr/>
          <w:p>
            <w:pPr>
              <w:pStyle w:val="Compact"/>
              <w:jc w:val="left"/>
            </w:pPr>
            <w:r>
              <w:t xml:space="preserve">CLAUDE.md auto-mode hooks, hook audit logs</w:t>
            </w:r>
          </w:p>
        </w:tc>
      </w:tr>
      <w:tr>
        <w:tc>
          <w:tcPr/>
          <w:p>
            <w:pPr>
              <w:pStyle w:val="Compact"/>
              <w:jc w:val="left"/>
            </w:pPr>
            <w:r>
              <w:t xml:space="preserve">Article 12 audit trail</w:t>
            </w:r>
          </w:p>
        </w:tc>
        <w:tc>
          <w:tcPr/>
          <w:p>
            <w:pPr>
              <w:pStyle w:val="Compact"/>
              <w:jc w:val="left"/>
            </w:pPr>
            <w:r>
              <w:t xml:space="preserve">Populated</w:t>
            </w:r>
          </w:p>
        </w:tc>
        <w:tc>
          <w:tcPr/>
          <w:p>
            <w:pPr>
              <w:pStyle w:val="Compact"/>
              <w:jc w:val="left"/>
            </w:pPr>
            <w:r>
              <w:rPr>
                <w:rStyle w:val="VerbatimChar"/>
              </w:rPr>
              <w:t xml:space="preserve">article12-logger.ts</w:t>
            </w:r>
            <w:r>
              <w:t xml:space="preserve">,</w:t>
            </w:r>
            <w:r>
              <w:t xml:space="preserve"> </w:t>
            </w:r>
            <w:r>
              <w:rPr>
                <w:rStyle w:val="VerbatimChar"/>
              </w:rPr>
              <w:t xml:space="preserve">agent_executions</w:t>
            </w:r>
            <w:r>
              <w:t xml:space="preserve"> </w:t>
            </w:r>
            <w:r>
              <w:t xml:space="preserve">table</w:t>
            </w:r>
          </w:p>
        </w:tc>
      </w:tr>
      <w:tr>
        <w:tc>
          <w:tcPr/>
          <w:p>
            <w:pPr>
              <w:pStyle w:val="Compact"/>
              <w:jc w:val="left"/>
            </w:pPr>
            <w:r>
              <w:t xml:space="preserve">Exception-pattern library</w:t>
            </w:r>
          </w:p>
        </w:tc>
        <w:tc>
          <w:tcPr/>
          <w:p>
            <w:pPr>
              <w:pStyle w:val="Compact"/>
              <w:jc w:val="left"/>
            </w:pPr>
            <w:r>
              <w:t xml:space="preserve">Documented</w:t>
            </w:r>
          </w:p>
        </w:tc>
        <w:tc>
          <w:tcPr/>
          <w:p>
            <w:pPr>
              <w:pStyle w:val="Compact"/>
              <w:jc w:val="left"/>
            </w:pPr>
            <w:r>
              <w:t xml:space="preserve">Field note corpus,</w:t>
            </w:r>
            <w:r>
              <w:t xml:space="preserve"> </w:t>
            </w:r>
            <w:r>
              <w:rPr>
                <w:rStyle w:val="VerbatimChar"/>
              </w:rPr>
              <w:t xml:space="preserve">.claude/hooks/README.md</w:t>
            </w:r>
          </w:p>
        </w:tc>
      </w:tr>
      <w:tr>
        <w:tc>
          <w:tcPr/>
          <w:p>
            <w:pPr>
              <w:pStyle w:val="Compact"/>
              <w:jc w:val="left"/>
            </w:pPr>
            <w:r>
              <w:t xml:space="preserve">Multi-provider routing</w:t>
            </w:r>
          </w:p>
        </w:tc>
        <w:tc>
          <w:tcPr/>
          <w:p>
            <w:pPr>
              <w:pStyle w:val="Compact"/>
              <w:jc w:val="left"/>
            </w:pPr>
            <w:r>
              <w:t xml:space="preserve">Validated</w:t>
            </w:r>
          </w:p>
        </w:tc>
        <w:tc>
          <w:tcPr/>
          <w:p>
            <w:pPr>
              <w:pStyle w:val="Compact"/>
              <w:jc w:val="left"/>
            </w:pPr>
            <w:r>
              <w:t xml:space="preserve">Groq / Baseten / OpenAI / Scaleway / DGX Spark</w:t>
            </w:r>
          </w:p>
        </w:tc>
      </w:tr>
    </w:tbl>
    <w:p>
      <w:pPr>
        <w:pStyle w:val="BodyText"/>
      </w:pPr>
      <w:r>
        <w:t xml:space="preserve">The distinction between Control Room capital and Control Room infrastructure: the infrastructure is the hardware and software (capex + opex). The capital is the calibrated operational knowledge embedded in that infrastructure — thresholds that have been empirically validated under production load, failure modes that have been observed and documented, HIL gates that have been tested for false-positive rate. This cannot be reproduced from documentation alone; it requires the operational history.</w:t>
      </w:r>
    </w:p>
    <w:bookmarkEnd w:id="303"/>
    <w:bookmarkStart w:id="304" w:name="X94c4b43006fd9a238020347a48f6c99f834f216"/>
    <w:p>
      <w:pPr>
        <w:pStyle w:val="Heading4"/>
      </w:pPr>
      <w:r>
        <w:t xml:space="preserve">10.23.5 The HIL → HIC Transition as an Engineering Milestone</w:t>
      </w:r>
    </w:p>
    <w:p>
      <w:pPr>
        <w:pStyle w:val="FirstParagraph"/>
      </w:pPr>
      <w:r>
        <w:t xml:space="preserve">The HIL → HIC transition is not a product management decision. It has specific engineering preconditions that can be verified:</w:t>
      </w:r>
    </w:p>
    <w:p>
      <w:pPr>
        <w:numPr>
          <w:ilvl w:val="0"/>
          <w:numId w:val="1109"/>
        </w:numPr>
      </w:pPr>
      <w:r>
        <w:rPr>
          <w:bCs/>
          <w:b/>
        </w:rPr>
        <w:t xml:space="preserve">Token capital threshold:</w:t>
      </w:r>
      <w:r>
        <w:t xml:space="preserve"> </w:t>
      </w:r>
      <w:r>
        <w:t xml:space="preserve">The skills corpus is sufficient that the majority of recurring judgment tasks are handled by skills without operator intervention. Measurable: ratio of skill-invoked decisions to ad-hoc decisions per week.</w:t>
      </w:r>
    </w:p>
    <w:p>
      <w:pPr>
        <w:numPr>
          <w:ilvl w:val="0"/>
          <w:numId w:val="1109"/>
        </w:numPr>
      </w:pPr>
      <w:r>
        <w:rPr>
          <w:bCs/>
          <w:b/>
        </w:rPr>
        <w:t xml:space="preserve">Human capital threshold:</w:t>
      </w:r>
      <w:r>
        <w:t xml:space="preserve"> </w:t>
      </w:r>
      <w:r>
        <w:t xml:space="preserve">The operator can identify failure signatures at the signature level — i.e., before a full review of the output. Measurable: average time-to-diagnosis for known failure modes.</w:t>
      </w:r>
    </w:p>
    <w:p>
      <w:pPr>
        <w:numPr>
          <w:ilvl w:val="0"/>
          <w:numId w:val="1109"/>
        </w:numPr>
      </w:pPr>
      <w:r>
        <w:rPr>
          <w:bCs/>
          <w:b/>
        </w:rPr>
        <w:t xml:space="preserve">Control Room capital threshold:</w:t>
      </w:r>
      <w:r>
        <w:t xml:space="preserve"> </w:t>
      </w:r>
      <w:r>
        <w:t xml:space="preserve">The automated system can be trusted to hold the production load for a working day without per-output review. Measurable: number of unreviewed automated decisions per day that required no subsequent correction.</w:t>
      </w:r>
    </w:p>
    <w:p>
      <w:pPr>
        <w:pStyle w:val="FirstParagraph"/>
      </w:pPr>
      <w:r>
        <w:t xml:space="preserve">The June 2026 observation — the gym returning to the schedule — is the operational manifestation of all three thresholds being crossed simultaneously across the majority of domains in the DWS IQ 6 system.</w:t>
      </w:r>
    </w:p>
    <w:p>
      <w:pPr>
        <w:pStyle w:val="BodyText"/>
      </w:pPr>
      <w:r>
        <w:rPr>
          <w:bCs/>
          <w:b/>
        </w:rPr>
        <w:t xml:space="preserve">Domains still in HIL (June 2026):</w:t>
      </w:r>
      <w:r>
        <w:t xml:space="preserve"> </w:t>
      </w:r>
      <w:r>
        <w:t xml:space="preserve">Security posture changes, supabase migration authoring, and any agent output touching financial or legal fields (consistent with the Varsavsky review-queue principle documented in</w:t>
      </w:r>
      <w:r>
        <w:t xml:space="preserve"> </w:t>
      </w:r>
      <w:r>
        <w:rPr>
          <w:rStyle w:val="VerbatimChar"/>
        </w:rPr>
        <w:t xml:space="preserve">docs/field-notes/2026-05-08-varsavsky-agent-accountability-intelligence-cheap.md</w:t>
      </w:r>
      <w:r>
        <w:t xml:space="preserve">).</w:t>
      </w:r>
    </w:p>
    <w:bookmarkEnd w:id="304"/>
    <w:bookmarkStart w:id="305" w:name="research-contribution-13"/>
    <w:p>
      <w:pPr>
        <w:pStyle w:val="Heading4"/>
      </w:pPr>
      <w:r>
        <w:t xml:space="preserve">10.23.6 Research Contribution</w:t>
      </w:r>
    </w:p>
    <w:p>
      <w:pPr>
        <w:pStyle w:val="FirstParagraph"/>
      </w:pPr>
      <w:r>
        <w:t xml:space="preserve">The three-capital model, grounded in seven months of production HIL operations, provides three implementation-level contributions:</w:t>
      </w:r>
    </w:p>
    <w:p>
      <w:pPr>
        <w:numPr>
          <w:ilvl w:val="0"/>
          <w:numId w:val="1110"/>
        </w:numPr>
      </w:pPr>
      <w:r>
        <w:rPr>
          <w:bCs/>
          <w:b/>
        </w:rPr>
        <w:t xml:space="preserve">A measurable definition of the HIL → HIC transition</w:t>
      </w:r>
      <w:r>
        <w:t xml:space="preserve"> </w:t>
      </w:r>
      <w:r>
        <w:t xml:space="preserve">— specific per-domain preconditions (token capital threshold, human capital threshold, Control Room capital threshold) that can be instrumented and tracked, giving the transition an engineering definition rather than a management intuition.</w:t>
      </w:r>
    </w:p>
    <w:p>
      <w:pPr>
        <w:numPr>
          <w:ilvl w:val="0"/>
          <w:numId w:val="1110"/>
        </w:numPr>
      </w:pPr>
      <w:r>
        <w:rPr>
          <w:bCs/>
          <w:b/>
        </w:rPr>
        <w:t xml:space="preserve">A skills corpus as the primary KPI of agentic operating-model maturity</w:t>
      </w:r>
      <w:r>
        <w:t xml:space="preserve"> </w:t>
      </w:r>
      <w:r>
        <w:t xml:space="preserve">— the size, coverage, and invocation rate of the</w:t>
      </w:r>
      <w:r>
        <w:t xml:space="preserve"> </w:t>
      </w:r>
      <w:r>
        <w:rPr>
          <w:rStyle w:val="VerbatimChar"/>
        </w:rPr>
        <w:t xml:space="preserve">skills/</w:t>
      </w:r>
      <w:r>
        <w:t xml:space="preserve"> </w:t>
      </w:r>
      <w:r>
        <w:t xml:space="preserve">corpus is a more operationally meaningful maturity indicator than agent count, model capability, or token spend.</w:t>
      </w:r>
    </w:p>
    <w:p>
      <w:pPr>
        <w:numPr>
          <w:ilvl w:val="0"/>
          <w:numId w:val="1110"/>
        </w:numPr>
      </w:pPr>
      <w:r>
        <w:rPr>
          <w:bCs/>
          <w:b/>
        </w:rPr>
        <w:t xml:space="preserve">The HIL phase as a planned capital formation programme</w:t>
      </w:r>
      <w:r>
        <w:t xml:space="preserve"> </w:t>
      </w:r>
      <w:r>
        <w:t xml:space="preserve">— reframing the seven-month HIL phase from a cost to an investment in three simultaneous capital forms changes how the phase should be resourced, measured, and communicated to stakeholders.</w:t>
      </w:r>
    </w:p>
    <w:p>
      <w:pPr>
        <w:pStyle w:val="FirstParagraph"/>
      </w:pPr>
      <w:r>
        <w:rPr>
          <w:bCs/>
          <w:b/>
        </w:rPr>
        <w:t xml:space="preserve">Key Contribution #32 — Three-Capital Accumulation Model: Implementation Evidence from Seven Months of Production HIL Operations:</w:t>
      </w:r>
      <w:r>
        <w:t xml:space="preserve"> </w:t>
      </w:r>
      <w:r>
        <w:t xml:space="preserve">The DWS IQ 6 production record (October 2025 – June 2026) provides the first empirical, multi-month implementation evidence for the theoretical three-capital model developed in §14.25. The token capital inventory (30+ skills, 150+ field notes, 50-agent foundry with Article 12 logging), the documented human capital deepening (pattern recognition, prompt calibration intuition, architectural judgment, failure mode literacy), and the Control Room capital (calibrated thresholds, validated HIL gates, populated Article 12 audit trail, tested multi-provider routing) together constitute a measurable baseline for what a production agentic operating model accumulates over a seven-month HIL phase. The contribution provides: (a) a set of per-capital measurable indicators that operationalise the theoretical model; (b) an engineering definition of the HIL → HIC transition with domain-specific preconditions; (c) the skills corpus as the primary KPI of agentic operating-model maturity. This contribution is positioned at the implementation horizon (current product scope) and is empirically grounded — the June 2026 transition event is a documented operational observable, not a projected milestone.</w:t>
      </w:r>
    </w:p>
    <w:p>
      <w:r>
        <w:pict>
          <v:rect style="width:0;height:1.5pt" o:hralign="center" o:hrstd="t" o:hr="t"/>
        </w:pict>
      </w:r>
    </w:p>
    <w:bookmarkEnd w:id="305"/>
    <w:bookmarkStart w:id="306" w:name="Xb7a89fe7de2b858f173b025ff8d5f6136b5a00b"/>
    <w:p>
      <w:pPr>
        <w:pStyle w:val="Heading4"/>
      </w:pPr>
      <w:r>
        <w:t xml:space="preserve">10.23.7 Mapping the Four Capital Classes to the Architecture</w:t>
      </w:r>
    </w:p>
    <w:p>
      <w:pPr>
        <w:pStyle w:val="FirstParagraph"/>
      </w:pPr>
      <w:r>
        <w:t xml:space="preserve">§14.26 in the PhD thesis (PHD_FIREHORSE_EN.md) formalised the 4P Capital Classes as the canonical extension of the §14.25 three-capital model: Prompt (formerly Token), People (formerly Human), Plant (formerly Control Room), and Perception (new — the governed world-model and closed control loop). This section maps each of the four classes to the DWS IQ 6 architecture components documented elsewhere in this master’s thesis.</w:t>
      </w:r>
    </w:p>
    <w:p>
      <w:pPr>
        <w:pStyle w:val="BodyText"/>
      </w:pPr>
      <w:r>
        <w:rPr>
          <w:bCs/>
          <w:b/>
        </w:rPr>
        <w:t xml:space="preserve">Architecture mapping table:</w:t>
      </w:r>
    </w:p>
    <w:tbl>
      <w:tblPr>
        <w:tblStyle w:val="Table"/>
        <w:tblW w:type="pct" w:w="5000"/>
        <w:tblLook w:firstRow="1" w:lastRow="0" w:firstColumn="0" w:lastColumn="0" w:noHBand="0" w:noVBand="0" w:val="0020"/>
        <w:jc w:val="start"/>
      </w:tblPr>
      <w:tblGrid>
        <w:gridCol w:w="354"/>
        <w:gridCol w:w="784"/>
        <w:gridCol w:w="5870"/>
        <w:gridCol w:w="910"/>
      </w:tblGrid>
      <w:tr>
        <w:trPr>
          <w:tblHeader w:val="true"/>
        </w:trPr>
        <w:tc>
          <w:tcPr/>
          <w:p>
            <w:pPr>
              <w:pStyle w:val="Compact"/>
              <w:jc w:val="left"/>
            </w:pPr>
            <w:r>
              <w:t xml:space="preserve">Capital Class</w:t>
            </w:r>
          </w:p>
        </w:tc>
        <w:tc>
          <w:tcPr/>
          <w:p>
            <w:pPr>
              <w:pStyle w:val="Compact"/>
              <w:jc w:val="left"/>
            </w:pPr>
            <w:r>
              <w:t xml:space="preserve">Brain-Memory-Body-Hands layer</w:t>
            </w:r>
          </w:p>
        </w:tc>
        <w:tc>
          <w:tcPr/>
          <w:p>
            <w:pPr>
              <w:pStyle w:val="Compact"/>
              <w:jc w:val="left"/>
            </w:pPr>
            <w:r>
              <w:t xml:space="preserve">DWS IQ 6 component</w:t>
            </w:r>
          </w:p>
        </w:tc>
        <w:tc>
          <w:tcPr/>
          <w:p>
            <w:pPr>
              <w:pStyle w:val="Compact"/>
              <w:jc w:val="left"/>
            </w:pPr>
            <w:r>
              <w:t xml:space="preserve">Thesis cross-reference</w:t>
            </w:r>
          </w:p>
        </w:tc>
      </w:tr>
      <w:tr>
        <w:tc>
          <w:tcPr/>
          <w:p>
            <w:pPr>
              <w:pStyle w:val="Compact"/>
              <w:jc w:val="left"/>
            </w:pPr>
            <w:r>
              <w:rPr>
                <w:bCs/>
                <w:b/>
              </w:rPr>
              <w:t xml:space="preserve">Prompt</w:t>
            </w:r>
          </w:p>
        </w:tc>
        <w:tc>
          <w:tcPr/>
          <w:p>
            <w:pPr>
              <w:pStyle w:val="Compact"/>
              <w:jc w:val="left"/>
            </w:pPr>
            <w:r>
              <w:t xml:space="preserve">Brain (intelligence)</w:t>
            </w:r>
          </w:p>
        </w:tc>
        <w:tc>
          <w:tcPr/>
          <w:p>
            <w:pPr>
              <w:pStyle w:val="Compact"/>
              <w:jc w:val="left"/>
            </w:pPr>
            <w:r>
              <w:t xml:space="preserve">SOUL.md, system prompts, validated skills corpus (</w:t>
            </w:r>
            <w:r>
              <w:rPr>
                <w:rStyle w:val="VerbatimChar"/>
              </w:rPr>
              <w:t xml:space="preserve">skills/</w:t>
            </w:r>
            <w:r>
              <w:t xml:space="preserve">), agent configs (</w:t>
            </w:r>
            <w:r>
              <w:rPr>
                <w:rStyle w:val="VerbatimChar"/>
              </w:rPr>
              <w:t xml:space="preserve">src/agents/</w:t>
            </w:r>
            <w:r>
              <w:t xml:space="preserve">), eval datasets (</w:t>
            </w:r>
            <w:r>
              <w:rPr>
                <w:rStyle w:val="VerbatimChar"/>
              </w:rPr>
              <w:t xml:space="preserve">src/evals/datasets/</w:t>
            </w:r>
            <w:r>
              <w:t xml:space="preserve">)</w:t>
            </w:r>
          </w:p>
        </w:tc>
        <w:tc>
          <w:tcPr/>
          <w:p>
            <w:pPr>
              <w:pStyle w:val="Compact"/>
              <w:jc w:val="left"/>
            </w:pPr>
            <w:r>
              <w:t xml:space="preserve">§10.16 (Harness Engineering), §10.13</w:t>
            </w:r>
          </w:p>
        </w:tc>
      </w:tr>
      <w:tr>
        <w:tc>
          <w:tcPr/>
          <w:p>
            <w:pPr>
              <w:pStyle w:val="Compact"/>
              <w:jc w:val="left"/>
            </w:pPr>
            <w:r>
              <w:rPr>
                <w:bCs/>
                <w:b/>
              </w:rPr>
              <w:t xml:space="preserve">People</w:t>
            </w:r>
          </w:p>
        </w:tc>
        <w:tc>
          <w:tcPr/>
          <w:p>
            <w:pPr>
              <w:pStyle w:val="Compact"/>
              <w:jc w:val="left"/>
            </w:pPr>
            <w:r>
              <w:t xml:space="preserve">Memory (judgment)</w:t>
            </w:r>
          </w:p>
        </w:tc>
        <w:tc>
          <w:tcPr/>
          <w:p>
            <w:pPr>
              <w:pStyle w:val="Compact"/>
              <w:jc w:val="left"/>
            </w:pPr>
            <w:r>
              <w:t xml:space="preserve">Operator expertise deepened through HIL phase; skills taxonomy (§10.23.3); HIL → HIC transition observable</w:t>
            </w:r>
          </w:p>
        </w:tc>
        <w:tc>
          <w:tcPr/>
          <w:p>
            <w:pPr>
              <w:pStyle w:val="Compact"/>
              <w:jc w:val="left"/>
            </w:pPr>
            <w:r>
              <w:t xml:space="preserve">§10.23.3, §10.23.5</w:t>
            </w:r>
          </w:p>
        </w:tc>
      </w:tr>
      <w:tr>
        <w:tc>
          <w:tcPr/>
          <w:p>
            <w:pPr>
              <w:pStyle w:val="Compact"/>
              <w:jc w:val="left"/>
            </w:pPr>
            <w:r>
              <w:rPr>
                <w:bCs/>
                <w:b/>
              </w:rPr>
              <w:t xml:space="preserve">Plant</w:t>
            </w:r>
          </w:p>
        </w:tc>
        <w:tc>
          <w:tcPr/>
          <w:p>
            <w:pPr>
              <w:pStyle w:val="Compact"/>
              <w:jc w:val="left"/>
            </w:pPr>
            <w:r>
              <w:t xml:space="preserve">Body (infrastructure)</w:t>
            </w:r>
          </w:p>
        </w:tc>
        <w:tc>
          <w:tcPr/>
          <w:p>
            <w:pPr>
              <w:pStyle w:val="Compact"/>
              <w:jc w:val="left"/>
            </w:pPr>
            <w:r>
              <w:t xml:space="preserve">Control Room + Situation Room two-room stack — deployable at site</w:t>
            </w:r>
            <w:r>
              <w:t xml:space="preserve"> </w:t>
            </w:r>
            <w:r>
              <w:rPr>
                <w:bCs/>
                <w:b/>
              </w:rPr>
              <w:t xml:space="preserve">or inside a Lifetime Fleet vehicle</w:t>
            </w:r>
            <w:r>
              <w:t xml:space="preserve">; NVIDIA Jetson / Acer GN100 / DGX Spark edge compute; Article 12 logging pipeline; validated inference configs; tested failover</w:t>
            </w:r>
          </w:p>
        </w:tc>
        <w:tc>
          <w:tcPr/>
          <w:p>
            <w:pPr>
              <w:pStyle w:val="Compact"/>
              <w:jc w:val="left"/>
            </w:pPr>
            <w:r>
              <w:t xml:space="preserve">§10.10, §10.10.6.1, §10.15</w:t>
            </w:r>
          </w:p>
        </w:tc>
      </w:tr>
      <w:tr>
        <w:tc>
          <w:tcPr/>
          <w:p>
            <w:pPr>
              <w:pStyle w:val="Compact"/>
              <w:jc w:val="left"/>
            </w:pPr>
            <w:r>
              <w:rPr>
                <w:bCs/>
                <w:b/>
              </w:rPr>
              <w:t xml:space="preserve">Perception</w:t>
            </w:r>
          </w:p>
        </w:tc>
        <w:tc>
          <w:tcPr/>
          <w:p>
            <w:pPr>
              <w:pStyle w:val="Compact"/>
              <w:jc w:val="left"/>
            </w:pPr>
            <w:r>
              <w:t xml:space="preserve">Hands (actuation + world model)</w:t>
            </w:r>
          </w:p>
        </w:tc>
        <w:tc>
          <w:tcPr/>
          <w:p>
            <w:pPr>
              <w:pStyle w:val="Compact"/>
              <w:jc w:val="left"/>
            </w:pPr>
            <w:r>
              <w:t xml:space="preserve">Lifetime World Model (</w:t>
            </w:r>
            <w:r>
              <w:rPr>
                <w:rStyle w:val="VerbatimChar"/>
              </w:rPr>
              <w:t xml:space="preserve">ONTOLOGY.md</w:t>
            </w:r>
            <w:r>
              <w:t xml:space="preserve">); agent memory (§10.10.7); Article 12 lineage log; closed sense → decide → act loop with HIL/HIC gate</w:t>
            </w:r>
          </w:p>
        </w:tc>
        <w:tc>
          <w:tcPr/>
          <w:p>
            <w:pPr>
              <w:pStyle w:val="Compact"/>
              <w:jc w:val="left"/>
            </w:pPr>
            <w:r>
              <w:t xml:space="preserve">§10.18, §10.10.7</w:t>
            </w:r>
          </w:p>
        </w:tc>
      </w:tr>
    </w:tbl>
    <w:p>
      <w:pPr>
        <w:pStyle w:val="BodyText"/>
      </w:pPr>
      <w:r>
        <w:rPr>
          <w:bCs/>
          <w:b/>
        </w:rPr>
        <w:t xml:space="preserve">Renaming note:</w:t>
      </w:r>
      <w:r>
        <w:t xml:space="preserve"> </w:t>
      </w:r>
      <w:r>
        <w:t xml:space="preserve">The 4P canon deprecates the standalone</w:t>
      </w:r>
      <w:r>
        <w:t xml:space="preserve"> </w:t>
      </w:r>
      <w:r>
        <w:t xml:space="preserve">“</w:t>
      </w:r>
      <w:r>
        <w:t xml:space="preserve">Token / Human / Control Room Capital</w:t>
      </w:r>
      <w:r>
        <w:t xml:space="preserve">”</w:t>
      </w:r>
      <w:r>
        <w:t xml:space="preserve"> </w:t>
      </w:r>
      <w:r>
        <w:t xml:space="preserve">naming as primary terms in new copy. The §10.23.2 / §10.23.3 / §10.23.4 sections retain those names as the origin documentation; this section introduces the 4P aliases.</w:t>
      </w:r>
    </w:p>
    <w:p>
      <w:pPr>
        <w:pStyle w:val="BodyText"/>
      </w:pPr>
      <w:r>
        <w:rPr>
          <w:bCs/>
          <w:b/>
        </w:rPr>
        <w:t xml:space="preserve">GTM wedge — the land-and-expand pattern.</w:t>
      </w:r>
      <w:r>
        <w:t xml:space="preserve"> </w:t>
      </w:r>
      <w:r>
        <w:t xml:space="preserve">The architecture mapping has an operational implication for first-customer deployments. Because Perception Capital compounds only if the deployment footprint grows, the first DWS IQ deployment is deliberately</w:t>
      </w:r>
      <w:r>
        <w:t xml:space="preserve"> </w:t>
      </w:r>
      <w:r>
        <w:rPr>
          <w:bCs/>
          <w:b/>
        </w:rPr>
        <w:t xml:space="preserve">isolated and harmless</w:t>
      </w:r>
      <w:r>
        <w:t xml:space="preserve">: a single agent reading existing logs, one Control Room edge node at a sub-site the customer team has not previously had compute on, one report the team could not produce before. The first win earns the right to a second without requiring the customer team to reorganise around the new tool. This is the implementation-level answer to the industrial incumbent resistance documented in §14.26.4 of the PhD thesis.</w:t>
      </w:r>
    </w:p>
    <w:p>
      <w:pPr>
        <w:pStyle w:val="BodyText"/>
      </w:pPr>
      <w:r>
        <w:rPr>
          <w:bCs/>
          <w:b/>
        </w:rPr>
        <w:t xml:space="preserve">Key Contribution #33 — Four-Capital (4P) Architecture Mapping: Prompt, People, Plant, Perception in DWS IQ 6:</w:t>
      </w:r>
      <w:r>
        <w:t xml:space="preserve"> </w:t>
      </w:r>
      <w:r>
        <w:t xml:space="preserve">The mapping of the 4P canonical capital classes to the DWS IQ 6 Brain-Memory-Body-Hands architecture supplies the implementation-layer evidence that the theoretical extension in PhD §14.26 corresponds to existing, deployed components. Each capital class has a measurable architectural footprint: Prompt Capital is the</w:t>
      </w:r>
      <w:r>
        <w:t xml:space="preserve"> </w:t>
      </w:r>
      <w:r>
        <w:rPr>
          <w:rStyle w:val="VerbatimChar"/>
        </w:rPr>
        <w:t xml:space="preserve">skills/</w:t>
      </w:r>
      <w:r>
        <w:t xml:space="preserve"> </w:t>
      </w:r>
      <w:r>
        <w:t xml:space="preserve">corpus and eval datasets (§10.16); People Capital is the seven-month HIL record and the HIL → HIC transition observable (§10.23.3/§10.23.5); Plant Capital is the two-room edge stack, including mobile deployment inside a Lifetime Fleet vehicle (§10.10/§10.15); Perception Capital is the Lifetime World Model, agent memory pipeline, and Article 12 lineage log with the closed sense → decide → act loop (§10.18/§10.10.7). The GTM land-and-expand pattern follows directly from the Perception Capital accumulation mechanism: the first deployment is isolated and harmless, earns the next gate, and the governed world model that accumulates behind it is the moat. This contribution is positioned at the implementation horizon (current product scope), cross-referenced to PhD §14.26 (theory) and §14.27 (Kaukopää / Enso historical case). Companion artefacts:</w:t>
      </w:r>
      <w:r>
        <w:t xml:space="preserve"> </w:t>
      </w:r>
      <w:r>
        <w:rPr>
          <w:rStyle w:val="VerbatimChar"/>
        </w:rPr>
        <w:t xml:space="preserve">docs/field-notes/2026-06-19-token-capital-human-capital-control-room-capital.md</w:t>
      </w:r>
      <w:r>
        <w:t xml:space="preserve"> </w:t>
      </w:r>
      <w:r>
        <w:t xml:space="preserve">(v2.0, 4P canon),</w:t>
      </w:r>
      <w:r>
        <w:t xml:space="preserve"> </w:t>
      </w:r>
      <w:r>
        <w:rPr>
          <w:rStyle w:val="VerbatimChar"/>
        </w:rPr>
        <w:t xml:space="preserve">DWS_BRAND_STANDARD.md</w:t>
      </w:r>
      <w:r>
        <w:t xml:space="preserve"> </w:t>
      </w:r>
      <w:r>
        <w:t xml:space="preserve">§23.</w:t>
      </w:r>
    </w:p>
    <w:p>
      <w:r>
        <w:pict>
          <v:rect style="width:0;height:1.5pt" o:hralign="center" o:hrstd="t" o:hr="t"/>
        </w:pict>
      </w:r>
    </w:p>
    <w:bookmarkEnd w:id="306"/>
    <w:bookmarkEnd w:id="307"/>
    <w:bookmarkStart w:id="320" w:name="X035343df090b4320fc94df62c99c12c4e54431b"/>
    <w:p>
      <w:pPr>
        <w:pStyle w:val="Heading3"/>
      </w:pPr>
      <w:r>
        <w:t xml:space="preserve">10.24 Capability Ontology and Three-Pillar Consulting GTM — From Agent Taxonomy to Enterprise Delivery</w:t>
      </w:r>
    </w:p>
    <w:bookmarkStart w:id="308" w:name="motivation-5"/>
    <w:p>
      <w:pPr>
        <w:pStyle w:val="Heading4"/>
      </w:pPr>
      <w:r>
        <w:t xml:space="preserve">10.24.1 Motivation</w:t>
      </w:r>
    </w:p>
    <w:p>
      <w:pPr>
        <w:pStyle w:val="FirstParagraph"/>
      </w:pPr>
      <w:r>
        <w:t xml:space="preserve">By June 2026, the DWS IQ 6 agent population had grown to 58+ registered agents across multiple subsystems, with 18 additional capability areas identified during enterprise consulting engagement preparation. The flat agent inventory — while functionally complete — lacked a taxonomic structure that enterprise customers could navigate. Two product engineering challenges emerged simultaneously:</w:t>
      </w:r>
    </w:p>
    <w:p>
      <w:pPr>
        <w:numPr>
          <w:ilvl w:val="0"/>
          <w:numId w:val="1111"/>
        </w:numPr>
      </w:pPr>
      <w:r>
        <w:rPr>
          <w:bCs/>
          <w:b/>
        </w:rPr>
        <w:t xml:space="preserve">Ontological.</w:t>
      </w:r>
      <w:r>
        <w:t xml:space="preserve"> </w:t>
      </w:r>
      <w:r>
        <w:t xml:space="preserve">The 10 capability categories that had organically formed around agent clusters were not merely a grouping convenience — they mapped to the LWM knowledge graph classes. Exposing this structure explicitly would allow customers to reason about coverage gaps.</w:t>
      </w:r>
    </w:p>
    <w:p>
      <w:pPr>
        <w:numPr>
          <w:ilvl w:val="0"/>
          <w:numId w:val="1111"/>
        </w:numPr>
      </w:pPr>
      <w:r>
        <w:rPr>
          <w:bCs/>
          <w:b/>
        </w:rPr>
        <w:t xml:space="preserve">Political.</w:t>
      </w:r>
      <w:r>
        <w:t xml:space="preserve"> </w:t>
      </w:r>
      <w:r>
        <w:t xml:space="preserve">Enterprise customers had historically employed 72+ human consulting roles (Cloud Ready Teams, 2024 edition). Framing the 80+ agent capabilities as</w:t>
      </w:r>
      <w:r>
        <w:t xml:space="preserve"> </w:t>
      </w:r>
      <w:r>
        <w:t xml:space="preserve">“</w:t>
      </w:r>
      <w:r>
        <w:t xml:space="preserve">replacements for roles</w:t>
      </w:r>
      <w:r>
        <w:t xml:space="preserve">”</w:t>
      </w:r>
      <w:r>
        <w:t xml:space="preserve"> </w:t>
      </w:r>
      <w:r>
        <w:t xml:space="preserve">would trigger job-loss anxieties and procurement resistance. The engineering challenge was to present capability without threatening identity.</w:t>
      </w:r>
    </w:p>
    <w:bookmarkEnd w:id="308"/>
    <w:bookmarkStart w:id="309" w:name="Xf0116f03a4671a1d6b317f74ce1c4519c365155"/>
    <w:p>
      <w:pPr>
        <w:pStyle w:val="Heading4"/>
      </w:pPr>
      <w:r>
        <w:t xml:space="preserve">10.24.2 Capability Ontology — 10 LWM Knowledge Graph Classes</w:t>
      </w:r>
    </w:p>
    <w:p>
      <w:pPr>
        <w:pStyle w:val="FirstParagraph"/>
      </w:pPr>
      <w:r>
        <w:t xml:space="preserve">The 80+ agent capabilities were organised into 10 ontology classes derived from the Lifetime World Model’s knowledge graph structure:</w:t>
      </w:r>
    </w:p>
    <w:tbl>
      <w:tblPr>
        <w:tblStyle w:val="Table"/>
        <w:tblW w:type="pct" w:w="5000"/>
        <w:tblLook w:firstRow="1" w:lastRow="0" w:firstColumn="0" w:lastColumn="0" w:noHBand="0" w:noVBand="0" w:val="0020"/>
        <w:jc w:val="start"/>
      </w:tblPr>
      <w:tblGrid>
        <w:gridCol w:w="240"/>
        <w:gridCol w:w="1520"/>
        <w:gridCol w:w="1520"/>
        <w:gridCol w:w="4640"/>
      </w:tblGrid>
      <w:tr>
        <w:trPr>
          <w:tblHeader w:val="true"/>
        </w:trPr>
        <w:tc>
          <w:tcPr/>
          <w:p>
            <w:pPr>
              <w:pStyle w:val="Compact"/>
              <w:jc w:val="left"/>
            </w:pPr>
            <w:r>
              <w:t xml:space="preserve">#</w:t>
            </w:r>
          </w:p>
        </w:tc>
        <w:tc>
          <w:tcPr/>
          <w:p>
            <w:pPr>
              <w:pStyle w:val="Compact"/>
              <w:jc w:val="left"/>
            </w:pPr>
            <w:r>
              <w:t xml:space="preserve">Ontology Class (FI)</w:t>
            </w:r>
          </w:p>
        </w:tc>
        <w:tc>
          <w:tcPr/>
          <w:p>
            <w:pPr>
              <w:pStyle w:val="Compact"/>
              <w:jc w:val="left"/>
            </w:pPr>
            <w:r>
              <w:t xml:space="preserve">Ontology Class (EN)</w:t>
            </w:r>
          </w:p>
        </w:tc>
        <w:tc>
          <w:tcPr/>
          <w:p>
            <w:pPr>
              <w:pStyle w:val="Compact"/>
              <w:jc w:val="left"/>
            </w:pPr>
            <w:r>
              <w:t xml:space="preserve">Example Capabilities</w:t>
            </w:r>
          </w:p>
        </w:tc>
      </w:tr>
      <w:tr>
        <w:tc>
          <w:tcPr/>
          <w:p>
            <w:pPr>
              <w:pStyle w:val="Compact"/>
              <w:jc w:val="left"/>
            </w:pPr>
            <w:r>
              <w:t xml:space="preserve">A</w:t>
            </w:r>
          </w:p>
        </w:tc>
        <w:tc>
          <w:tcPr/>
          <w:p>
            <w:pPr>
              <w:pStyle w:val="Compact"/>
              <w:jc w:val="left"/>
            </w:pPr>
            <w:r>
              <w:t xml:space="preserve">Konsultointi</w:t>
            </w:r>
          </w:p>
        </w:tc>
        <w:tc>
          <w:tcPr/>
          <w:p>
            <w:pPr>
              <w:pStyle w:val="Compact"/>
              <w:jc w:val="left"/>
            </w:pPr>
            <w:r>
              <w:t xml:space="preserve">Consulting</w:t>
            </w:r>
          </w:p>
        </w:tc>
        <w:tc>
          <w:tcPr/>
          <w:p>
            <w:pPr>
              <w:pStyle w:val="Compact"/>
              <w:jc w:val="left"/>
            </w:pPr>
            <w:r>
              <w:t xml:space="preserve">Business Analyst, Change Management, Training &amp; Enablement</w:t>
            </w:r>
          </w:p>
        </w:tc>
      </w:tr>
      <w:tr>
        <w:tc>
          <w:tcPr/>
          <w:p>
            <w:pPr>
              <w:pStyle w:val="Compact"/>
              <w:jc w:val="left"/>
            </w:pPr>
            <w:r>
              <w:t xml:space="preserve">B</w:t>
            </w:r>
          </w:p>
        </w:tc>
        <w:tc>
          <w:tcPr/>
          <w:p>
            <w:pPr>
              <w:pStyle w:val="Compact"/>
              <w:jc w:val="left"/>
            </w:pPr>
            <w:r>
              <w:t xml:space="preserve">Sääntely</w:t>
            </w:r>
          </w:p>
        </w:tc>
        <w:tc>
          <w:tcPr/>
          <w:p>
            <w:pPr>
              <w:pStyle w:val="Compact"/>
              <w:jc w:val="left"/>
            </w:pPr>
            <w:r>
              <w:t xml:space="preserve">Regulation</w:t>
            </w:r>
          </w:p>
        </w:tc>
        <w:tc>
          <w:tcPr/>
          <w:p>
            <w:pPr>
              <w:pStyle w:val="Compact"/>
              <w:jc w:val="left"/>
            </w:pPr>
            <w:r>
              <w:t xml:space="preserve">ComplianceAgent, EU AI Act Monitor, CBAM Calculator</w:t>
            </w:r>
          </w:p>
        </w:tc>
      </w:tr>
      <w:tr>
        <w:tc>
          <w:tcPr/>
          <w:p>
            <w:pPr>
              <w:pStyle w:val="Compact"/>
              <w:jc w:val="left"/>
            </w:pPr>
            <w:r>
              <w:t xml:space="preserve">C</w:t>
            </w:r>
          </w:p>
        </w:tc>
        <w:tc>
          <w:tcPr/>
          <w:p>
            <w:pPr>
              <w:pStyle w:val="Compact"/>
              <w:jc w:val="left"/>
            </w:pPr>
            <w:r>
              <w:t xml:space="preserve">Toimiala</w:t>
            </w:r>
          </w:p>
        </w:tc>
        <w:tc>
          <w:tcPr/>
          <w:p>
            <w:pPr>
              <w:pStyle w:val="Compact"/>
              <w:jc w:val="left"/>
            </w:pPr>
            <w:r>
              <w:t xml:space="preserve">Industry</w:t>
            </w:r>
          </w:p>
        </w:tc>
        <w:tc>
          <w:tcPr/>
          <w:p>
            <w:pPr>
              <w:pStyle w:val="Compact"/>
              <w:jc w:val="left"/>
            </w:pPr>
            <w:r>
              <w:t xml:space="preserve">ArgusAgent (SAR), Energy Compliance, Construction Safety</w:t>
            </w:r>
          </w:p>
        </w:tc>
      </w:tr>
      <w:tr>
        <w:tc>
          <w:tcPr/>
          <w:p>
            <w:pPr>
              <w:pStyle w:val="Compact"/>
              <w:jc w:val="left"/>
            </w:pPr>
            <w:r>
              <w:t xml:space="preserve">D</w:t>
            </w:r>
          </w:p>
        </w:tc>
        <w:tc>
          <w:tcPr/>
          <w:p>
            <w:pPr>
              <w:pStyle w:val="Compact"/>
              <w:jc w:val="left"/>
            </w:pPr>
            <w:r>
              <w:t xml:space="preserve">Orkestrointi</w:t>
            </w:r>
          </w:p>
        </w:tc>
        <w:tc>
          <w:tcPr/>
          <w:p>
            <w:pPr>
              <w:pStyle w:val="Compact"/>
              <w:jc w:val="left"/>
            </w:pPr>
            <w:r>
              <w:t xml:space="preserve">Orchestration</w:t>
            </w:r>
          </w:p>
        </w:tc>
        <w:tc>
          <w:tcPr/>
          <w:p>
            <w:pPr>
              <w:pStyle w:val="Compact"/>
              <w:jc w:val="left"/>
            </w:pPr>
            <w:r>
              <w:t xml:space="preserve">Zeus Orchestrator, Workflow Engine, Integration Architect</w:t>
            </w:r>
          </w:p>
        </w:tc>
      </w:tr>
      <w:tr>
        <w:tc>
          <w:tcPr/>
          <w:p>
            <w:pPr>
              <w:pStyle w:val="Compact"/>
              <w:jc w:val="left"/>
            </w:pPr>
            <w:r>
              <w:t xml:space="preserve">E</w:t>
            </w:r>
          </w:p>
        </w:tc>
        <w:tc>
          <w:tcPr/>
          <w:p>
            <w:pPr>
              <w:pStyle w:val="Compact"/>
              <w:jc w:val="left"/>
            </w:pPr>
            <w:r>
              <w:t xml:space="preserve">Kenttä</w:t>
            </w:r>
          </w:p>
        </w:tc>
        <w:tc>
          <w:tcPr/>
          <w:p>
            <w:pPr>
              <w:pStyle w:val="Compact"/>
              <w:jc w:val="left"/>
            </w:pPr>
            <w:r>
              <w:t xml:space="preserve">Field Operations</w:t>
            </w:r>
          </w:p>
        </w:tc>
        <w:tc>
          <w:tcPr/>
          <w:p>
            <w:pPr>
              <w:pStyle w:val="Compact"/>
              <w:jc w:val="left"/>
            </w:pPr>
            <w:r>
              <w:t xml:space="preserve">Fleet Manager, IoT Edge Controller, Process Automation</w:t>
            </w:r>
          </w:p>
        </w:tc>
      </w:tr>
      <w:tr>
        <w:tc>
          <w:tcPr/>
          <w:p>
            <w:pPr>
              <w:pStyle w:val="Compact"/>
              <w:jc w:val="left"/>
            </w:pPr>
            <w:r>
              <w:t xml:space="preserve">F</w:t>
            </w:r>
          </w:p>
        </w:tc>
        <w:tc>
          <w:tcPr/>
          <w:p>
            <w:pPr>
              <w:pStyle w:val="Compact"/>
              <w:jc w:val="left"/>
            </w:pPr>
            <w:r>
              <w:t xml:space="preserve">Myynti</w:t>
            </w:r>
          </w:p>
        </w:tc>
        <w:tc>
          <w:tcPr/>
          <w:p>
            <w:pPr>
              <w:pStyle w:val="Compact"/>
              <w:jc w:val="left"/>
            </w:pPr>
            <w:r>
              <w:t xml:space="preserve">Sales</w:t>
            </w:r>
          </w:p>
        </w:tc>
        <w:tc>
          <w:tcPr/>
          <w:p>
            <w:pPr>
              <w:pStyle w:val="Compact"/>
              <w:jc w:val="left"/>
            </w:pPr>
            <w:r>
              <w:t xml:space="preserve">LeadAgent, CRM Pipeline, Contract Management</w:t>
            </w:r>
          </w:p>
        </w:tc>
      </w:tr>
      <w:tr>
        <w:tc>
          <w:tcPr/>
          <w:p>
            <w:pPr>
              <w:pStyle w:val="Compact"/>
              <w:jc w:val="left"/>
            </w:pPr>
            <w:r>
              <w:t xml:space="preserve">G</w:t>
            </w:r>
          </w:p>
        </w:tc>
        <w:tc>
          <w:tcPr/>
          <w:p>
            <w:pPr>
              <w:pStyle w:val="Compact"/>
              <w:jc w:val="left"/>
            </w:pPr>
            <w:r>
              <w:t xml:space="preserve">Tiedonhallinta</w:t>
            </w:r>
          </w:p>
        </w:tc>
        <w:tc>
          <w:tcPr/>
          <w:p>
            <w:pPr>
              <w:pStyle w:val="Compact"/>
              <w:jc w:val="left"/>
            </w:pPr>
            <w:r>
              <w:t xml:space="preserve">Data Management</w:t>
            </w:r>
          </w:p>
        </w:tc>
        <w:tc>
          <w:tcPr/>
          <w:p>
            <w:pPr>
              <w:pStyle w:val="Compact"/>
              <w:jc w:val="left"/>
            </w:pPr>
            <w:r>
              <w:t xml:space="preserve">Data Engineer, Database Architect, Technical Writer</w:t>
            </w:r>
          </w:p>
        </w:tc>
      </w:tr>
      <w:tr>
        <w:tc>
          <w:tcPr/>
          <w:p>
            <w:pPr>
              <w:pStyle w:val="Compact"/>
              <w:jc w:val="left"/>
            </w:pPr>
            <w:r>
              <w:t xml:space="preserve">H</w:t>
            </w:r>
          </w:p>
        </w:tc>
        <w:tc>
          <w:tcPr/>
          <w:p>
            <w:pPr>
              <w:pStyle w:val="Compact"/>
              <w:jc w:val="left"/>
            </w:pPr>
            <w:r>
              <w:t xml:space="preserve">Järjestelmä</w:t>
            </w:r>
          </w:p>
        </w:tc>
        <w:tc>
          <w:tcPr/>
          <w:p>
            <w:pPr>
              <w:pStyle w:val="Compact"/>
              <w:jc w:val="left"/>
            </w:pPr>
            <w:r>
              <w:t xml:space="preserve">System</w:t>
            </w:r>
          </w:p>
        </w:tc>
        <w:tc>
          <w:tcPr/>
          <w:p>
            <w:pPr>
              <w:pStyle w:val="Compact"/>
              <w:jc w:val="left"/>
            </w:pPr>
            <w:r>
              <w:t xml:space="preserve">DevOps Agent, Test Automation, Cloud Migration</w:t>
            </w:r>
          </w:p>
        </w:tc>
      </w:tr>
      <w:tr>
        <w:tc>
          <w:tcPr/>
          <w:p>
            <w:pPr>
              <w:pStyle w:val="Compact"/>
              <w:jc w:val="left"/>
            </w:pPr>
            <w:r>
              <w:t xml:space="preserve">I</w:t>
            </w:r>
          </w:p>
        </w:tc>
        <w:tc>
          <w:tcPr/>
          <w:p>
            <w:pPr>
              <w:pStyle w:val="Compact"/>
              <w:jc w:val="left"/>
            </w:pPr>
            <w:r>
              <w:t xml:space="preserve">Puolustus</w:t>
            </w:r>
          </w:p>
        </w:tc>
        <w:tc>
          <w:tcPr/>
          <w:p>
            <w:pPr>
              <w:pStyle w:val="Compact"/>
              <w:jc w:val="left"/>
            </w:pPr>
            <w:r>
              <w:t xml:space="preserve">Defence</w:t>
            </w:r>
          </w:p>
        </w:tc>
        <w:tc>
          <w:tcPr/>
          <w:p>
            <w:pPr>
              <w:pStyle w:val="Compact"/>
              <w:jc w:val="left"/>
            </w:pPr>
            <w:r>
              <w:t xml:space="preserve">Aegis Platform, Network Security, Supply Chain Risk</w:t>
            </w:r>
          </w:p>
        </w:tc>
      </w:tr>
      <w:tr>
        <w:tc>
          <w:tcPr/>
          <w:p>
            <w:pPr>
              <w:pStyle w:val="Compact"/>
              <w:jc w:val="left"/>
            </w:pPr>
            <w:r>
              <w:t xml:space="preserve">J</w:t>
            </w:r>
          </w:p>
        </w:tc>
        <w:tc>
          <w:tcPr/>
          <w:p>
            <w:pPr>
              <w:pStyle w:val="Compact"/>
              <w:jc w:val="left"/>
            </w:pPr>
            <w:r>
              <w:t xml:space="preserve">Muutos</w:t>
            </w:r>
          </w:p>
        </w:tc>
        <w:tc>
          <w:tcPr/>
          <w:p>
            <w:pPr>
              <w:pStyle w:val="Compact"/>
              <w:jc w:val="left"/>
            </w:pPr>
            <w:r>
              <w:t xml:space="preserve">Transformation</w:t>
            </w:r>
          </w:p>
        </w:tc>
        <w:tc>
          <w:tcPr/>
          <w:p>
            <w:pPr>
              <w:pStyle w:val="Compact"/>
              <w:jc w:val="left"/>
            </w:pPr>
            <w:r>
              <w:t xml:space="preserve">Disruption Response, HR Systems, Service Desk</w:t>
            </w:r>
          </w:p>
        </w:tc>
      </w:tr>
    </w:tbl>
    <w:p>
      <w:pPr>
        <w:pStyle w:val="BodyText"/>
      </w:pPr>
      <w:r>
        <w:t xml:space="preserve">The ontology is not a flat list but a knowledge graph: each class has directed edges to the classes it depends on (e.g., Regulation → Data Management for evidence pipelines; Industry → Orchestration for multi-agent workflows). This graph structure is the same LWM topology that the Perception Capital (§10.23.7) accumulates — the ontology is the Perception Capital’s schema.</w:t>
      </w:r>
    </w:p>
    <w:bookmarkEnd w:id="309"/>
    <w:bookmarkStart w:id="310" w:name="capability-not-role-framing"/>
    <w:p>
      <w:pPr>
        <w:pStyle w:val="Heading4"/>
      </w:pPr>
      <w:r>
        <w:t xml:space="preserve">10.24.3 Capability-Not-Role Framing</w:t>
      </w:r>
    </w:p>
    <w:p>
      <w:pPr>
        <w:pStyle w:val="FirstParagraph"/>
      </w:pPr>
      <w:r>
        <w:t xml:space="preserve">The 62 existing agents plus 18 newly identified capability areas were explicitly framed as</w:t>
      </w:r>
      <w:r>
        <w:t xml:space="preserve"> </w:t>
      </w:r>
      <w:r>
        <w:rPr>
          <w:iCs/>
          <w:i/>
        </w:rPr>
        <w:t xml:space="preserve">capabilities</w:t>
      </w:r>
      <w:r>
        <w:t xml:space="preserve">, not job titles. The operating principle:</w:t>
      </w:r>
      <w:r>
        <w:t xml:space="preserve"> </w:t>
      </w:r>
      <w:r>
        <w:t xml:space="preserve">“</w:t>
      </w:r>
      <w:r>
        <w:t xml:space="preserve">DWS ei korvaa yrityksen henkilöstöä. DWS tuo kyvykkyyttä</w:t>
      </w:r>
      <w:r>
        <w:t xml:space="preserve">”</w:t>
      </w:r>
      <w:r>
        <w:t xml:space="preserve"> </w:t>
      </w:r>
      <w:r>
        <w:t xml:space="preserve">(DWS does not replace the customer’s staff. DWS brings capability). This framing decision has three engineering consequences:</w:t>
      </w:r>
    </w:p>
    <w:p>
      <w:pPr>
        <w:numPr>
          <w:ilvl w:val="0"/>
          <w:numId w:val="1112"/>
        </w:numPr>
        <w:pStyle w:val="Compact"/>
      </w:pPr>
      <w:r>
        <w:rPr>
          <w:bCs/>
          <w:b/>
        </w:rPr>
        <w:t xml:space="preserve">Procurement path.</w:t>
      </w:r>
      <w:r>
        <w:t xml:space="preserve"> </w:t>
      </w:r>
      <w:r>
        <w:t xml:space="preserve">Capability procurement does not trigger workforce consultation obligations under Finnish co-determination law (YT-laki).</w:t>
      </w:r>
    </w:p>
    <w:p>
      <w:pPr>
        <w:numPr>
          <w:ilvl w:val="0"/>
          <w:numId w:val="1112"/>
        </w:numPr>
        <w:pStyle w:val="Compact"/>
      </w:pPr>
      <w:r>
        <w:rPr>
          <w:bCs/>
          <w:b/>
        </w:rPr>
        <w:t xml:space="preserve">Adoption pattern.</w:t>
      </w:r>
      <w:r>
        <w:t xml:space="preserve"> </w:t>
      </w:r>
      <w:r>
        <w:t xml:space="preserve">A capability augments an existing role holder rather than displacing them — the GTM land-and-expand pattern (§10.23.7) applies at the individual contributor level.</w:t>
      </w:r>
    </w:p>
    <w:p>
      <w:pPr>
        <w:numPr>
          <w:ilvl w:val="0"/>
          <w:numId w:val="1112"/>
        </w:numPr>
        <w:pStyle w:val="Compact"/>
      </w:pPr>
      <w:r>
        <w:rPr>
          <w:bCs/>
          <w:b/>
        </w:rPr>
        <w:t xml:space="preserve">Catalogue structure.</w:t>
      </w:r>
      <w:r>
        <w:t xml:space="preserve"> </w:t>
      </w:r>
      <w:r>
        <w:t xml:space="preserve">The capability catalogue grows continuously rather than being versioned as a fixed headcount.</w:t>
      </w:r>
    </w:p>
    <w:bookmarkEnd w:id="310"/>
    <w:bookmarkStart w:id="311" w:name="three-pillar-consulting-model"/>
    <w:p>
      <w:pPr>
        <w:pStyle w:val="Heading4"/>
      </w:pPr>
      <w:r>
        <w:t xml:space="preserve">10.24.4 Three-Pillar Consulting Model</w:t>
      </w:r>
    </w:p>
    <w:p>
      <w:pPr>
        <w:pStyle w:val="FirstParagraph"/>
      </w:pPr>
      <w:r>
        <w:t xml:space="preserve">The capability ontology required a delivery framework. The consulting engagement model crystallised into three pillars:</w:t>
      </w:r>
    </w:p>
    <w:p>
      <w:pPr>
        <w:numPr>
          <w:ilvl w:val="0"/>
          <w:numId w:val="1113"/>
        </w:numPr>
        <w:pStyle w:val="Compact"/>
      </w:pPr>
      <w:r>
        <w:rPr>
          <w:bCs/>
          <w:b/>
        </w:rPr>
        <w:t xml:space="preserve">Pillar 1 — Capability Training.</w:t>
      </w:r>
      <w:r>
        <w:t xml:space="preserve"> </w:t>
      </w:r>
      <w:r>
        <w:t xml:space="preserve">Train the customer’s team to use the 80+ agent capabilities within their existing workflows.</w:t>
      </w:r>
    </w:p>
    <w:p>
      <w:pPr>
        <w:numPr>
          <w:ilvl w:val="0"/>
          <w:numId w:val="1113"/>
        </w:numPr>
        <w:pStyle w:val="Compact"/>
      </w:pPr>
      <w:r>
        <w:rPr>
          <w:bCs/>
          <w:b/>
        </w:rPr>
        <w:t xml:space="preserve">Pillar 2 — Industry-Specific Compliance Workflow Development.</w:t>
      </w:r>
      <w:r>
        <w:t xml:space="preserve"> </w:t>
      </w:r>
      <w:r>
        <w:t xml:space="preserve">Develop and deploy industry-specific intelligent compliance workflows to production. This pillar operationalises the LWM Sequencing Strategy (§10.18) at the customer level.</w:t>
      </w:r>
    </w:p>
    <w:p>
      <w:pPr>
        <w:numPr>
          <w:ilvl w:val="0"/>
          <w:numId w:val="1113"/>
        </w:numPr>
        <w:pStyle w:val="Compact"/>
      </w:pPr>
      <w:r>
        <w:rPr>
          <w:bCs/>
          <w:b/>
        </w:rPr>
        <w:t xml:space="preserve">Pillar 3 — Disruption-Free Project Continuity.</w:t>
      </w:r>
      <w:r>
        <w:t xml:space="preserve"> </w:t>
      </w:r>
      <w:r>
        <w:t xml:space="preserve">Ensure the project proceeds without interruptions, using the Keskeytyslaskuri (interruption cost calculator at lifetime.fi/laskuri/) to quantify context-rebuilding cost, momentum loss, and key-person risk.</w:t>
      </w:r>
    </w:p>
    <w:p>
      <w:pPr>
        <w:pStyle w:val="FirstParagraph"/>
      </w:pPr>
      <w:r>
        <w:t xml:space="preserve">The three pillars map directly to the 4P capital model (§10.23.7): Pillar 1 builds People Capital, Pillar 2 builds Prompt + Perception Capital, Pillar 3 protects Plant Capital continuity.</w:t>
      </w:r>
    </w:p>
    <w:bookmarkEnd w:id="311"/>
    <w:bookmarkStart w:id="312" w:name="aegis-defence-capability-correction"/>
    <w:p>
      <w:pPr>
        <w:pStyle w:val="Heading4"/>
      </w:pPr>
      <w:r>
        <w:t xml:space="preserve">10.24.5 Aegis Defence Capability Correction</w:t>
      </w:r>
    </w:p>
    <w:p>
      <w:pPr>
        <w:pStyle w:val="FirstParagraph"/>
      </w:pPr>
      <w:r>
        <w:t xml:space="preserve">During handbook preparation, investigation of ArgusAgent’s actual capabilities revealed that the previously claimed</w:t>
      </w:r>
      <w:r>
        <w:t xml:space="preserve"> </w:t>
      </w:r>
      <w:r>
        <w:t xml:space="preserve">“</w:t>
      </w:r>
      <w:r>
        <w:t xml:space="preserve">drone detection</w:t>
      </w:r>
      <w:r>
        <w:t xml:space="preserve">”</w:t>
      </w:r>
      <w:r>
        <w:t xml:space="preserve"> </w:t>
      </w:r>
      <w:r>
        <w:t xml:space="preserve">was not implemented. The honest capability profile is SAR (Synthetic Aperture Radar) orbital target detection via ICEYE partnership — change detection on satellite imagery, not real-time airborne surveillance. The Aegis Defence section was rewritten across all sales and consulting documents with 5 verified workflows:</w:t>
      </w:r>
    </w:p>
    <w:p>
      <w:pPr>
        <w:numPr>
          <w:ilvl w:val="0"/>
          <w:numId w:val="1114"/>
        </w:numPr>
        <w:pStyle w:val="Compact"/>
      </w:pPr>
      <w:r>
        <w:t xml:space="preserve">SAR orbital target detection + change detection</w:t>
      </w:r>
    </w:p>
    <w:p>
      <w:pPr>
        <w:numPr>
          <w:ilvl w:val="0"/>
          <w:numId w:val="1114"/>
        </w:numPr>
        <w:pStyle w:val="Compact"/>
      </w:pPr>
      <w:r>
        <w:t xml:space="preserve">NIS2 + CER + Cyber Resilience Act compliance monitoring</w:t>
      </w:r>
    </w:p>
    <w:p>
      <w:pPr>
        <w:numPr>
          <w:ilvl w:val="0"/>
          <w:numId w:val="1114"/>
        </w:numPr>
        <w:pStyle w:val="Compact"/>
      </w:pPr>
      <w:r>
        <w:t xml:space="preserve">Export control compliance (EU Regulation 2021/821 dual-use)</w:t>
      </w:r>
    </w:p>
    <w:p>
      <w:pPr>
        <w:numPr>
          <w:ilvl w:val="0"/>
          <w:numId w:val="1114"/>
        </w:numPr>
        <w:pStyle w:val="Compact"/>
      </w:pPr>
      <w:r>
        <w:t xml:space="preserve">Sovereign climate compatibility assessment for dual-use industries</w:t>
      </w:r>
    </w:p>
    <w:p>
      <w:pPr>
        <w:numPr>
          <w:ilvl w:val="0"/>
          <w:numId w:val="1114"/>
        </w:numPr>
        <w:pStyle w:val="Compact"/>
      </w:pPr>
      <w:r>
        <w:t xml:space="preserve">Critical supply chain monitoring (Critical Raw Materials Act, EU Chips Act)</w:t>
      </w:r>
    </w:p>
    <w:p>
      <w:pPr>
        <w:pStyle w:val="FirstParagraph"/>
      </w:pPr>
      <w:r>
        <w:t xml:space="preserve">This correction demonstrates the Rule 12 engineering discipline (</w:t>
      </w:r>
      <w:r>
        <w:t xml:space="preserve">“</w:t>
      </w:r>
      <w:r>
        <w:t xml:space="preserve">Fail loud</w:t>
      </w:r>
      <w:r>
        <w:t xml:space="preserve">”</w:t>
      </w:r>
      <w:r>
        <w:t xml:space="preserve">) applied to product marketing.</w:t>
      </w:r>
    </w:p>
    <w:bookmarkEnd w:id="312"/>
    <w:bookmarkStart w:id="313" w:name="X80442ef017dd2681f1e186e00109bfcf47cbd93"/>
    <w:p>
      <w:pPr>
        <w:pStyle w:val="Heading4"/>
      </w:pPr>
      <w:r>
        <w:t xml:space="preserve">10.24.6 Implementation Evidence — lifetime.fi Website Deployment</w:t>
      </w:r>
    </w:p>
    <w:p>
      <w:pPr>
        <w:pStyle w:val="FirstParagraph"/>
      </w:pPr>
      <w:r>
        <w:t xml:space="preserve">The three-pillar consulting model was deployed to the lifetime.fi production website, replacing the previous generic consulting services section. The implementation uses the existing</w:t>
      </w:r>
      <w:r>
        <w:t xml:space="preserve"> </w:t>
      </w:r>
      <w:r>
        <w:rPr>
          <w:rStyle w:val="VerbatimChar"/>
        </w:rPr>
        <w:t xml:space="preserve">.industry-agent-chip</w:t>
      </w:r>
      <w:r>
        <w:t xml:space="preserve"> </w:t>
      </w:r>
      <w:r>
        <w:t xml:space="preserve">CSS component library to render the 10 ontology classes as interactive chips, with three platform cards (gold/green/blue top borders) presenting each pillar. The deployment was dual-folder mirrored (lifetime.fi/ → landing-pages/lifetime-fi/) per DWS operational standard.</w:t>
      </w:r>
    </w:p>
    <w:bookmarkEnd w:id="313"/>
    <w:bookmarkStart w:id="319" w:name="research-contribution-14"/>
    <w:p>
      <w:pPr>
        <w:pStyle w:val="Heading4"/>
      </w:pPr>
      <w:r>
        <w:t xml:space="preserve">10.24.7 Research Contribution</w:t>
      </w:r>
    </w:p>
    <w:p>
      <w:pPr>
        <w:pStyle w:val="FirstParagraph"/>
      </w:pPr>
      <w:r>
        <w:rPr>
          <w:bCs/>
          <w:b/>
        </w:rPr>
        <w:t xml:space="preserve">Key Contribution #39 — Capability Ontology and Three-Pillar Consulting GTM:</w:t>
      </w:r>
      <w:r>
        <w:t xml:space="preserve"> </w:t>
      </w:r>
      <w:r>
        <w:t xml:space="preserve">The 10-class LWM-derived ontology organises 80+ agent capabilities into a knowledge graph structure that is simultaneously the product taxonomy, the GTM catalogue, and the Perception Capital schema. The three-pillar delivery model (train → develop → protect) maps to the 4P capital accumulation pathway (People → Prompt+Perception → Plant), providing the first implementation-level answer to how an agentic platform’s consulting arm should be structured for regulated-industry customers. The</w:t>
      </w:r>
      <w:r>
        <w:t xml:space="preserve"> </w:t>
      </w:r>
      <w:r>
        <w:t xml:space="preserve">“</w:t>
      </w:r>
      <w:r>
        <w:t xml:space="preserve">capability-not-role</w:t>
      </w:r>
      <w:r>
        <w:t xml:space="preserve">”</w:t>
      </w:r>
      <w:r>
        <w:t xml:space="preserve"> </w:t>
      </w:r>
      <w:r>
        <w:t xml:space="preserve">framing resolves the political tension between agent capability marketing and enterprise workforce sensitivities — a design pattern applicable to any B2B agentic platform selling into industries with co-determination obligations. Companion artefact:</w:t>
      </w:r>
      <w:r>
        <w:t xml:space="preserve"> </w:t>
      </w:r>
      <w:r>
        <w:rPr>
          <w:rStyle w:val="VerbatimChar"/>
        </w:rPr>
        <w:t xml:space="preserve">docs/KONSULTOINNIN_KASIKIRJA_2026.md</w:t>
      </w:r>
      <w:r>
        <w:t xml:space="preserve"> </w:t>
      </w:r>
      <w:r>
        <w:t xml:space="preserve">v1.5 (Consultant Handbook 2026, bilingual FI/EN).</w:t>
      </w:r>
    </w:p>
    <w:p>
      <w:r>
        <w:pict>
          <v:rect style="width:0;height:1.5pt" o:hralign="center" o:hrstd="t" o:hr="t"/>
        </w:pict>
      </w:r>
    </w:p>
    <w:p>
      <w:pPr>
        <w:pStyle w:val="FirstParagraph"/>
      </w:pPr>
      <w:r>
        <w:rPr>
          <w:bCs/>
          <w:b/>
        </w:rPr>
        <w:t xml:space="preserve">Document Information:</w:t>
      </w:r>
    </w:p>
    <w:p>
      <w:pPr>
        <w:pStyle w:val="BodyText"/>
      </w:pPr>
      <w:r>
        <w:rPr>
          <w:bCs/>
          <w:b/>
        </w:rPr>
        <w:t xml:space="preserve">Title:</w:t>
      </w:r>
      <w:r>
        <w:t xml:space="preserve"> </w:t>
      </w:r>
      <w:r>
        <w:t xml:space="preserve">Firehorse Product Manufacturing Operating Model: Hybrid AI-Edge Architecture for Climate-Intelligent Industrial Platforms</w:t>
      </w:r>
      <w:r>
        <w:t xml:space="preserve"> </w:t>
      </w:r>
      <w:r>
        <w:rPr>
          <w:bCs/>
          <w:b/>
        </w:rPr>
        <w:t xml:space="preserve">Author:</w:t>
      </w:r>
      <w:r>
        <w:t xml:space="preserve"> </w:t>
      </w:r>
      <w:r>
        <w:t xml:space="preserve">Risto Anton Päärni</w:t>
      </w:r>
      <w:r>
        <w:t xml:space="preserve"> </w:t>
      </w:r>
      <w:r>
        <w:rPr>
          <w:bCs/>
          <w:b/>
        </w:rPr>
        <w:t xml:space="preserve">Institution:</w:t>
      </w:r>
      <w:r>
        <w:t xml:space="preserve"> </w:t>
      </w:r>
      <w:r>
        <w:t xml:space="preserve">Metropolia University of Applied Sciences</w:t>
      </w:r>
      <w:r>
        <w:t xml:space="preserve"> </w:t>
      </w:r>
      <w:r>
        <w:rPr>
          <w:bCs/>
          <w:b/>
        </w:rPr>
        <w:t xml:space="preserve">Program:</w:t>
      </w:r>
      <w:r>
        <w:t xml:space="preserve"> </w:t>
      </w:r>
      <w:r>
        <w:t xml:space="preserve">Smart Factory, Master’s Degree (YAMK)</w:t>
      </w:r>
      <w:r>
        <w:t xml:space="preserve"> </w:t>
      </w:r>
      <w:r>
        <w:rPr>
          <w:bCs/>
          <w:b/>
        </w:rPr>
        <w:t xml:space="preserve">Supervisor:</w:t>
      </w:r>
      <w:r>
        <w:t xml:space="preserve"> </w:t>
      </w:r>
      <w:r>
        <w:t xml:space="preserve">Jarno Varteva (with Erkki Räsänen)</w:t>
      </w:r>
      <w:r>
        <w:t xml:space="preserve"> </w:t>
      </w:r>
      <w:r>
        <w:rPr>
          <w:bCs/>
          <w:b/>
        </w:rPr>
        <w:t xml:space="preserve">Company:</w:t>
      </w:r>
      <w:r>
        <w:t xml:space="preserve"> </w:t>
      </w:r>
      <w:r>
        <w:t xml:space="preserve">Lifetime Oy (Firehorse brand)</w:t>
      </w:r>
      <w:r>
        <w:t xml:space="preserve"> </w:t>
      </w:r>
      <w:r>
        <w:rPr>
          <w:bCs/>
          <w:b/>
        </w:rPr>
        <w:t xml:space="preserve">Status:</w:t>
      </w:r>
      <w:r>
        <w:t xml:space="preserve"> </w:t>
      </w:r>
      <w:r>
        <w:t xml:space="preserve">DRAFT - V3.72 (Capability Ontology and Three-Pillar Consulting GTM; Consultant Handbook 2026 as companion artefact)</w:t>
      </w:r>
      <w:r>
        <w:t xml:space="preserve"> </w:t>
      </w:r>
      <w:r>
        <w:rPr>
          <w:bCs/>
          <w:b/>
        </w:rPr>
        <w:t xml:space="preserve">Version:</w:t>
      </w:r>
      <w:r>
        <w:t xml:space="preserve"> </w:t>
      </w:r>
      <w:r>
        <w:t xml:space="preserve">3.72</w:t>
      </w:r>
      <w:r>
        <w:t xml:space="preserve"> </w:t>
      </w:r>
      <w:r>
        <w:rPr>
          <w:bCs/>
          <w:b/>
        </w:rPr>
        <w:t xml:space="preserve">Last Modified:</w:t>
      </w:r>
      <w:r>
        <w:t xml:space="preserve"> </w:t>
      </w:r>
      <w:r>
        <w:t xml:space="preserve">28.06.2026</w:t>
      </w:r>
      <w:r>
        <w:t xml:space="preserve"> </w:t>
      </w:r>
      <w:r>
        <w:rPr>
          <w:bCs/>
          <w:b/>
        </w:rPr>
        <w:t xml:space="preserve">V1.0 Release Target:</w:t>
      </w:r>
      <w:r>
        <w:t xml:space="preserve"> </w:t>
      </w:r>
      <w:r>
        <w:t xml:space="preserve">23 February 2026</w:t>
      </w:r>
    </w:p>
    <w:p>
      <w:pPr>
        <w:pStyle w:val="BodyText"/>
      </w:pPr>
      <w:r>
        <w:rPr>
          <w:bCs/>
          <w:b/>
        </w:rPr>
        <w:t xml:space="preserve">Languages:</w:t>
      </w:r>
      <w:r>
        <w:t xml:space="preserve"> </w:t>
      </w:r>
      <w:r>
        <w:t xml:space="preserve">English, Suomi</w:t>
      </w:r>
      <w:r>
        <w:t xml:space="preserve"> </w:t>
      </w:r>
      <w:r>
        <w:rPr>
          <w:bCs/>
          <w:b/>
        </w:rPr>
        <w:t xml:space="preserve">Related Documents:</w:t>
      </w:r>
    </w:p>
    <w:p>
      <w:pPr>
        <w:numPr>
          <w:ilvl w:val="0"/>
          <w:numId w:val="1115"/>
        </w:numPr>
        <w:pStyle w:val="Compact"/>
      </w:pPr>
      <w:hyperlink r:id="rId314">
        <w:r>
          <w:rPr>
            <w:rStyle w:val="Hyperlink"/>
          </w:rPr>
          <w:t xml:space="preserve">Finnish Version</w:t>
        </w:r>
      </w:hyperlink>
    </w:p>
    <w:p>
      <w:pPr>
        <w:numPr>
          <w:ilvl w:val="0"/>
          <w:numId w:val="1115"/>
        </w:numPr>
        <w:pStyle w:val="Compact"/>
      </w:pPr>
      <w:hyperlink r:id="rId315">
        <w:r>
          <w:rPr>
            <w:rStyle w:val="Hyperlink"/>
          </w:rPr>
          <w:t xml:space="preserve">Agent Signal Instructions</w:t>
        </w:r>
      </w:hyperlink>
    </w:p>
    <w:p>
      <w:pPr>
        <w:numPr>
          <w:ilvl w:val="0"/>
          <w:numId w:val="1115"/>
        </w:numPr>
        <w:pStyle w:val="Compact"/>
      </w:pPr>
      <w:hyperlink r:id="rId316">
        <w:r>
          <w:rPr>
            <w:rStyle w:val="Hyperlink"/>
          </w:rPr>
          <w:t xml:space="preserve">AgentFoundry Architecture</w:t>
        </w:r>
      </w:hyperlink>
    </w:p>
    <w:p>
      <w:pPr>
        <w:numPr>
          <w:ilvl w:val="0"/>
          <w:numId w:val="1115"/>
        </w:numPr>
        <w:pStyle w:val="Compact"/>
      </w:pPr>
      <w:hyperlink r:id="rId317">
        <w:r>
          <w:rPr>
            <w:rStyle w:val="Hyperlink"/>
          </w:rPr>
          <w:t xml:space="preserve">LWM Training Manual</w:t>
        </w:r>
      </w:hyperlink>
    </w:p>
    <w:p>
      <w:pPr>
        <w:numPr>
          <w:ilvl w:val="0"/>
          <w:numId w:val="1115"/>
        </w:numPr>
        <w:pStyle w:val="Compact"/>
      </w:pPr>
      <w:hyperlink r:id="rId318">
        <w:r>
          <w:rPr>
            <w:rStyle w:val="Hyperlink"/>
          </w:rPr>
          <w:t xml:space="preserve">System Administrator Manual</w:t>
        </w:r>
      </w:hyperlink>
    </w:p>
    <w:bookmarkEnd w:id="319"/>
    <w:bookmarkEnd w:id="320"/>
    <w:bookmarkStart w:id="321" w:name="X95b9ef3735812884c58a442b581b56a06aef0da"/>
    <w:p>
      <w:pPr>
        <w:pStyle w:val="Heading3"/>
      </w:pPr>
      <w:r>
        <w:t xml:space="preserve">10.26 Cryptographic Review of the Verified-Done Attestation Signing Path: Two Findings, and Falsification as a Test-Quality Gate</w:t>
      </w:r>
    </w:p>
    <w:p>
      <w:pPr>
        <w:pStyle w:val="FirstParagraph"/>
      </w:pPr>
      <w:r>
        <w:rPr>
          <w:bCs/>
          <w:b/>
        </w:rPr>
        <w:t xml:space="preserve">Implementation under review.</w:t>
      </w:r>
      <w:r>
        <w:t xml:space="preserve"> </w:t>
      </w:r>
      <w:r>
        <w:t xml:space="preserve">The verified-done attestation signing path (KYA §14.7.1) was implemented as</w:t>
      </w:r>
      <w:r>
        <w:t xml:space="preserve"> </w:t>
      </w:r>
      <w:r>
        <w:rPr>
          <w:rStyle w:val="VerbatimChar"/>
        </w:rPr>
        <w:t xml:space="preserve">src/identity/attestation-signing.ts</w:t>
      </w:r>
      <w:r>
        <w:t xml:space="preserve">, delivering EdDSA detached-JWS proofs over W3C Verifiable Credential attestations, with an accompanying store, issuance orchestration and evidence-chain writer. The suite carried 47 passing tests, a clean</w:t>
      </w:r>
      <w:r>
        <w:t xml:space="preserve"> </w:t>
      </w:r>
      <w:r>
        <w:rPr>
          <w:rStyle w:val="VerbatimChar"/>
        </w:rPr>
        <w:t xml:space="preserve">tsc --noEmit</w:t>
      </w:r>
      <w:r>
        <w:t xml:space="preserve">, and clean formatting. A deliberate dependency decision is recorded:</w:t>
      </w:r>
      <w:r>
        <w:t xml:space="preserve"> </w:t>
      </w:r>
      <w:r>
        <w:rPr>
          <w:bCs/>
          <w:b/>
        </w:rPr>
        <w:t xml:space="preserve">Ed25519 via Node’s built-in</w:t>
      </w:r>
      <w:r>
        <w:rPr>
          <w:bCs/>
          <w:b/>
        </w:rPr>
        <w:t xml:space="preserve"> </w:t>
      </w:r>
      <w:r>
        <w:rPr>
          <w:rStyle w:val="VerbatimChar"/>
          <w:bCs/>
          <w:b/>
        </w:rPr>
        <w:t xml:space="preserve">node:crypto</w:t>
      </w:r>
      <w:r>
        <w:rPr>
          <w:bCs/>
          <w:b/>
        </w:rPr>
        <w:t xml:space="preserve"> </w:t>
      </w:r>
      <w:r>
        <w:rPr>
          <w:bCs/>
          <w:b/>
        </w:rPr>
        <w:t xml:space="preserve">rather than the</w:t>
      </w:r>
      <w:r>
        <w:rPr>
          <w:bCs/>
          <w:b/>
        </w:rPr>
        <w:t xml:space="preserve"> </w:t>
      </w:r>
      <w:r>
        <w:rPr>
          <w:rStyle w:val="VerbatimChar"/>
          <w:bCs/>
          <w:b/>
        </w:rPr>
        <w:t xml:space="preserve">jose</w:t>
      </w:r>
      <w:r>
        <w:rPr>
          <w:bCs/>
          <w:b/>
        </w:rPr>
        <w:t xml:space="preserve"> </w:t>
      </w:r>
      <w:r>
        <w:rPr>
          <w:bCs/>
          <w:b/>
        </w:rPr>
        <w:t xml:space="preserve">library</w:t>
      </w:r>
      <w:r>
        <w:t xml:space="preserve">, on the reasoning that a product whose value proposition is a narrow trusted computing base should not widen that base with a third-party package in order to sign its own sovereignty claims.</w:t>
      </w:r>
    </w:p>
    <w:p>
      <w:pPr>
        <w:pStyle w:val="BodyText"/>
      </w:pPr>
      <w:r>
        <w:rPr>
          <w:bCs/>
          <w:b/>
        </w:rPr>
        <w:t xml:space="preserve">Finding F1 (HIGH) — the signature did not cover the proof options.</w:t>
      </w:r>
      <w:r>
        <w:t xml:space="preserve"> </w:t>
      </w:r>
      <w:r>
        <w:t xml:space="preserve">The signing-bytes function stripped the entire</w:t>
      </w:r>
      <w:r>
        <w:t xml:space="preserve"> </w:t>
      </w:r>
      <w:r>
        <w:rPr>
          <w:rStyle w:val="VerbatimChar"/>
        </w:rPr>
        <w:t xml:space="preserve">proof</w:t>
      </w:r>
      <w:r>
        <w:t xml:space="preserve"> </w:t>
      </w:r>
      <w:r>
        <w:t xml:space="preserve">block from the credential before signing. Consequently</w:t>
      </w:r>
      <w:r>
        <w:t xml:space="preserve"> </w:t>
      </w:r>
      <w:r>
        <w:rPr>
          <w:rStyle w:val="VerbatimChar"/>
        </w:rPr>
        <w:t xml:space="preserve">proof.created</w:t>
      </w:r>
      <w:r>
        <w:t xml:space="preserve">,</w:t>
      </w:r>
      <w:r>
        <w:t xml:space="preserve"> </w:t>
      </w:r>
      <w:r>
        <w:rPr>
          <w:rStyle w:val="VerbatimChar"/>
        </w:rPr>
        <w:t xml:space="preserve">proof.verificationMethod</w:t>
      </w:r>
      <w:r>
        <w:t xml:space="preserve">,</w:t>
      </w:r>
      <w:r>
        <w:t xml:space="preserve"> </w:t>
      </w:r>
      <w:r>
        <w:rPr>
          <w:rStyle w:val="VerbatimChar"/>
        </w:rPr>
        <w:t xml:space="preserve">proof.proofPurpose</w:t>
      </w:r>
      <w:r>
        <w:t xml:space="preserve"> </w:t>
      </w:r>
      <w:r>
        <w:t xml:space="preserve">and</w:t>
      </w:r>
      <w:r>
        <w:t xml:space="preserve"> </w:t>
      </w:r>
      <w:r>
        <w:rPr>
          <w:rStyle w:val="VerbatimChar"/>
        </w:rPr>
        <w:t xml:space="preserve">proof.type</w:t>
      </w:r>
      <w:r>
        <w:t xml:space="preserve"> </w:t>
      </w:r>
      <w:r>
        <w:t xml:space="preserve">could each be modified after signing and the credential would still verify. Two consequences follow directly:</w:t>
      </w:r>
    </w:p>
    <w:p>
      <w:pPr>
        <w:numPr>
          <w:ilvl w:val="0"/>
          <w:numId w:val="1116"/>
        </w:numPr>
        <w:pStyle w:val="Compact"/>
      </w:pPr>
      <w:r>
        <w:rPr>
          <w:bCs/>
          <w:b/>
        </w:rPr>
        <w:t xml:space="preserve">The timestamp of an EU AI Act Article 12 evidence artifact was unprotected.</w:t>
      </w:r>
      <w:r>
        <w:t xml:space="preserve"> </w:t>
      </w:r>
      <w:r>
        <w:t xml:space="preserve">An evidence record whose date can be altered without detection does not function as evidence.</w:t>
      </w:r>
    </w:p>
    <w:p>
      <w:pPr>
        <w:numPr>
          <w:ilvl w:val="0"/>
          <w:numId w:val="1116"/>
        </w:numPr>
        <w:pStyle w:val="Compact"/>
      </w:pPr>
      <w:r>
        <w:rPr>
          <w:bCs/>
          <w:b/>
        </w:rPr>
        <w:t xml:space="preserve">Trust-anchor selection from unsigned data.</w:t>
      </w:r>
      <w:r>
        <w:t xml:space="preserve"> </w:t>
      </w:r>
      <w:r>
        <w:t xml:space="preserve">The design specifies resolving the issuer key from a</w:t>
      </w:r>
      <w:r>
        <w:t xml:space="preserve"> </w:t>
      </w:r>
      <w:r>
        <w:rPr>
          <w:rStyle w:val="VerbatimChar"/>
        </w:rPr>
        <w:t xml:space="preserve">did:web</w:t>
      </w:r>
      <w:r>
        <w:t xml:space="preserve"> </w:t>
      </w:r>
      <w:r>
        <w:t xml:space="preserve">verification method. A verifier implementing that flow would read</w:t>
      </w:r>
      <w:r>
        <w:t xml:space="preserve"> </w:t>
      </w:r>
      <w:r>
        <w:rPr>
          <w:rStyle w:val="VerbatimChar"/>
        </w:rPr>
        <w:t xml:space="preserve">proof.verificationMethod</w:t>
      </w:r>
      <w:r>
        <w:t xml:space="preserve"> </w:t>
      </w:r>
      <w:r>
        <w:t xml:space="preserve">— an unsigned, modifiable field — to decide which key to trust. The signed</w:t>
      </w:r>
      <w:r>
        <w:t xml:space="preserve"> </w:t>
      </w:r>
      <w:r>
        <w:rPr>
          <w:rStyle w:val="VerbatimChar"/>
        </w:rPr>
        <w:t xml:space="preserve">issuer</w:t>
      </w:r>
      <w:r>
        <w:t xml:space="preserve"> </w:t>
      </w:r>
      <w:r>
        <w:t xml:space="preserve">field provides the defence, but neither the code nor its documentation required binding one to the other.</w:t>
      </w:r>
    </w:p>
    <w:p>
      <w:pPr>
        <w:pStyle w:val="FirstParagraph"/>
      </w:pPr>
      <w:r>
        <w:rPr>
          <w:bCs/>
          <w:b/>
        </w:rPr>
        <w:t xml:space="preserve">Root cause in test design, not in cryptographic knowledge.</w:t>
      </w:r>
      <w:r>
        <w:t xml:space="preserve"> </w:t>
      </w:r>
      <w:r>
        <w:t xml:space="preserve">The eight existing signing tests included a tamper case — but it tampered the credential</w:t>
      </w:r>
      <w:r>
        <w:t xml:space="preserve"> </w:t>
      </w:r>
      <w:r>
        <w:rPr>
          <w:iCs/>
          <w:i/>
        </w:rPr>
        <w:t xml:space="preserve">subject</w:t>
      </w:r>
      <w:r>
        <w:t xml:space="preserve">, which is inside the signed payload and therefore correctly rejected. No test tampered the</w:t>
      </w:r>
      <w:r>
        <w:t xml:space="preserve"> </w:t>
      </w:r>
      <w:r>
        <w:rPr>
          <w:iCs/>
          <w:i/>
        </w:rPr>
        <w:t xml:space="preserve">proof block</w:t>
      </w:r>
      <w:r>
        <w:t xml:space="preserve">, because such a test would have passed verification and failed its own assertion. The suite was well-constructed for the properties it tested and structurally blind to the defect.</w:t>
      </w:r>
    </w:p>
    <w:p>
      <w:pPr>
        <w:pStyle w:val="BodyText"/>
      </w:pPr>
      <w:r>
        <w:rPr>
          <w:bCs/>
          <w:b/>
        </w:rPr>
        <w:t xml:space="preserve">Remediation.</w:t>
      </w:r>
      <w:r>
        <w:t xml:space="preserve"> </w:t>
      </w:r>
      <w:r>
        <w:t xml:space="preserve">The proof options — every proof field except</w:t>
      </w:r>
      <w:r>
        <w:t xml:space="preserve"> </w:t>
      </w:r>
      <w:r>
        <w:rPr>
          <w:rStyle w:val="VerbatimChar"/>
        </w:rPr>
        <w:t xml:space="preserve">proofValue</w:t>
      </w:r>
      <w:r>
        <w:t xml:space="preserve"> </w:t>
      </w:r>
      <w:r>
        <w:t xml:space="preserve">— are now bound into the canonical signing payload on both the signing and verifying paths, following the W3C Data Integrity pattern of canonicalising proof options together with the document. Any post-signing modification of the proof metadata now alters the payload and fails the signature.</w:t>
      </w:r>
    </w:p>
    <w:p>
      <w:pPr>
        <w:pStyle w:val="BodyText"/>
      </w:pPr>
      <w:r>
        <w:rPr>
          <w:bCs/>
          <w:b/>
        </w:rPr>
        <w:t xml:space="preserve">Finding F3 (MEDIUM) — key-type assertion.</w:t>
      </w:r>
      <w:r>
        <w:t xml:space="preserve"> </w:t>
      </w:r>
      <w:r>
        <w:t xml:space="preserve">The environment loader accepted any private key PEM; a non-Ed25519 key loaded successfully and failed later inside the signing call with an opaque error, while the JOSE header had already asserted</w:t>
      </w:r>
      <w:r>
        <w:t xml:space="preserve"> </w:t>
      </w:r>
      <w:r>
        <w:rPr>
          <w:rStyle w:val="VerbatimChar"/>
        </w:rPr>
        <w:t xml:space="preserve">alg: 'EdDSA'</w:t>
      </w:r>
      <w:r>
        <w:t xml:space="preserve">. The loader now asserts</w:t>
      </w:r>
      <w:r>
        <w:t xml:space="preserve"> </w:t>
      </w:r>
      <w:r>
        <w:rPr>
          <w:rStyle w:val="VerbatimChar"/>
        </w:rPr>
        <w:t xml:space="preserve">asymmetricKeyType === 'ed25519'</w:t>
      </w:r>
      <w:r>
        <w:t xml:space="preserve"> </w:t>
      </w:r>
      <w:r>
        <w:t xml:space="preserve">and throws. The asymmetry is deliberate and follows the fail-loud discipline: an</w:t>
      </w:r>
      <w:r>
        <w:t xml:space="preserve"> </w:t>
      </w:r>
      <w:r>
        <w:rPr>
          <w:bCs/>
          <w:b/>
        </w:rPr>
        <w:t xml:space="preserve">unconfigured</w:t>
      </w:r>
      <w:r>
        <w:t xml:space="preserve"> </w:t>
      </w:r>
      <w:r>
        <w:t xml:space="preserve">signer returns</w:t>
      </w:r>
      <w:r>
        <w:t xml:space="preserve"> </w:t>
      </w:r>
      <w:r>
        <w:rPr>
          <w:rStyle w:val="VerbatimChar"/>
        </w:rPr>
        <w:t xml:space="preserve">null</w:t>
      </w:r>
      <w:r>
        <w:t xml:space="preserve">, leaving the unsigned path valid, whereas a</w:t>
      </w:r>
      <w:r>
        <w:t xml:space="preserve"> </w:t>
      </w:r>
      <w:r>
        <w:rPr>
          <w:bCs/>
          <w:b/>
        </w:rPr>
        <w:t xml:space="preserve">misconfigured</w:t>
      </w:r>
      <w:r>
        <w:t xml:space="preserve"> </w:t>
      </w:r>
      <w:r>
        <w:t xml:space="preserve">signer raises. Configuration absence is a state; configuration error is a fault.</w:t>
      </w:r>
    </w:p>
    <w:p>
      <w:pPr>
        <w:pStyle w:val="BodyText"/>
      </w:pPr>
      <w:r>
        <w:rPr>
          <w:bCs/>
          <w:b/>
        </w:rPr>
        <w:t xml:space="preserve">Methodological contribution — falsification as a test-quality gate.</w:t>
      </w:r>
      <w:r>
        <w:t xml:space="preserve"> </w:t>
      </w:r>
      <w:r>
        <w:t xml:space="preserve">The four regression tests added with the fix were not accepted on the basis that they passed. The corrected source was reverted, the suite re-run, and the four new tests</w:t>
      </w:r>
      <w:r>
        <w:t xml:space="preserve"> </w:t>
      </w:r>
      <w:r>
        <w:rPr>
          <w:bCs/>
          <w:b/>
        </w:rPr>
        <w:t xml:space="preserve">confirmed to fail against the original defective implementation</w:t>
      </w:r>
      <w:r>
        <w:t xml:space="preserve"> </w:t>
      </w:r>
      <w:r>
        <w:t xml:space="preserve">before being accepted; the eight pre-existing signing tests passed in</w:t>
      </w:r>
      <w:r>
        <w:t xml:space="preserve"> </w:t>
      </w:r>
      <w:r>
        <w:rPr>
          <w:iCs/>
          <w:i/>
        </w:rPr>
        <w:t xml:space="preserve">both</w:t>
      </w:r>
      <w:r>
        <w:t xml:space="preserve"> </w:t>
      </w:r>
      <w:r>
        <w:t xml:space="preserve">states. This yields a generalisable engineering criterion:</w:t>
      </w:r>
      <w:r>
        <w:t xml:space="preserve"> </w:t>
      </w:r>
      <w:r>
        <w:rPr>
          <w:bCs/>
          <w:b/>
        </w:rPr>
        <w:t xml:space="preserve">a test that passes both before and after a fix carries no information about that fix.</w:t>
      </w:r>
      <w:r>
        <w:t xml:space="preserve"> </w:t>
      </w:r>
      <w:r>
        <w:t xml:space="preserve">Applied as a gate, it distinguishes regression tests from decorative ones, and in this case it supplied the empirical explanation for why a competent 47-test suite failed to detect a high-severity flaw. Final state: 51 tests passing, type-check and formatting clean.</w:t>
      </w:r>
    </w:p>
    <w:p>
      <w:pPr>
        <w:pStyle w:val="BodyText"/>
      </w:pPr>
      <w:r>
        <w:rPr>
          <w:bCs/>
          <w:b/>
        </w:rPr>
        <w:t xml:space="preserve">Related implementation finding.</w:t>
      </w:r>
      <w:r>
        <w:t xml:space="preserve"> </w:t>
      </w:r>
      <w:r>
        <w:t xml:space="preserve">Review of the attestation storage schema showed the credential record anchored to the accountable human with no tenant column, while the mandate evidence table carried a nullable organisation identifier. The portable record constituting an agent’s track record was therefore bound to an individual rather than to the organisation on whose authority and data it was earned, so trust history would not survive personnel departure. Because signing makes a record durable, correcting the anchor was sequenced as a</w:t>
      </w:r>
      <w:r>
        <w:t xml:space="preserve"> </w:t>
      </w:r>
      <w:r>
        <w:rPr>
          <w:bCs/>
          <w:b/>
        </w:rPr>
        <w:t xml:space="preserve">precondition to enabling signatures</w:t>
      </w:r>
      <w:r>
        <w:t xml:space="preserve"> </w:t>
      </w:r>
      <w:r>
        <w:t xml:space="preserve">rather than as parallel work: signing a mis-anchored attestation converts a repairable schema defect into a permanent one.</w:t>
      </w:r>
    </w:p>
    <w:p>
      <w:pPr>
        <w:pStyle w:val="BodyText"/>
      </w:pPr>
      <w:r>
        <w:rPr>
          <w:bCs/>
          <w:b/>
        </w:rPr>
        <w:t xml:space="preserve">Key Contributions:</w:t>
      </w:r>
    </w:p>
    <w:p>
      <w:pPr>
        <w:numPr>
          <w:ilvl w:val="0"/>
          <w:numId w:val="1117"/>
        </w:numPr>
        <w:pStyle w:val="Compact"/>
      </w:pPr>
      <w:r>
        <w:t xml:space="preserve">Lifetime Scope Signals Protocol — Novel multi-agent coordination framework</w:t>
      </w:r>
    </w:p>
    <w:p>
      <w:pPr>
        <w:numPr>
          <w:ilvl w:val="0"/>
          <w:numId w:val="1117"/>
        </w:numPr>
        <w:pStyle w:val="Compact"/>
      </w:pPr>
      <w:r>
        <w:t xml:space="preserve">Solution Factory Model — Replicable industrial AI platform blueprint</w:t>
      </w:r>
    </w:p>
    <w:p>
      <w:pPr>
        <w:numPr>
          <w:ilvl w:val="0"/>
          <w:numId w:val="1117"/>
        </w:numPr>
        <w:pStyle w:val="Compact"/>
      </w:pPr>
      <w:r>
        <w:t xml:space="preserve">AI-Assisted Development — Cursor Pro and Claude Code Max enabling rapid 15-week MVP</w:t>
      </w:r>
    </w:p>
    <w:p>
      <w:pPr>
        <w:numPr>
          <w:ilvl w:val="0"/>
          <w:numId w:val="1117"/>
        </w:numPr>
        <w:pStyle w:val="Compact"/>
      </w:pPr>
      <w:r>
        <w:t xml:space="preserve">Phased Deployment Framework — Building trust for AI in regulated industries</w:t>
      </w:r>
    </w:p>
    <w:p>
      <w:pPr>
        <w:numPr>
          <w:ilvl w:val="0"/>
          <w:numId w:val="1117"/>
        </w:numPr>
        <w:pStyle w:val="Compact"/>
      </w:pPr>
      <w:r>
        <w:t xml:space="preserve">DWS10.com E-Commerce Validation — Google Merchant Center + Revolut Business</w:t>
      </w:r>
    </w:p>
    <w:p>
      <w:pPr>
        <w:numPr>
          <w:ilvl w:val="0"/>
          <w:numId w:val="1117"/>
        </w:numPr>
        <w:pStyle w:val="Compact"/>
      </w:pPr>
      <w:r>
        <w:t xml:space="preserve">HIL Learning Pipeline — Daily human-AI feedback loop</w:t>
      </w:r>
    </w:p>
    <w:p>
      <w:pPr>
        <w:numPr>
          <w:ilvl w:val="0"/>
          <w:numId w:val="1117"/>
        </w:numPr>
        <w:pStyle w:val="Compact"/>
      </w:pPr>
      <w:r>
        <w:t xml:space="preserve">Automated PR Workflow — Dual-model AI review replacing manual code review</w:t>
      </w:r>
    </w:p>
    <w:p>
      <w:pPr>
        <w:numPr>
          <w:ilvl w:val="0"/>
          <w:numId w:val="1117"/>
        </w:numPr>
        <w:pStyle w:val="Compact"/>
      </w:pPr>
      <w:r>
        <w:t xml:space="preserve">DWS7 Agent Modernization — Agentic loops, tool use, MCP server, Build for Agents principle</w:t>
      </w:r>
    </w:p>
    <w:p>
      <w:pPr>
        <w:numPr>
          <w:ilvl w:val="0"/>
          <w:numId w:val="1117"/>
        </w:numPr>
        <w:pStyle w:val="Compact"/>
      </w:pPr>
      <w:r>
        <w:t xml:space="preserve">OpenSandbox Edge Integration — Stage 1.5 agent sandboxing on Acer Veriton GN100; EMPO² agent memory alignment (arXiv:2602.23008)</w:t>
      </w:r>
    </w:p>
    <w:p>
      <w:pPr>
        <w:numPr>
          <w:ilvl w:val="0"/>
          <w:numId w:val="1117"/>
        </w:numPr>
        <w:pStyle w:val="Compact"/>
      </w:pPr>
      <w:r>
        <w:t xml:space="preserve">CEO Automation Agent Suite — Captain Briefing, LinkedIn Scheduler, EU Regulation Monitor; validates Solution Factory replicability for revenue-critical workflows</w:t>
      </w:r>
    </w:p>
    <w:p>
      <w:pPr>
        <w:numPr>
          <w:ilvl w:val="0"/>
          <w:numId w:val="1117"/>
        </w:numPr>
        <w:pStyle w:val="Compact"/>
      </w:pPr>
      <w:r>
        <w:t xml:space="preserve">Multi-Partner AI Ecosystem — NVIDIA, Siemens, ABB, xAI, Mistral; multi-LLM router resolving EU AI Act sovereignty tension in practice</w:t>
      </w:r>
    </w:p>
    <w:p>
      <w:pPr>
        <w:numPr>
          <w:ilvl w:val="0"/>
          <w:numId w:val="1117"/>
        </w:numPr>
        <w:pStyle w:val="Compact"/>
      </w:pPr>
      <w:r>
        <w:t xml:space="preserve">Climate IQ Pantheon — 13-agent Greek/Roman god system (6 orchestrators + 7 industry specialists) with SOUL.md identity pattern, prompt injection security, EU AI Act Article 12 logging, and marketing wedge personas</w:t>
      </w:r>
    </w:p>
    <w:p>
      <w:pPr>
        <w:numPr>
          <w:ilvl w:val="0"/>
          <w:numId w:val="1117"/>
        </w:numPr>
        <w:pStyle w:val="Compact"/>
      </w:pPr>
      <w:r>
        <w:t xml:space="preserve">Claude Code Engineering Structure — CLAUDE.md as project memory, Skills as reusable workflow components, Hooks for automated quality enforcement; demonstrates AI workflow design as software engineering discipline</w:t>
      </w:r>
    </w:p>
    <w:p>
      <w:pPr>
        <w:numPr>
          <w:ilvl w:val="0"/>
          <w:numId w:val="1117"/>
        </w:numPr>
        <w:pStyle w:val="Compact"/>
      </w:pPr>
      <w:r>
        <w:t xml:space="preserve">Learn Thinking — Reflective learning framework: thesis as living document, daily Learn/ folder reflection loop, extension of Build-Measure-Learn cycle for AI-assisted product development</w:t>
      </w:r>
    </w:p>
    <w:p>
      <w:pPr>
        <w:numPr>
          <w:ilvl w:val="0"/>
          <w:numId w:val="1117"/>
        </w:numPr>
        <w:pStyle w:val="Compact"/>
      </w:pPr>
      <w:r>
        <w:t xml:space="preserve">MCP Hub Orchestration + Three-Interface Rule — Four production workflow patterns (Fan-Out, Sequential, Reflection, Pipeline) with documented endpoints; Skills/CLI as mandatory agent interfaces ensuring every agent is accessible to humans, AI systems, and development workflows</w:t>
      </w:r>
    </w:p>
    <w:p>
      <w:pPr>
        <w:numPr>
          <w:ilvl w:val="0"/>
          <w:numId w:val="1117"/>
        </w:numPr>
        <w:pStyle w:val="Compact"/>
      </w:pPr>
      <w:r>
        <w:t xml:space="preserve">Customer-Facing MVP Features — Three production features transitioning DWS IQ from developer tooling to customer-ready SaaS: (a) Self-service API Key Management with SHA-256 hashing and scope-based access, (b) Usage Metering with 3-tier billing enforcement (Free/Pro/Enterprise) and dashboard progress bars, (c) Compliance Report Export with CSV/JSON download and recurring schedule support. Validates Solution Factory productization hypothesis — platform is market-ready for regulated EU industries</w:t>
      </w:r>
    </w:p>
    <w:p>
      <w:pPr>
        <w:numPr>
          <w:ilvl w:val="0"/>
          <w:numId w:val="1117"/>
        </w:numPr>
        <w:pStyle w:val="Compact"/>
      </w:pPr>
      <w:r>
        <w:t xml:space="preserve">Agent System Hardening — Production reliability restoration: 6 TypeScript compilation errors fixed across 5 subsystems, SandboxContext type alignment, MCP/HIL route wiring, locale-deterministic number formatting, dependency hygiene; demonstrates integration debt patterns in multi-agent systems</w:t>
      </w:r>
    </w:p>
    <w:p>
      <w:pPr>
        <w:numPr>
          <w:ilvl w:val="0"/>
          <w:numId w:val="1117"/>
        </w:numPr>
        <w:pStyle w:val="Compact"/>
      </w:pPr>
      <w:r>
        <w:t xml:space="preserve">PostgreSQL Columnar HTAP Architecture — Single-database HTAP via pg_duckdb + TimescaleDB on Aiven EU; DWS Data Standard creation governing storage engines, extension registry, retention policies, and EU regulatory compliance (GDPR, EU AI Act Art 12, NIS2, CSRD, EU Data Act); 4-phase rollout from table partitioning to lakehouse integration</w:t>
      </w:r>
    </w:p>
    <w:p>
      <w:pPr>
        <w:numPr>
          <w:ilvl w:val="0"/>
          <w:numId w:val="1117"/>
        </w:numPr>
        <w:pStyle w:val="Compact"/>
      </w:pPr>
      <w:r>
        <w:t xml:space="preserve">Two-Tier HTAP Architecture — Aiven-first mandate locks TimescaleDB 2.25.x Hypercore as approved standard for managed production (10-100× analytics, 98% compression); pg_duckdb (50-600× OLAP) relegated to edge device only due to Aiven whitelist; GN100 edge PostgreSQL deployed with full extension stack for ad-hoc analytics</w:t>
      </w:r>
    </w:p>
    <w:p>
      <w:pPr>
        <w:numPr>
          <w:ilvl w:val="0"/>
          <w:numId w:val="1117"/>
        </w:numPr>
        <w:pStyle w:val="Compact"/>
      </w:pPr>
      <w:r>
        <w:t xml:space="preserve">Harness Engineering — Analysis of OpenAI’s 8 harness engineering principles against DWS IQ 6 architecture; empirical finding that harness improvements alone yield 52.8%→66.5% benchmark gains (model unchanged); DWS’s L0-L6 six-layer architecture as formal harness framework; EU regulation requires fundamentally different harness (traceability + human-in-the-loop vs Silicon Valley speed optimization)</w:t>
      </w:r>
    </w:p>
    <w:p>
      <w:pPr>
        <w:numPr>
          <w:ilvl w:val="0"/>
          <w:numId w:val="1117"/>
        </w:numPr>
        <w:pStyle w:val="Compact"/>
      </w:pPr>
      <w:r>
        <w:t xml:space="preserve">Carbon Balance Sheet — Conclusion that EU climate compliance (ETS, CBAM, CSRD, Taxonomy) is structurally isomorphic to financial accounting; double-entry bookkeeping for CO2 with dual-unit entries (EUR + tCO2e); cross-regulation reconciliation via shared ledger entries; cross-vertical intelligence thesis (multi-industry ledger produces emergent data no single-vertical tool can replicate); DWS 7 Phase 2.6 implementation plan (8 PRs, persistent ledger, CFO dashboard, ERP GL sync, XBRL export)</w:t>
      </w:r>
    </w:p>
    <w:p>
      <w:pPr>
        <w:numPr>
          <w:ilvl w:val="0"/>
          <w:numId w:val="1117"/>
        </w:numPr>
        <w:pStyle w:val="Compact"/>
      </w:pPr>
      <w:r>
        <w:t xml:space="preserve">LWM Sequencing Strategy — Three-phase sequencing (compliance→fleet→Series A) resolving investor narrative contradictions; LeWorldModel (arXiv:2603.19312) external validation of JEPA world models; Phase 2 technical gap analysis identifying three unsolved problems (input modality, scale, regulatory-physical integration); compliance-first world model thesis (compliance data feeds physical planning, not the reverse); Persefoni/Sweep market comparables positioning EUR 3.8M cap below carbon SaaS benchmarks</w:t>
      </w:r>
    </w:p>
    <w:p>
      <w:pPr>
        <w:numPr>
          <w:ilvl w:val="0"/>
          <w:numId w:val="1117"/>
        </w:numPr>
        <w:pStyle w:val="Compact"/>
      </w:pPr>
      <w:r>
        <w:t xml:space="preserve">Domain-Specific vs Generic AI Harness — Competitive analysis against everything-claude-code (120k stars, 136 skills); six differentiators documented (domain specificity, six-layer architecture, hard gates, trust boundary zones, gstack workflow, agent-first product rule); token budget analysis demonstrating depth outperforms breadth for regulated domains; skills inventory growth from 6 to 21 production skills with 4 blocking discipline gates; validates harness engineering thesis (Section 10.16)</w:t>
      </w:r>
    </w:p>
    <w:p>
      <w:pPr>
        <w:numPr>
          <w:ilvl w:val="0"/>
          <w:numId w:val="1117"/>
        </w:numPr>
        <w:pStyle w:val="Compact"/>
      </w:pPr>
      <w:r>
        <w:t xml:space="preserve">Thesis Versioning Strategy — Dual-version architecture: v3.30.50 frozen 50-page Metropolia outgoing + 82-page living document continues; demonstrates practical solution for AI-assisted academic writing where research velocity exceeds submission format constraints; preserves full research lineage while meeting institutional requirements</w:t>
      </w:r>
    </w:p>
    <w:p>
      <w:pPr>
        <w:numPr>
          <w:ilvl w:val="0"/>
          <w:numId w:val="1117"/>
        </w:numPr>
        <w:pStyle w:val="Compact"/>
      </w:pPr>
      <w:r>
        <w:t xml:space="preserve">Skills Paradigm Validated by Industry Consensus — Anthropic’s 2026-04-16</w:t>
      </w:r>
      <w:r>
        <w:t xml:space="preserve"> </w:t>
      </w:r>
      <w:r>
        <w:t xml:space="preserve">“</w:t>
      </w:r>
      <w:r>
        <w:t xml:space="preserve">Stop Building Agents, Start Building Skills</w:t>
      </w:r>
      <w:r>
        <w:t xml:space="preserve">”</w:t>
      </w:r>
      <w:r>
        <w:t xml:space="preserve"> </w:t>
      </w:r>
      <w:r>
        <w:t xml:space="preserve">essay externally validates the skill-first architecture (§10.13) and the domain-specific-over-generic harness argument (§10.13.7); 24+ production skills with 4 discipline gates now represent industry consensus rather than a DWS-specific bet</w:t>
      </w:r>
    </w:p>
    <w:p>
      <w:pPr>
        <w:numPr>
          <w:ilvl w:val="0"/>
          <w:numId w:val="1117"/>
        </w:numPr>
        <w:pStyle w:val="Compact"/>
      </w:pPr>
      <w:r>
        <w:t xml:space="preserve">Lifetime Fleet Crystallization — Brain-Memory-Body-Hands stack is testable end-to-end: Finland Drone Strategy 2030 alignment + Baltic-first 12–16 week MVP graduate the</w:t>
      </w:r>
      <w:r>
        <w:t xml:space="preserve"> </w:t>
      </w:r>
      <w:r>
        <w:t xml:space="preserve">“</w:t>
      </w:r>
      <w:r>
        <w:t xml:space="preserve">Hands</w:t>
      </w:r>
      <w:r>
        <w:t xml:space="preserve">”</w:t>
      </w:r>
      <w:r>
        <w:t xml:space="preserve"> </w:t>
      </w:r>
      <w:r>
        <w:t xml:space="preserve">layer from specification to concrete hardware timeline with full reuse of KYA/Aegis/Firehorse governance; compliance-first world-model thesis (§10.18) becomes a near-term engineering milestone</w:t>
      </w:r>
    </w:p>
    <w:p>
      <w:pPr>
        <w:numPr>
          <w:ilvl w:val="0"/>
          <w:numId w:val="1117"/>
        </w:numPr>
        <w:pStyle w:val="Compact"/>
      </w:pPr>
      <w:r>
        <w:t xml:space="preserve">22nd Industry via Green Hydrogen Additionality — DWS IQ 7 Datacentre Compliance Agent applies RFNBO Delegated Regulation 2023/1184 (additionality, temporal correlation, geographical correlation) to Finnish datacentres; extends double-entry carbon ledger (§10.17) to data-intensive services and adds NIS2 + CER coverage alongside climate regulation — the first cross-domain extension of platform regulatory scope</w:t>
      </w:r>
    </w:p>
    <w:p>
      <w:pPr>
        <w:numPr>
          <w:ilvl w:val="0"/>
          <w:numId w:val="1117"/>
        </w:numPr>
        <w:pStyle w:val="Compact"/>
      </w:pPr>
      <w:r>
        <w:t xml:space="preserve">Founder→Team Transition as Platform Feature — SOLO_FOUNDER_STATEMENT v1.2 + Anthony Maurin CTO co-builder sequencing +</w:t>
      </w:r>
      <w:r>
        <w:t xml:space="preserve"> </w:t>
      </w:r>
      <w:r>
        <w:rPr>
          <w:rStyle w:val="VerbatimChar"/>
        </w:rPr>
        <w:t xml:space="preserve">/investor-outreach</w:t>
      </w:r>
      <w:r>
        <w:t xml:space="preserve"> </w:t>
      </w:r>
      <w:r>
        <w:t xml:space="preserve">skill (10+ INTRO notes drafted) make investor outreach a reproducible DWS IQ workflow rather than tacit founder knowledge; validates the platform’s own solution-factory claim</w:t>
      </w:r>
    </w:p>
    <w:p>
      <w:pPr>
        <w:numPr>
          <w:ilvl w:val="0"/>
          <w:numId w:val="1117"/>
        </w:numPr>
        <w:pStyle w:val="Compact"/>
      </w:pPr>
      <w:r>
        <w:t xml:space="preserve">KYA Agentic AI Foundation Targeting with Dual-Use Expansion — KYA is elevated toward a general foundational standard for agent trust/governance; DWS 7 is framed as the empirical environment unifying hydrogen-economy continuity (DWS 5 -&gt; DWS 7), sovereignty segmentation (Aegis/Sovereign Infra/Connect), Nokia Defence dual-use track, and Siemens/NVIDIA Connect collaboration anchors</w:t>
      </w:r>
    </w:p>
    <w:p>
      <w:pPr>
        <w:numPr>
          <w:ilvl w:val="0"/>
          <w:numId w:val="1117"/>
        </w:numPr>
        <w:pStyle w:val="Compact"/>
      </w:pPr>
      <w:r>
        <w:t xml:space="preserve">KYA Open-Source Standard Path with Article 1 Lock — explicit standardization route added (Agentic AI Foundation / Linux Foundation), NIST path status recorded (not submitted), and 2026-2029 publication phasing integrated with EIC Step 1 communication assets</w:t>
      </w:r>
    </w:p>
    <w:p>
      <w:pPr>
        <w:numPr>
          <w:ilvl w:val="0"/>
          <w:numId w:val="1117"/>
        </w:numPr>
        <w:pStyle w:val="Compact"/>
      </w:pPr>
      <w:r>
        <w:t xml:space="preserve">Three-Tier Skilled Taxonomy — brand / specification / UI taxonomy (Skilled / Industrial Specialist / Industry) as design pattern for EU-regulated agent platforms; monotone</w:t>
      </w:r>
      <w:r>
        <w:t xml:space="preserve"> </w:t>
      </w:r>
      <w:r>
        <w:rPr>
          <w:rStyle w:val="VerbatimChar"/>
        </w:rPr>
        <w:t xml:space="preserve">Skilled &lt;Axis&gt;</w:t>
      </w:r>
      <w:r>
        <w:t xml:space="preserve"> </w:t>
      </w:r>
      <w:r>
        <w:t xml:space="preserve">pattern across agents, workflows, jurisdictions</w:t>
      </w:r>
    </w:p>
    <w:p>
      <w:pPr>
        <w:numPr>
          <w:ilvl w:val="0"/>
          <w:numId w:val="1117"/>
        </w:numPr>
        <w:pStyle w:val="Compact"/>
      </w:pPr>
      <w:r>
        <w:t xml:space="preserve">Three-Capital Accumulation Model — Implementation evidence from 7-month HIL phase: token capital (30+ skills, 150+ field notes, 50-agent foundry), human capital (pattern recognition, calibration), Control Room capital (thresholds, Article 12 audit); defines HIL → HIC transition</w:t>
      </w:r>
    </w:p>
    <w:p>
      <w:pPr>
        <w:numPr>
          <w:ilvl w:val="0"/>
          <w:numId w:val="1117"/>
        </w:numPr>
        <w:pStyle w:val="Compact"/>
      </w:pPr>
      <w:r>
        <w:t xml:space="preserve">Four-Capital (4P) Architecture Mapping — Prompt, People, Plant, Perception mapped to DWS IQ 6 Brain-Memory-Body-Hands; GTM land-and-expand pattern from Perception Capital accumulation</w:t>
      </w:r>
    </w:p>
    <w:p>
      <w:pPr>
        <w:numPr>
          <w:ilvl w:val="0"/>
          <w:numId w:val="1117"/>
        </w:numPr>
        <w:pStyle w:val="Compact"/>
      </w:pPr>
      <w:r>
        <w:t xml:space="preserve">Capability Ontology and Three-Pillar Consulting GTM — 10 LWM knowledge graph classes organising 80+ agent capabilities; three-pillar delivery model (train → develop → protect) mapping to 4P capital pathway;</w:t>
      </w:r>
      <w:r>
        <w:t xml:space="preserve"> </w:t>
      </w:r>
      <w:r>
        <w:t xml:space="preserve">“</w:t>
      </w:r>
      <w:r>
        <w:t xml:space="preserve">capability-not-role</w:t>
      </w:r>
      <w:r>
        <w:t xml:space="preserve">”</w:t>
      </w:r>
      <w:r>
        <w:t xml:space="preserve"> </w:t>
      </w:r>
      <w:r>
        <w:t xml:space="preserve">framing for B2B agentic platforms; companion artefact:</w:t>
      </w:r>
      <w:r>
        <w:t xml:space="preserve"> </w:t>
      </w:r>
      <w:r>
        <w:rPr>
          <w:rStyle w:val="VerbatimChar"/>
        </w:rPr>
        <w:t xml:space="preserve">docs/KONSULTOINNIN_KASIKIRJA_2026.md</w:t>
      </w:r>
      <w:r>
        <w:t xml:space="preserve"> </w:t>
      </w:r>
      <w:r>
        <w:t xml:space="preserve">v1.5</w:t>
      </w:r>
    </w:p>
    <w:p>
      <w:pPr>
        <w:pStyle w:val="FirstParagraph"/>
      </w:pPr>
      <w:r>
        <w:rPr>
          <w:bCs/>
          <w:b/>
        </w:rPr>
        <w:t xml:space="preserve">License:</w:t>
      </w:r>
      <w:r>
        <w:t xml:space="preserve"> </w:t>
      </w:r>
      <w:r>
        <w:t xml:space="preserve">Proprietary - Lifetime Oy</w:t>
      </w:r>
      <w:r>
        <w:t xml:space="preserve"> </w:t>
      </w:r>
      <w:r>
        <w:rPr>
          <w:bCs/>
          <w:b/>
        </w:rPr>
        <w:t xml:space="preserve">Contact:</w:t>
      </w:r>
      <w:r>
        <w:t xml:space="preserve"> </w:t>
      </w:r>
      <w:r>
        <w:t xml:space="preserve">risto@lifetime.fi</w:t>
      </w:r>
    </w:p>
    <w:p>
      <w:r>
        <w:pict>
          <v:rect style="width:0;height:1.5pt" o:hralign="center" o:hrstd="t" o:hr="t"/>
        </w:pict>
      </w:r>
    </w:p>
    <w:bookmarkEnd w:id="321"/>
    <w:bookmarkEnd w:id="322"/>
    <w:bookmarkStart w:id="357" w:name="X59a2e25a4123114666acfc8d83777fc16ea9645"/>
    <w:p>
      <w:pPr>
        <w:pStyle w:val="Heading2"/>
      </w:pPr>
      <w:r>
        <w:t xml:space="preserve">Bibliography (Oxford Notes-Bibliography Style) — v3.61</w:t>
      </w:r>
    </w:p>
    <w:p>
      <w:pPr>
        <w:pStyle w:val="FirstParagraph"/>
      </w:pPr>
      <w:r>
        <w:t xml:space="preserve">Added in v3.61 (28.05.2026) to enumerate the canonical sources cited by the chapters of this master’s thesis. Citation style is Oxford notes-bibliography: each footnote</w:t>
      </w:r>
      <w:r>
        <w:t xml:space="preserve"> </w:t>
      </w:r>
      <w:r>
        <w:rPr>
          <w:rStyle w:val="VerbatimChar"/>
        </w:rPr>
        <w:t xml:space="preserve">[^N]</w:t>
      </w:r>
      <w:r>
        <w:t xml:space="preserve"> </w:t>
      </w:r>
      <w:r>
        <w:t xml:space="preserve">denotes one source; the chapter index that follows the list shows which chapter relies on which footnote. Chapters not listed in the index do not cite these sources.</w:t>
      </w:r>
    </w:p>
    <w:bookmarkStart w:id="348" w:name="chapter-by-chapter-reference-index"/>
    <w:p>
      <w:pPr>
        <w:pStyle w:val="Heading3"/>
      </w:pPr>
      <w:r>
        <w:t xml:space="preserve">Chapter-by-chapter reference index</w:t>
      </w:r>
    </w:p>
    <w:p>
      <w:pPr>
        <w:pStyle w:val="BlockText"/>
      </w:pPr>
      <w:r>
        <w:rPr>
          <w:bCs/>
          <w:b/>
        </w:rPr>
        <w:t xml:space="preserve">Referenced sources by chapter.</w:t>
      </w:r>
      <w:r>
        <w:t xml:space="preserve"> </w:t>
      </w:r>
      <w:r>
        <w:t xml:space="preserve">Chapters relying on one or more of the footnotes below are listed here so the reader can resolve every in-text reference without scanning the full document.</w:t>
      </w:r>
    </w:p>
    <w:tbl>
      <w:tblPr>
        <w:tblStyle w:val="Table"/>
        <w:tblW w:type="pct" w:w="5000"/>
        <w:tblLook w:firstRow="1" w:lastRow="0" w:firstColumn="0" w:lastColumn="0" w:noHBand="0" w:noVBand="0" w:val="0020"/>
        <w:jc w:val="start"/>
      </w:tblPr>
      <w:tblGrid>
        <w:gridCol w:w="4889"/>
        <w:gridCol w:w="3030"/>
      </w:tblGrid>
      <w:tr>
        <w:trPr>
          <w:tblHeader w:val="true"/>
        </w:trPr>
        <w:tc>
          <w:tcPr/>
          <w:p>
            <w:pPr>
              <w:pStyle w:val="Compact"/>
              <w:jc w:val="left"/>
            </w:pPr>
            <w:r>
              <w:t xml:space="preserve">Chapter</w:t>
            </w:r>
          </w:p>
        </w:tc>
        <w:tc>
          <w:tcPr/>
          <w:p>
            <w:pPr>
              <w:pStyle w:val="Compact"/>
              <w:jc w:val="left"/>
            </w:pPr>
            <w:r>
              <w:t xml:space="preserve">Footnotes cited</w:t>
            </w:r>
          </w:p>
        </w:tc>
      </w:tr>
      <w:tr>
        <w:tc>
          <w:tcPr/>
          <w:p>
            <w:pPr>
              <w:pStyle w:val="Compact"/>
              <w:jc w:val="left"/>
            </w:pPr>
            <w:r>
              <w:t xml:space="preserve">Sovereignty segmentation discussion (Aegis / Sovereign Infra / Connect)</w:t>
            </w:r>
          </w:p>
        </w:tc>
        <w:tc>
          <w:tcPr/>
          <w:p>
            <w:pPr>
              <w:pStyle w:val="Compact"/>
              <w:jc w:val="left"/>
            </w:pPr>
            <w:r>
              <w:rPr>
                <w:rStyle w:val="FootnoteReference"/>
              </w:rPr>
              <w:footnoteReference w:id="323"/>
            </w:r>
            <w:r>
              <w:t xml:space="preserve">,</w:t>
            </w:r>
            <w:r>
              <w:t xml:space="preserve"> </w:t>
            </w:r>
            <w:r>
              <w:rPr>
                <w:rStyle w:val="FootnoteReference"/>
              </w:rPr>
              <w:footnoteReference w:id="324"/>
            </w:r>
            <w:r>
              <w:t xml:space="preserve">,</w:t>
            </w:r>
            <w:r>
              <w:t xml:space="preserve"> </w:t>
            </w:r>
            <w:r>
              <w:rPr>
                <w:rStyle w:val="FootnoteReference"/>
              </w:rPr>
              <w:footnoteReference w:id="325"/>
            </w:r>
            <w:r>
              <w:t xml:space="preserve">,</w:t>
            </w:r>
            <w:r>
              <w:t xml:space="preserve"> </w:t>
            </w:r>
            <w:r>
              <w:rPr>
                <w:rStyle w:val="FootnoteReference"/>
              </w:rPr>
              <w:footnoteReference w:id="327"/>
            </w:r>
            <w:r>
              <w:t xml:space="preserve">,</w:t>
            </w:r>
            <w:r>
              <w:t xml:space="preserve"> </w:t>
            </w:r>
            <w:r>
              <w:rPr>
                <w:rStyle w:val="FootnoteReference"/>
              </w:rPr>
              <w:footnoteReference w:id="328"/>
            </w:r>
            <w:r>
              <w:t xml:space="preserve">,</w:t>
            </w:r>
            <w:r>
              <w:t xml:space="preserve"> </w:t>
            </w:r>
            <w:r>
              <w:rPr>
                <w:rStyle w:val="FootnoteReference"/>
              </w:rPr>
              <w:footnoteReference w:id="329"/>
            </w:r>
            <w:r>
              <w:t xml:space="preserve">,</w:t>
            </w:r>
            <w:r>
              <w:t xml:space="preserve"> </w:t>
            </w:r>
            <w:r>
              <w:rPr>
                <w:rStyle w:val="FootnoteReference"/>
              </w:rPr>
              <w:footnoteReference w:id="330"/>
            </w:r>
          </w:p>
        </w:tc>
      </w:tr>
      <w:tr>
        <w:tc>
          <w:tcPr/>
          <w:p>
            <w:pPr>
              <w:pStyle w:val="Compact"/>
              <w:jc w:val="left"/>
            </w:pPr>
            <w:r>
              <w:t xml:space="preserve">KYA Partner Ecosystem (Appendix H equivalent) and trust-stack chapter</w:t>
            </w:r>
          </w:p>
        </w:tc>
        <w:tc>
          <w:tcPr/>
          <w:p>
            <w:pPr>
              <w:pStyle w:val="Compact"/>
              <w:jc w:val="left"/>
            </w:pPr>
            <w:r>
              <w:rPr>
                <w:rStyle w:val="FootnoteReference"/>
              </w:rPr>
              <w:footnoteReference w:id="332"/>
            </w:r>
            <w:r>
              <w:t xml:space="preserve">,</w:t>
            </w:r>
            <w:r>
              <w:t xml:space="preserve"> </w:t>
            </w:r>
            <w:r>
              <w:rPr>
                <w:rStyle w:val="FootnoteReference"/>
              </w:rPr>
              <w:footnoteReference w:id="333"/>
            </w:r>
          </w:p>
        </w:tc>
      </w:tr>
      <w:tr>
        <w:tc>
          <w:tcPr/>
          <w:p>
            <w:pPr>
              <w:pStyle w:val="Compact"/>
              <w:jc w:val="left"/>
            </w:pPr>
            <w:r>
              <w:t xml:space="preserve">Pilot / case-study chapter (Outokumpu Tier-1)</w:t>
            </w:r>
          </w:p>
        </w:tc>
        <w:tc>
          <w:tcPr/>
          <w:p>
            <w:pPr>
              <w:pStyle w:val="Compact"/>
              <w:jc w:val="left"/>
            </w:pPr>
            <w:r>
              <w:rPr>
                <w:rStyle w:val="FootnoteReference"/>
              </w:rPr>
              <w:footnoteReference w:id="334"/>
            </w:r>
          </w:p>
        </w:tc>
      </w:tr>
      <w:tr>
        <w:tc>
          <w:tcPr/>
          <w:p>
            <w:pPr>
              <w:pStyle w:val="Compact"/>
              <w:jc w:val="left"/>
            </w:pPr>
            <w:r>
              <w:t xml:space="preserve">Domain compliance chapter (construction multi-jurisdiction)</w:t>
            </w:r>
          </w:p>
        </w:tc>
        <w:tc>
          <w:tcPr/>
          <w:p>
            <w:pPr>
              <w:pStyle w:val="Compact"/>
              <w:jc w:val="left"/>
            </w:pPr>
            <w:r>
              <w:rPr>
                <w:rStyle w:val="FootnoteReference"/>
              </w:rPr>
              <w:footnoteReference w:id="335"/>
            </w:r>
          </w:p>
        </w:tc>
      </w:tr>
      <w:tr>
        <w:tc>
          <w:tcPr/>
          <w:p>
            <w:pPr>
              <w:pStyle w:val="Compact"/>
              <w:jc w:val="left"/>
            </w:pPr>
            <w:r>
              <w:t xml:space="preserve">Partnerships chapter (xAI etc.)</w:t>
            </w:r>
          </w:p>
        </w:tc>
        <w:tc>
          <w:tcPr/>
          <w:p>
            <w:pPr>
              <w:pStyle w:val="Compact"/>
              <w:jc w:val="left"/>
            </w:pPr>
            <w:r>
              <w:rPr>
                <w:rStyle w:val="FootnoteReference"/>
              </w:rPr>
              <w:footnoteReference w:id="336"/>
            </w:r>
            <w:r>
              <w:t xml:space="preserve">,</w:t>
            </w:r>
            <w:r>
              <w:t xml:space="preserve"> </w:t>
            </w:r>
            <w:r>
              <w:rPr>
                <w:rStyle w:val="FootnoteReference"/>
              </w:rPr>
              <w:footnoteReference w:id="337"/>
            </w:r>
          </w:p>
        </w:tc>
      </w:tr>
      <w:tr>
        <w:tc>
          <w:tcPr/>
          <w:p>
            <w:pPr>
              <w:pStyle w:val="Compact"/>
              <w:jc w:val="left"/>
            </w:pPr>
            <w:r>
              <w:t xml:space="preserve">Quantum / cryptography chapter</w:t>
            </w:r>
          </w:p>
        </w:tc>
        <w:tc>
          <w:tcPr/>
          <w:p>
            <w:pPr>
              <w:pStyle w:val="Compact"/>
              <w:jc w:val="left"/>
            </w:pPr>
            <w:r>
              <w:rPr>
                <w:rStyle w:val="FootnoteReference"/>
              </w:rPr>
              <w:footnoteReference w:id="338"/>
            </w:r>
            <w:r>
              <w:t xml:space="preserve">,</w:t>
            </w:r>
            <w:r>
              <w:t xml:space="preserve"> </w:t>
            </w:r>
            <w:r>
              <w:rPr>
                <w:rStyle w:val="FootnoteReference"/>
              </w:rPr>
              <w:footnoteReference w:id="339"/>
            </w:r>
            <w:r>
              <w:t xml:space="preserve">,</w:t>
            </w:r>
            <w:r>
              <w:t xml:space="preserve"> </w:t>
            </w:r>
            <w:r>
              <w:rPr>
                <w:rStyle w:val="FootnoteReference"/>
              </w:rPr>
              <w:footnoteReference w:id="341"/>
            </w:r>
            <w:r>
              <w:t xml:space="preserve">,</w:t>
            </w:r>
            <w:r>
              <w:t xml:space="preserve"> </w:t>
            </w:r>
            <w:r>
              <w:rPr>
                <w:rStyle w:val="FootnoteReference"/>
              </w:rPr>
              <w:footnoteReference w:id="343"/>
            </w:r>
          </w:p>
        </w:tc>
      </w:tr>
      <w:tr>
        <w:tc>
          <w:tcPr/>
          <w:p>
            <w:pPr>
              <w:pStyle w:val="Compact"/>
              <w:jc w:val="left"/>
            </w:pPr>
            <w:r>
              <w:t xml:space="preserve">Regulatory chapter (EU AI Act, eIDAS 2.0, EU Data Act)</w:t>
            </w:r>
          </w:p>
        </w:tc>
        <w:tc>
          <w:tcPr/>
          <w:p>
            <w:pPr>
              <w:pStyle w:val="Compact"/>
              <w:jc w:val="left"/>
            </w:pPr>
            <w:r>
              <w:rPr>
                <w:rStyle w:val="FootnoteReference"/>
              </w:rPr>
              <w:footnoteReference w:id="345"/>
            </w:r>
            <w:r>
              <w:t xml:space="preserve">,</w:t>
            </w:r>
            <w:r>
              <w:t xml:space="preserve"> </w:t>
            </w:r>
            <w:r>
              <w:rPr>
                <w:rStyle w:val="FootnoteReference"/>
              </w:rPr>
              <w:footnoteReference w:id="346"/>
            </w:r>
            <w:r>
              <w:t xml:space="preserve">,</w:t>
            </w:r>
            <w:r>
              <w:t xml:space="preserve"> </w:t>
            </w:r>
            <w:r>
              <w:rPr>
                <w:rStyle w:val="FootnoteReference"/>
              </w:rPr>
              <w:footnoteReference w:id="347"/>
            </w:r>
          </w:p>
        </w:tc>
      </w:tr>
    </w:tbl>
    <w:bookmarkEnd w:id="348"/>
    <w:bookmarkStart w:id="349" w:name="footnote-bibliography"/>
    <w:p>
      <w:pPr>
        <w:pStyle w:val="Heading3"/>
      </w:pPr>
      <w:r>
        <w:t xml:space="preserve">Footnote bibliography</w:t>
      </w:r>
    </w:p>
    <w:bookmarkEnd w:id="349"/>
    <w:bookmarkStart w:id="356" w:name="Xbb829561309baa2ae1ac17cca571f56b8a58cc9"/>
    <w:p>
      <w:pPr>
        <w:pStyle w:val="Heading3"/>
      </w:pPr>
      <w:r>
        <w:t xml:space="preserve">10.25 Polyglot Observability in Production: Aspire Dashboard Adoption and the Silent-Telemetry Incident</w:t>
      </w:r>
    </w:p>
    <w:bookmarkStart w:id="350" w:name="context-and-decision-path"/>
    <w:p>
      <w:pPr>
        <w:pStyle w:val="Heading4"/>
      </w:pPr>
      <w:r>
        <w:t xml:space="preserve">10.25.1 Context and Decision Path</w:t>
      </w:r>
    </w:p>
    <w:p>
      <w:pPr>
        <w:pStyle w:val="FirstParagraph"/>
      </w:pPr>
      <w:r>
        <w:t xml:space="preserve">The April 2026 tooling analysis (</w:t>
      </w:r>
      <w:r>
        <w:rPr>
          <w:rStyle w:val="VerbatimChar"/>
        </w:rPr>
        <w:t xml:space="preserve">docs/field-notes/2026-04-10-aspire-13-2-isolated-mode.md</w:t>
      </w:r>
      <w:r>
        <w:t xml:space="preserve">) evaluated three adoption options for Microsoft’s Aspire observability stack on the DGX Spark sovereign-edge device: (1) dashboard-only — run the standalone Aspire Dashboard container as a language-agnostic OTLP receiver; (2) full AppHost + ServiceDefaults orchestration; (3) defer. Option 1 was selected and deployed:</w:t>
      </w:r>
      <w:r>
        <w:t xml:space="preserve"> </w:t>
      </w:r>
      <w:r>
        <w:rPr>
          <w:rStyle w:val="VerbatimChar"/>
        </w:rPr>
        <w:t xml:space="preserve">mcr.microsoft.com/dotnet/aspire-dashboard:13.3.5</w:t>
      </w:r>
      <w:r>
        <w:t xml:space="preserve"> </w:t>
      </w:r>
      <w:r>
        <w:t xml:space="preserve">(version-pinned, never</w:t>
      </w:r>
      <w:r>
        <w:t xml:space="preserve"> </w:t>
      </w:r>
      <w:r>
        <w:rPr>
          <w:rStyle w:val="VerbatimChar"/>
        </w:rPr>
        <w:t xml:space="preserve">:latest</w:t>
      </w:r>
      <w:r>
        <w:t xml:space="preserve">) in</w:t>
      </w:r>
      <w:r>
        <w:t xml:space="preserve"> </w:t>
      </w:r>
      <w:r>
        <w:rPr>
          <w:rStyle w:val="VerbatimChar"/>
        </w:rPr>
        <w:t xml:space="preserve">infrastructure/dgx-spark/docker-compose.yml</w:t>
      </w:r>
      <w:r>
        <w:t xml:space="preserve">. The determining factors were that the dashboard accepts standard OTLP telemetry from any language — the DWS IQ 6 stack is TypeScript (backend, agents) and Python (Firehorse) — and that dashboard-only adoption requires no .NET toolchain on the edge device.</w:t>
      </w:r>
    </w:p>
    <w:bookmarkEnd w:id="350"/>
    <w:bookmarkStart w:id="351" w:name="implementation-inventory"/>
    <w:p>
      <w:pPr>
        <w:pStyle w:val="Heading4"/>
      </w:pPr>
      <w:r>
        <w:t xml:space="preserve">10.25.2 Implementation Inventory</w:t>
      </w:r>
    </w:p>
    <w:p>
      <w:pPr>
        <w:pStyle w:val="FirstParagraph"/>
      </w:pPr>
      <w:r>
        <w:t xml:space="preserve">The observability layer as deployed consists of:</w:t>
      </w:r>
    </w:p>
    <w:p>
      <w:pPr>
        <w:numPr>
          <w:ilvl w:val="0"/>
          <w:numId w:val="1118"/>
        </w:numPr>
        <w:pStyle w:val="Compact"/>
      </w:pPr>
      <w:r>
        <w:rPr>
          <w:rStyle w:val="VerbatimChar"/>
          <w:bCs/>
          <w:b/>
        </w:rPr>
        <w:t xml:space="preserve">src/observability/otel.ts</w:t>
      </w:r>
      <w:r>
        <w:t xml:space="preserve"> </w:t>
      </w:r>
      <w:r>
        <w:t xml:space="preserve">— opt-in OpenTelemetry SDK initialization. If</w:t>
      </w:r>
      <w:r>
        <w:t xml:space="preserve"> </w:t>
      </w:r>
      <w:r>
        <w:rPr>
          <w:rStyle w:val="VerbatimChar"/>
        </w:rPr>
        <w:t xml:space="preserve">OTEL_EXPORTER_OTLP_ENDPOINT</w:t>
      </w:r>
      <w:r>
        <w:t xml:space="preserve"> </w:t>
      </w:r>
      <w:r>
        <w:t xml:space="preserve">is unset, no provider registers and every tracing helper degrades to a no-op; nothing leaves the host until the operator sets the endpoint (sovereignty-by-default). Graceful flush on SIGTERM/SIGINT.</w:t>
      </w:r>
    </w:p>
    <w:p>
      <w:pPr>
        <w:numPr>
          <w:ilvl w:val="0"/>
          <w:numId w:val="1118"/>
        </w:numPr>
        <w:pStyle w:val="Compact"/>
      </w:pPr>
      <w:r>
        <w:rPr>
          <w:rStyle w:val="VerbatimChar"/>
          <w:bCs/>
          <w:b/>
        </w:rPr>
        <w:t xml:space="preserve">src/observability/tracing.ts</w:t>
      </w:r>
      <w:r>
        <w:t xml:space="preserve"> </w:t>
      </w:r>
      <w:r>
        <w:t xml:space="preserve">— span helpers at the four points that matter for postmortems:</w:t>
      </w:r>
      <w:r>
        <w:t xml:space="preserve"> </w:t>
      </w:r>
      <w:r>
        <w:rPr>
          <w:rStyle w:val="VerbatimChar"/>
        </w:rPr>
        <w:t xml:space="preserve">withAgentSpan</w:t>
      </w:r>
      <w:r>
        <w:t xml:space="preserve"> </w:t>
      </w:r>
      <w:r>
        <w:t xml:space="preserve">(one root span per agent execution),</w:t>
      </w:r>
      <w:r>
        <w:t xml:space="preserve"> </w:t>
      </w:r>
      <w:r>
        <w:rPr>
          <w:rStyle w:val="VerbatimChar"/>
        </w:rPr>
        <w:t xml:space="preserve">withWorkflowSpan</w:t>
      </w:r>
      <w:r>
        <w:t xml:space="preserve">/</w:t>
      </w:r>
      <w:r>
        <w:rPr>
          <w:rStyle w:val="VerbatimChar"/>
        </w:rPr>
        <w:t xml:space="preserve">withWorkflowStepSpan</w:t>
      </w:r>
      <w:r>
        <w:t xml:space="preserve">,</w:t>
      </w:r>
      <w:r>
        <w:t xml:space="preserve"> </w:t>
      </w:r>
      <w:r>
        <w:rPr>
          <w:rStyle w:val="VerbatimChar"/>
        </w:rPr>
        <w:t xml:space="preserve">withLLMSpan</w:t>
      </w:r>
      <w:r>
        <w:t xml:space="preserve"> </w:t>
      </w:r>
      <w:r>
        <w:t xml:space="preserve">(per LLM call, emitting OpenTelemetry</w:t>
      </w:r>
      <w:r>
        <w:t xml:space="preserve"> </w:t>
      </w:r>
      <w:r>
        <w:rPr>
          <w:bCs/>
          <w:b/>
        </w:rPr>
        <w:t xml:space="preserve">GenAI semantic-convention</w:t>
      </w:r>
      <w:r>
        <w:t xml:space="preserve"> </w:t>
      </w:r>
      <w:r>
        <w:t xml:space="preserve">attributes:</w:t>
      </w:r>
      <w:r>
        <w:t xml:space="preserve"> </w:t>
      </w:r>
      <w:r>
        <w:rPr>
          <w:rStyle w:val="VerbatimChar"/>
        </w:rPr>
        <w:t xml:space="preserve">gen_ai.system</w:t>
      </w:r>
      <w:r>
        <w:t xml:space="preserve">,</w:t>
      </w:r>
      <w:r>
        <w:t xml:space="preserve"> </w:t>
      </w:r>
      <w:r>
        <w:rPr>
          <w:rStyle w:val="VerbatimChar"/>
        </w:rPr>
        <w:t xml:space="preserve">gen_ai.request.model</w:t>
      </w:r>
      <w:r>
        <w:t xml:space="preserve">,</w:t>
      </w:r>
      <w:r>
        <w:t xml:space="preserve"> </w:t>
      </w:r>
      <w:r>
        <w:rPr>
          <w:rStyle w:val="VerbatimChar"/>
        </w:rPr>
        <w:t xml:space="preserve">gen_ai.usage.input_tokens</w:t>
      </w:r>
      <w:r>
        <w:t xml:space="preserve">/</w:t>
      </w:r>
      <w:r>
        <w:rPr>
          <w:rStyle w:val="VerbatimChar"/>
        </w:rPr>
        <w:t xml:space="preserve">output_tokens</w:t>
      </w:r>
      <w:r>
        <w:t xml:space="preserve">, finish reasons), and</w:t>
      </w:r>
      <w:r>
        <w:t xml:space="preserve"> </w:t>
      </w:r>
      <w:r>
        <w:rPr>
          <w:rStyle w:val="VerbatimChar"/>
        </w:rPr>
        <w:t xml:space="preserve">withToolSpan</w:t>
      </w:r>
      <w:r>
        <w:t xml:space="preserve"> </w:t>
      </w:r>
      <w:r>
        <w:t xml:space="preserve">(per tool invocation, with chain position/length).</w:t>
      </w:r>
    </w:p>
    <w:p>
      <w:pPr>
        <w:numPr>
          <w:ilvl w:val="0"/>
          <w:numId w:val="1118"/>
        </w:numPr>
        <w:pStyle w:val="Compact"/>
      </w:pPr>
      <w:r>
        <w:rPr>
          <w:rStyle w:val="VerbatimChar"/>
          <w:bCs/>
          <w:b/>
        </w:rPr>
        <w:t xml:space="preserve">src/agents/telemetry.types.ts</w:t>
      </w:r>
      <w:r>
        <w:rPr>
          <w:bCs/>
          <w:b/>
        </w:rPr>
        <w:t xml:space="preserve"> </w:t>
      </w:r>
      <w:r>
        <w:rPr>
          <w:bCs/>
          <w:b/>
        </w:rPr>
        <w:t xml:space="preserve">+ migration</w:t>
      </w:r>
      <w:r>
        <w:rPr>
          <w:bCs/>
          <w:b/>
        </w:rPr>
        <w:t xml:space="preserve"> </w:t>
      </w:r>
      <w:r>
        <w:rPr>
          <w:rStyle w:val="VerbatimChar"/>
          <w:bCs/>
          <w:b/>
        </w:rPr>
        <w:t xml:space="preserve">066_tool_telemetry_genai.sql</w:t>
      </w:r>
      <w:r>
        <w:t xml:space="preserve"> </w:t>
      </w:r>
      <w:r>
        <w:t xml:space="preserve">— the same</w:t>
      </w:r>
      <w:r>
        <w:t xml:space="preserve"> </w:t>
      </w:r>
      <w:r>
        <w:rPr>
          <w:rStyle w:val="VerbatimChar"/>
        </w:rPr>
        <w:t xml:space="preserve">gen_ai.*</w:t>
      </w:r>
      <w:r>
        <w:t xml:space="preserve"> </w:t>
      </w:r>
      <w:r>
        <w:t xml:space="preserve">vocabulary persisted to the Supabase</w:t>
      </w:r>
      <w:r>
        <w:t xml:space="preserve"> </w:t>
      </w:r>
      <w:r>
        <w:rPr>
          <w:rStyle w:val="VerbatimChar"/>
        </w:rPr>
        <w:t xml:space="preserve">tool_telemetry</w:t>
      </w:r>
      <w:r>
        <w:t xml:space="preserve"> </w:t>
      </w:r>
      <w:r>
        <w:t xml:space="preserve">table, cross-referenced to OTel traces by</w:t>
      </w:r>
      <w:r>
        <w:t xml:space="preserve"> </w:t>
      </w:r>
      <w:r>
        <w:rPr>
          <w:rStyle w:val="VerbatimChar"/>
        </w:rPr>
        <w:t xml:space="preserve">trace_id</w:t>
      </w:r>
      <w:r>
        <w:t xml:space="preserve">/</w:t>
      </w:r>
      <w:r>
        <w:rPr>
          <w:rStyle w:val="VerbatimChar"/>
        </w:rPr>
        <w:t xml:space="preserve">span_id</w:t>
      </w:r>
      <w:r>
        <w:t xml:space="preserve">. This gives the EU AI Act Article 12 audit trail and the developer-facing trace UI a shared vocabulary rather than two disjoint logging schemes.</w:t>
      </w:r>
    </w:p>
    <w:p>
      <w:pPr>
        <w:numPr>
          <w:ilvl w:val="0"/>
          <w:numId w:val="1118"/>
        </w:numPr>
        <w:pStyle w:val="Compact"/>
      </w:pPr>
      <w:r>
        <w:rPr>
          <w:bCs/>
          <w:b/>
        </w:rPr>
        <w:t xml:space="preserve">Three OTLP producers</w:t>
      </w:r>
      <w:r>
        <w:t xml:space="preserve"> </w:t>
      </w:r>
      <w:r>
        <w:t xml:space="preserve">on the DGX Spark compose network:</w:t>
      </w:r>
      <w:r>
        <w:t xml:space="preserve"> </w:t>
      </w:r>
      <w:r>
        <w:rPr>
          <w:rStyle w:val="VerbatimChar"/>
        </w:rPr>
        <w:t xml:space="preserve">dws-backend</w:t>
      </w:r>
      <w:r>
        <w:t xml:space="preserve">,</w:t>
      </w:r>
      <w:r>
        <w:t xml:space="preserve"> </w:t>
      </w:r>
      <w:r>
        <w:rPr>
          <w:rStyle w:val="VerbatimChar"/>
        </w:rPr>
        <w:t xml:space="preserve">dws-cron</w:t>
      </w:r>
      <w:r>
        <w:t xml:space="preserve">, and the</w:t>
      </w:r>
      <w:r>
        <w:t xml:space="preserve"> </w:t>
      </w:r>
      <w:r>
        <w:rPr>
          <w:rStyle w:val="VerbatimChar"/>
        </w:rPr>
        <w:t xml:space="preserve">bumblebee-collector</w:t>
      </w:r>
      <w:r>
        <w:t xml:space="preserve"> </w:t>
      </w:r>
      <w:r>
        <w:t xml:space="preserve">supply-chain scanner.</w:t>
      </w:r>
    </w:p>
    <w:bookmarkEnd w:id="351"/>
    <w:bookmarkStart w:id="352" w:name="the-silent-telemetry-incident-july-2026"/>
    <w:p>
      <w:pPr>
        <w:pStyle w:val="Heading4"/>
      </w:pPr>
      <w:r>
        <w:t xml:space="preserve">10.25.3 The Silent-Telemetry Incident (July 2026)</w:t>
      </w:r>
    </w:p>
    <w:p>
      <w:pPr>
        <w:pStyle w:val="FirstParagraph"/>
      </w:pPr>
      <w:r>
        <w:t xml:space="preserve">A primary-source verification pass against the Aspire dashboard configuration reference (aspire.dev, fetched 2026-07-07) established that the standalone dashboard serves three distinct endpoints: the browser UI on port 18888, OTLP/gRPC on 18889, and OTLP/HTTP on 18890. All three DWS producers were configured to push</w:t>
      </w:r>
      <w:r>
        <w:t xml:space="preserve"> </w:t>
      </w:r>
      <w:r>
        <w:rPr>
          <w:rStyle w:val="VerbatimChar"/>
        </w:rPr>
        <w:t xml:space="preserve">http/protobuf</w:t>
      </w:r>
      <w:r>
        <w:t xml:space="preserve"> </w:t>
      </w:r>
      <w:r>
        <w:t xml:space="preserve">telemetry to</w:t>
      </w:r>
      <w:r>
        <w:t xml:space="preserve"> </w:t>
      </w:r>
      <w:r>
        <w:rPr>
          <w:bCs/>
          <w:b/>
        </w:rPr>
        <w:t xml:space="preserve">port 18888 — the UI endpoint</w:t>
      </w:r>
      <w:r>
        <w:t xml:space="preserve">. Every span, metric, and log emitted since deployment had been silently dropped.</w:t>
      </w:r>
    </w:p>
    <w:p>
      <w:pPr>
        <w:pStyle w:val="BodyText"/>
      </w:pPr>
      <w:r>
        <w:t xml:space="preserve">The change history makes the incident instructive rather than merely embarrassing. The misconfiguration was introduced by a</w:t>
      </w:r>
      <w:r>
        <w:t xml:space="preserve"> </w:t>
      </w:r>
      <w:r>
        <w:rPr>
          <w:iCs/>
          <w:i/>
        </w:rPr>
        <w:t xml:space="preserve">fix</w:t>
      </w:r>
      <w:r>
        <w:t xml:space="preserve">: compose v1.2.0 had</w:t>
      </w:r>
      <w:r>
        <w:t xml:space="preserve"> </w:t>
      </w:r>
      <w:r>
        <w:t xml:space="preserve">“</w:t>
      </w:r>
      <w:r>
        <w:t xml:space="preserve">corrected</w:t>
      </w:r>
      <w:r>
        <w:t xml:space="preserve">”</w:t>
      </w:r>
      <w:r>
        <w:t xml:space="preserve"> </w:t>
      </w:r>
      <w:r>
        <w:t xml:space="preserve">the OTel wiring by moving the endpoint from 18889 (the gRPC port — wrong protocol for an HTTP exporter) to 18888 (right protocol, wrong endpoint). Both configurations pass every liveness check: the ports accept TCP connections, the container reports healthy, the heartbeat service’s</w:t>
      </w:r>
      <w:r>
        <w:t xml:space="preserve"> </w:t>
      </w:r>
      <w:r>
        <w:rPr>
          <w:rStyle w:val="VerbatimChar"/>
        </w:rPr>
        <w:t xml:space="preserve">CHECK_ASPIRE</w:t>
      </w:r>
      <w:r>
        <w:t xml:space="preserve"> </w:t>
      </w:r>
      <w:r>
        <w:t xml:space="preserve">probe succeeds. The OTel</w:t>
      </w:r>
      <w:r>
        <w:t xml:space="preserve"> </w:t>
      </w:r>
      <w:r>
        <w:rPr>
          <w:rStyle w:val="VerbatimChar"/>
        </w:rPr>
        <w:t xml:space="preserve">BatchSpanProcessor</w:t>
      </w:r>
      <w:r>
        <w:t xml:space="preserve"> </w:t>
      </w:r>
      <w:r>
        <w:t xml:space="preserve">swallows export failures by design, so no error surfaced in any log. The system looked fully instrumented and was completely blind. The correction shipped as compose v1.3.1 (all three producers → 18890).</w:t>
      </w:r>
    </w:p>
    <w:bookmarkEnd w:id="352"/>
    <w:bookmarkStart w:id="353" w:name="engineering-lessons"/>
    <w:p>
      <w:pPr>
        <w:pStyle w:val="Heading4"/>
      </w:pPr>
      <w:r>
        <w:t xml:space="preserve">10.25.4 Engineering Lessons</w:t>
      </w:r>
    </w:p>
    <w:p>
      <w:pPr>
        <w:numPr>
          <w:ilvl w:val="0"/>
          <w:numId w:val="1119"/>
        </w:numPr>
        <w:pStyle w:val="Compact"/>
      </w:pPr>
      <w:r>
        <w:rPr>
          <w:bCs/>
          <w:b/>
        </w:rPr>
        <w:t xml:space="preserve">Verification must include observed behavior, not just artifact presence.</w:t>
      </w:r>
      <w:r>
        <w:t xml:space="preserve"> </w:t>
      </w:r>
      <w:r>
        <w:t xml:space="preserve">The April field note’s gap-detection rule —</w:t>
      </w:r>
      <w:r>
        <w:t xml:space="preserve"> </w:t>
      </w:r>
      <w:r>
        <w:t xml:space="preserve">“</w:t>
      </w:r>
      <w:r>
        <w:t xml:space="preserve">when the narrative layer mentions a version number, verify it against the actual deployed artifact</w:t>
      </w:r>
      <w:r>
        <w:t xml:space="preserve">”</w:t>
      </w:r>
      <w:r>
        <w:t xml:space="preserve"> </w:t>
      </w:r>
      <w:r>
        <w:t xml:space="preserve">— proved insufficient. Here the artifact existed and the narrative had lagged in the</w:t>
      </w:r>
      <w:r>
        <w:t xml:space="preserve"> </w:t>
      </w:r>
      <w:r>
        <w:rPr>
          <w:iCs/>
          <w:i/>
        </w:rPr>
        <w:t xml:space="preserve">pessimistic</w:t>
      </w:r>
      <w:r>
        <w:t xml:space="preserve"> </w:t>
      </w:r>
      <w:r>
        <w:t xml:space="preserve">direction (later documents still described the dashboard as</w:t>
      </w:r>
      <w:r>
        <w:t xml:space="preserve"> </w:t>
      </w:r>
      <w:r>
        <w:t xml:space="preserve">“</w:t>
      </w:r>
      <w:r>
        <w:t xml:space="preserve">not deployed</w:t>
      </w:r>
      <w:r>
        <w:t xml:space="preserve">”</w:t>
      </w:r>
      <w:r>
        <w:t xml:space="preserve">), while the deployed artifact was itself broken. The strengthened rule: verify against the deployed artifact</w:t>
      </w:r>
      <w:r>
        <w:t xml:space="preserve"> </w:t>
      </w:r>
      <w:r>
        <w:rPr>
          <w:iCs/>
          <w:i/>
        </w:rPr>
        <w:t xml:space="preserve">and its observed behavior</w:t>
      </w:r>
      <w:r>
        <w:t xml:space="preserve">. A dashboard receiving zero telemetry is indistinguishable from a dashboard nobody wired up.</w:t>
      </w:r>
    </w:p>
    <w:p>
      <w:pPr>
        <w:numPr>
          <w:ilvl w:val="0"/>
          <w:numId w:val="1119"/>
        </w:numPr>
        <w:pStyle w:val="Compact"/>
      </w:pPr>
      <w:r>
        <w:rPr>
          <w:bCs/>
          <w:b/>
        </w:rPr>
        <w:t xml:space="preserve">Fail-silent subsystems inside a fail-loud architecture need compensating controls.</w:t>
      </w:r>
      <w:r>
        <w:t xml:space="preserve"> </w:t>
      </w:r>
      <w:r>
        <w:t xml:space="preserve">Engineering Discipline Rule 12 (</w:t>
      </w:r>
      <w:r>
        <w:t xml:space="preserve">“</w:t>
      </w:r>
      <w:r>
        <w:t xml:space="preserve">fail loud</w:t>
      </w:r>
      <w:r>
        <w:t xml:space="preserve">”</w:t>
      </w:r>
      <w:r>
        <w:t xml:space="preserve">) is implemented across the DWS agent layer, but the OTel export pipeline is fail-silent by upstream design. The compensating control is an end-to-end assertion — a periodic check that traces</w:t>
      </w:r>
      <w:r>
        <w:t xml:space="preserve"> </w:t>
      </w:r>
      <w:r>
        <w:rPr>
          <w:iCs/>
          <w:i/>
        </w:rPr>
        <w:t xml:space="preserve">arrive</w:t>
      </w:r>
      <w:r>
        <w:t xml:space="preserve">, not merely that the receiving port is open. This is queued as a heartbeat extension.</w:t>
      </w:r>
    </w:p>
    <w:p>
      <w:pPr>
        <w:numPr>
          <w:ilvl w:val="0"/>
          <w:numId w:val="1119"/>
        </w:numPr>
        <w:pStyle w:val="Compact"/>
      </w:pPr>
      <w:r>
        <w:rPr>
          <w:bCs/>
          <w:b/>
        </w:rPr>
        <w:t xml:space="preserve">Adjacent-port misconfiguration is a distinct failure class.</w:t>
      </w:r>
      <w:r>
        <w:t xml:space="preserve"> </w:t>
      </w:r>
      <w:r>
        <w:t xml:space="preserve">Three functionally different endpoints on consecutive ports (18888/18889/18890), all accepting connections, convert a one-character configuration error into a silent data-loss event. Infrastructure comments now document all three ports at the service definition.</w:t>
      </w:r>
    </w:p>
    <w:bookmarkEnd w:id="353"/>
    <w:bookmarkStart w:id="354" w:name="Xe3c9a6f672385b85febd0fa74d8f9d0791426e6"/>
    <w:p>
      <w:pPr>
        <w:pStyle w:val="Heading4"/>
      </w:pPr>
      <w:r>
        <w:t xml:space="preserve">10.25.5 Open Decision: GenAI Message-Content Capture</w:t>
      </w:r>
    </w:p>
    <w:p>
      <w:pPr>
        <w:pStyle w:val="FirstParagraph"/>
      </w:pPr>
      <w:r>
        <w:t xml:space="preserve">The dashboard’s GenAI visualizer (introduced in Aspire 9.5, improved in 13.2) renders LLM spans as a chat log — system prompt, messages, tool calls, token counts — when message content is recorded onto spans. The DWS</w:t>
      </w:r>
      <w:r>
        <w:t xml:space="preserve"> </w:t>
      </w:r>
      <w:r>
        <w:rPr>
          <w:rStyle w:val="VerbatimChar"/>
        </w:rPr>
        <w:t xml:space="preserve">withLLMSpan</w:t>
      </w:r>
      <w:r>
        <w:t xml:space="preserve"> </w:t>
      </w:r>
      <w:r>
        <w:t xml:space="preserve">helper deliberately records</w:t>
      </w:r>
      <w:r>
        <w:t xml:space="preserve"> </w:t>
      </w:r>
      <w:r>
        <w:rPr>
          <w:bCs/>
          <w:b/>
        </w:rPr>
        <w:t xml:space="preserve">metadata only</w:t>
      </w:r>
      <w:r>
        <w:t xml:space="preserve"> </w:t>
      </w:r>
      <w:r>
        <w:t xml:space="preserve">(model identifiers, token counts, finish reasons), not prompt or completion bodies. Enabling content capture would place customer-derived text into dashboard memory; that is a data-protection decision (GDPR scope, customer confidentiality), not a tooling decision, and it remains with the human operator. Default: off.</w:t>
      </w:r>
    </w:p>
    <w:p>
      <w:pPr>
        <w:pStyle w:val="BodyText"/>
      </w:pPr>
      <w:r>
        <w:rPr>
          <w:iCs/>
          <w:i/>
        </w:rPr>
        <w:t xml:space="preserve">Companion artefacts:</w:t>
      </w:r>
      <w:r>
        <w:rPr>
          <w:iCs/>
          <w:i/>
        </w:rPr>
        <w:t xml:space="preserve"> </w:t>
      </w:r>
      <w:r>
        <w:rPr>
          <w:rStyle w:val="VerbatimChar"/>
          <w:iCs/>
          <w:i/>
        </w:rPr>
        <w:t xml:space="preserve">docs/field-notes/2026-07-07-aspire-development-evolution-pr1500-to-main.md</w:t>
      </w:r>
      <w:r>
        <w:rPr>
          <w:iCs/>
          <w:i/>
        </w:rPr>
        <w:t xml:space="preserve"> </w:t>
      </w:r>
      <w:r>
        <w:rPr>
          <w:iCs/>
          <w:i/>
        </w:rPr>
        <w:t xml:space="preserve">(v1.1),</w:t>
      </w:r>
      <w:r>
        <w:rPr>
          <w:iCs/>
          <w:i/>
        </w:rPr>
        <w:t xml:space="preserve"> </w:t>
      </w:r>
      <w:r>
        <w:rPr>
          <w:rStyle w:val="VerbatimChar"/>
          <w:iCs/>
          <w:i/>
        </w:rPr>
        <w:t xml:space="preserve">docs/field-notes/2026-04-10-aspire-13-2-isolated-mode.md</w:t>
      </w:r>
      <w:r>
        <w:rPr>
          <w:iCs/>
          <w:i/>
        </w:rPr>
        <w:t xml:space="preserve">,</w:t>
      </w:r>
      <w:r>
        <w:rPr>
          <w:iCs/>
          <w:i/>
        </w:rPr>
        <w:t xml:space="preserve"> </w:t>
      </w:r>
      <w:r>
        <w:rPr>
          <w:rStyle w:val="VerbatimChar"/>
          <w:iCs/>
          <w:i/>
        </w:rPr>
        <w:t xml:space="preserve">docs/research/2026-04-08-aspire-observability-vs-dotnet-skills.md</w:t>
      </w:r>
      <w:r>
        <w:rPr>
          <w:iCs/>
          <w:i/>
        </w:rPr>
        <w:t xml:space="preserve">. Market-signal and standardisation framing: PHD_FIREHORSE §14.37 per the thesis content-scope rule.</w:t>
      </w:r>
    </w:p>
    <w:bookmarkEnd w:id="354"/>
    <w:bookmarkStart w:id="355" w:name="Xbac07d35bec19a05bb0fd6dead9aa24c23e3f80"/>
    <w:p>
      <w:pPr>
        <w:pStyle w:val="Heading4"/>
      </w:pPr>
      <w:r>
        <w:t xml:space="preserve">10.25.6 Amendment (v3.79): The Span-Stamped Authorization Verdict</w:t>
      </w:r>
    </w:p>
    <w:p>
      <w:pPr>
        <w:pStyle w:val="FirstParagraph"/>
      </w:pPr>
      <w:r>
        <w:t xml:space="preserve">External critique (Hakimi, 07.07.2026) identified the structural limit of this section as originally shipped:</w:t>
      </w:r>
      <w:r>
        <w:t xml:space="preserve"> </w:t>
      </w:r>
      <w:r>
        <w:rPr>
          <w:iCs/>
          <w:i/>
        </w:rPr>
        <w:t xml:space="preserve">“</w:t>
      </w:r>
      <w:r>
        <w:rPr>
          <w:iCs/>
          <w:i/>
        </w:rPr>
        <w:t xml:space="preserve">every LLM call it lights up is a record of what already fired. The trace shows the agent reached prod. It never shows whether it should have been able to.</w:t>
      </w:r>
      <w:r>
        <w:rPr>
          <w:iCs/>
          <w:i/>
        </w:rPr>
        <w:t xml:space="preserve">”</w:t>
      </w:r>
      <w:r>
        <w:t xml:space="preserve"> </w:t>
      </w:r>
      <w:r>
        <w:t xml:space="preserve">Verified against the code, the critique was accurate — the LLM client’s only authorization concept was the provider</w:t>
      </w:r>
      <w:r>
        <w:t xml:space="preserve"> </w:t>
      </w:r>
      <w:r>
        <w:rPr>
          <w:rStyle w:val="VerbatimChar"/>
        </w:rPr>
        <w:t xml:space="preserve">Bearer</w:t>
      </w:r>
      <w:r>
        <w:t xml:space="preserve"> </w:t>
      </w:r>
      <w:r>
        <w:t xml:space="preserve">header, and KYA trust-score enforcement lived solely at the sandbox boundary (</w:t>
      </w:r>
      <w:r>
        <w:rPr>
          <w:rStyle w:val="VerbatimChar"/>
        </w:rPr>
        <w:t xml:space="preserve">nemoclaw-sandbox.ts</w:t>
      </w:r>
      <w:r>
        <w:t xml:space="preserve">,</w:t>
      </w:r>
      <w:r>
        <w:t xml:space="preserve"> </w:t>
      </w:r>
      <w:r>
        <w:rPr>
          <w:rStyle w:val="VerbatimChar"/>
        </w:rPr>
        <w:t xml:space="preserve">nemoclaw-bridge.ts</w:t>
      </w:r>
      <w:r>
        <w:t xml:space="preserve">), on a code path disconnected from telemetry.</w:t>
      </w:r>
    </w:p>
    <w:p>
      <w:pPr>
        <w:pStyle w:val="BodyText"/>
      </w:pPr>
      <w:r>
        <w:t xml:space="preserve">The same-day answer extends the span vocabulary rather than adding a parallel system:</w:t>
      </w:r>
      <w:r>
        <w:t xml:space="preserve"> </w:t>
      </w:r>
      <w:r>
        <w:rPr>
          <w:rStyle w:val="VerbatimChar"/>
        </w:rPr>
        <w:t xml:space="preserve">withAgentSpan</w:t>
      </w:r>
      <w:r>
        <w:t xml:space="preserve"> </w:t>
      </w:r>
      <w:r>
        <w:t xml:space="preserve">and</w:t>
      </w:r>
      <w:r>
        <w:t xml:space="preserve"> </w:t>
      </w:r>
      <w:r>
        <w:rPr>
          <w:rStyle w:val="VerbatimChar"/>
        </w:rPr>
        <w:t xml:space="preserve">withLLMSpan</w:t>
      </w:r>
      <w:r>
        <w:t xml:space="preserve"> </w:t>
      </w:r>
      <w:r>
        <w:t xml:space="preserve">now accept a</w:t>
      </w:r>
      <w:r>
        <w:t xml:space="preserve"> </w:t>
      </w:r>
      <w:r>
        <w:rPr>
          <w:rStyle w:val="VerbatimChar"/>
        </w:rPr>
        <w:t xml:space="preserve">KYAVerdict</w:t>
      </w:r>
      <w:r>
        <w:t xml:space="preserve"> </w:t>
      </w:r>
      <w:r>
        <w:t xml:space="preserve">(</w:t>
      </w:r>
      <w:r>
        <w:rPr>
          <w:rStyle w:val="VerbatimChar"/>
        </w:rPr>
        <w:t xml:space="preserve">decision</w:t>
      </w:r>
      <w:r>
        <w:t xml:space="preserve">,</w:t>
      </w:r>
      <w:r>
        <w:t xml:space="preserve"> </w:t>
      </w:r>
      <w:r>
        <w:rPr>
          <w:rStyle w:val="VerbatimChar"/>
        </w:rPr>
        <w:t xml:space="preserve">trustScore</w:t>
      </w:r>
      <w:r>
        <w:t xml:space="preserve">,</w:t>
      </w:r>
      <w:r>
        <w:t xml:space="preserve"> </w:t>
      </w:r>
      <w:r>
        <w:rPr>
          <w:rStyle w:val="VerbatimChar"/>
        </w:rPr>
        <w:t xml:space="preserve">policyVersion</w:t>
      </w:r>
      <w:r>
        <w:t xml:space="preserve">,</w:t>
      </w:r>
      <w:r>
        <w:t xml:space="preserve"> </w:t>
      </w:r>
      <w:r>
        <w:rPr>
          <w:rStyle w:val="VerbatimChar"/>
        </w:rPr>
        <w:t xml:space="preserve">gate</w:t>
      </w:r>
      <w:r>
        <w:t xml:space="preserve">) and stamp</w:t>
      </w:r>
      <w:r>
        <w:t xml:space="preserve"> </w:t>
      </w:r>
      <w:r>
        <w:rPr>
          <w:rStyle w:val="VerbatimChar"/>
        </w:rPr>
        <w:t xml:space="preserve">dws.kya.verdict</w:t>
      </w:r>
      <w:r>
        <w:t xml:space="preserve"> </w:t>
      </w:r>
      <w:r>
        <w:t xml:space="preserve">/</w:t>
      </w:r>
      <w:r>
        <w:t xml:space="preserve"> </w:t>
      </w:r>
      <w:r>
        <w:rPr>
          <w:rStyle w:val="VerbatimChar"/>
        </w:rPr>
        <w:t xml:space="preserve">dws.kya.trust_score</w:t>
      </w:r>
      <w:r>
        <w:t xml:space="preserve"> </w:t>
      </w:r>
      <w:r>
        <w:t xml:space="preserve">/</w:t>
      </w:r>
      <w:r>
        <w:t xml:space="preserve"> </w:t>
      </w:r>
      <w:r>
        <w:rPr>
          <w:rStyle w:val="VerbatimChar"/>
        </w:rPr>
        <w:t xml:space="preserve">dws.kya.policy_version</w:t>
      </w:r>
      <w:r>
        <w:t xml:space="preserve"> </w:t>
      </w:r>
      <w:r>
        <w:t xml:space="preserve">/</w:t>
      </w:r>
      <w:r>
        <w:t xml:space="preserve"> </w:t>
      </w:r>
      <w:r>
        <w:rPr>
          <w:rStyle w:val="VerbatimChar"/>
        </w:rPr>
        <w:t xml:space="preserve">dws.kya.gate</w:t>
      </w:r>
      <w:r>
        <w:t xml:space="preserve"> </w:t>
      </w:r>
      <w:r>
        <w:t xml:space="preserve">alongside the</w:t>
      </w:r>
      <w:r>
        <w:t xml:space="preserve"> </w:t>
      </w:r>
      <w:r>
        <w:rPr>
          <w:rStyle w:val="VerbatimChar"/>
        </w:rPr>
        <w:t xml:space="preserve">gen_ai.*</w:t>
      </w:r>
      <w:r>
        <w:t xml:space="preserve"> </w:t>
      </w:r>
      <w:r>
        <w:t xml:space="preserve">attributes, so one trace answers both questions — what fired, and under what authority it was allowed to fire. The load-bearing design decision is the default: a span with no verdict is stamped</w:t>
      </w:r>
      <w:r>
        <w:t xml:space="preserve"> </w:t>
      </w:r>
      <w:r>
        <w:rPr>
          <w:rStyle w:val="VerbatimChar"/>
        </w:rPr>
        <w:t xml:space="preserve">dws.kya.verdict: "ungated"</w:t>
      </w:r>
      <w:r>
        <w:t xml:space="preserve">, never left blank. Absence becomes a queryable finding — filtering the trace UI on</w:t>
      </w:r>
      <w:r>
        <w:t xml:space="preserve"> </w:t>
      </w:r>
      <w:r>
        <w:rPr>
          <w:rStyle w:val="VerbatimChar"/>
        </w:rPr>
        <w:t xml:space="preserve">ungated</w:t>
      </w:r>
      <w:r>
        <w:t xml:space="preserve"> </w:t>
      </w:r>
      <w:r>
        <w:t xml:space="preserve">enumerates every execution path no gate cleared — instead of being indistinguishable from gated execution (Engineering Discipline Rule 12 applied to authorization coverage).</w:t>
      </w:r>
    </w:p>
    <w:p>
      <w:pPr>
        <w:pStyle w:val="BodyText"/>
      </w:pPr>
      <w:r>
        <w:t xml:space="preserve">The honest baseline this makes visible: as of v3.79 every production span reads</w:t>
      </w:r>
      <w:r>
        <w:t xml:space="preserve"> </w:t>
      </w:r>
      <w:r>
        <w:rPr>
          <w:rStyle w:val="VerbatimChar"/>
        </w:rPr>
        <w:t xml:space="preserve">ungated</w:t>
      </w:r>
      <w:r>
        <w:t xml:space="preserve">, because no call site yet threads the sandbox verdict through. The count of ungated spans</w:t>
      </w:r>
      <w:r>
        <w:t xml:space="preserve"> </w:t>
      </w:r>
      <w:r>
        <w:rPr>
          <w:iCs/>
          <w:i/>
        </w:rPr>
        <w:t xml:space="preserve">is</w:t>
      </w:r>
      <w:r>
        <w:t xml:space="preserve"> </w:t>
      </w:r>
      <w:r>
        <w:t xml:space="preserve">the authorization-coverage gap metric; driving it to zero (verdict emission at the sandbox gate, threading through the agent runner and LLM client) is the named follow-up. Unit tests cover both the stamped-verdict and ungated-default paths.</w:t>
      </w:r>
      <w:r>
        <w:t xml:space="preserve"> </w:t>
      </w:r>
      <w:r>
        <w:rPr>
          <w:iCs/>
          <w:i/>
        </w:rPr>
        <w:t xml:space="preserve">Field note:</w:t>
      </w:r>
      <w:r>
        <w:rPr>
          <w:iCs/>
          <w:i/>
        </w:rPr>
        <w:t xml:space="preserve"> </w:t>
      </w:r>
      <w:r>
        <w:rPr>
          <w:rStyle w:val="VerbatimChar"/>
          <w:iCs/>
          <w:i/>
        </w:rPr>
        <w:t xml:space="preserve">docs/field-notes/2026-07-07-hakimi-observability-vs-authorization.md</w:t>
      </w:r>
      <w:r>
        <w:rPr>
          <w:iCs/>
          <w:i/>
        </w:rPr>
        <w:t xml:space="preserve">; scientific restatement: PHD_FIREHORSE §14.37.4.</w:t>
      </w:r>
    </w:p>
    <w:bookmarkEnd w:id="355"/>
    <w:bookmarkEnd w:id="356"/>
    <w:bookmarkEnd w:id="357"/>
    <w:bookmarkEnd w:id="3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23">
    <w:p>
      <w:pPr>
        <w:pStyle w:val="FootnoteText"/>
      </w:pPr>
      <w:r>
        <w:rPr>
          <w:rStyle w:val="FootnoteReference"/>
        </w:rPr>
        <w:footnoteRef/>
      </w:r>
      <w:r>
        <w:t xml:space="preserve"> </w:t>
      </w:r>
      <w:r>
        <w:t xml:space="preserve">Päärni, R. A. (2026).</w:t>
      </w:r>
      <w:r>
        <w:t xml:space="preserve"> </w:t>
      </w:r>
      <w:r>
        <w:rPr>
          <w:iCs/>
          <w:i/>
        </w:rPr>
        <w:t xml:space="preserve">PHD_FIREHORSE_EN.md §14.23 — Three-Pillar Sovereignty Taxonomy and Jurisdiction-Dependent Dynamics in Global Enterprises.</w:t>
      </w:r>
      <w:r>
        <w:t xml:space="preserve"> </w:t>
      </w:r>
      <w:r>
        <w:t xml:space="preserve">Lifetime Oy / LUT University. Local repository path:</w:t>
      </w:r>
      <w:r>
        <w:t xml:space="preserve"> </w:t>
      </w:r>
      <w:r>
        <w:rPr>
          <w:rStyle w:val="VerbatimChar"/>
        </w:rPr>
        <w:t xml:space="preserve">docs/PHD_FIREHORSE_EN.md</w:t>
      </w:r>
      <w:r>
        <w:t xml:space="preserve">. Accessed 28 May 2026.</w:t>
      </w:r>
    </w:p>
  </w:footnote>
  <w:footnote w:id="324">
    <w:p>
      <w:pPr>
        <w:pStyle w:val="FootnoteText"/>
      </w:pPr>
      <w:r>
        <w:rPr>
          <w:rStyle w:val="FootnoteReference"/>
        </w:rPr>
        <w:footnoteRef/>
      </w:r>
      <w:r>
        <w:t xml:space="preserve"> </w:t>
      </w:r>
      <w:r>
        <w:t xml:space="preserve">Päärni, R. A. (2026).</w:t>
      </w:r>
      <w:r>
        <w:t xml:space="preserve"> </w:t>
      </w:r>
      <w:r>
        <w:rPr>
          <w:iCs/>
          <w:i/>
        </w:rPr>
        <w:t xml:space="preserve">Field Note: EU Tech-Stack Sovereignty Positioning (Field Note #1).</w:t>
      </w:r>
      <w:r>
        <w:t xml:space="preserve"> </w:t>
      </w:r>
      <w:r>
        <w:t xml:space="preserve">Lifetime Oy. Local repository path:</w:t>
      </w:r>
      <w:r>
        <w:t xml:space="preserve"> </w:t>
      </w:r>
      <w:r>
        <w:rPr>
          <w:rStyle w:val="VerbatimChar"/>
        </w:rPr>
        <w:t xml:space="preserve">docs/field-notes/2026-01-28-eu-tech-stack-sovereignty-positioning.md</w:t>
      </w:r>
      <w:r>
        <w:t xml:space="preserve">. Dated 28 January 2026.</w:t>
      </w:r>
    </w:p>
  </w:footnote>
  <w:footnote w:id="325">
    <w:p>
      <w:pPr>
        <w:pStyle w:val="FootnoteText"/>
      </w:pPr>
      <w:r>
        <w:rPr>
          <w:rStyle w:val="FootnoteReference"/>
        </w:rPr>
        <w:footnoteRef/>
      </w:r>
      <w:r>
        <w:t xml:space="preserve"> </w:t>
      </w:r>
      <w:r>
        <w:t xml:space="preserve">Päärni, R. A. (2026).</w:t>
      </w:r>
      <w:r>
        <w:t xml:space="preserve"> </w:t>
      </w:r>
      <w:r>
        <w:rPr>
          <w:iCs/>
          <w:i/>
        </w:rPr>
        <w:t xml:space="preserve">Sovereignty Field Note #2 — The Three Pillars Every Global Enterprise Needs.</w:t>
      </w:r>
      <w:r>
        <w:t xml:space="preserve"> </w:t>
      </w:r>
      <w:r>
        <w:t xml:space="preserve">Lifetime Oy. Local repository path:</w:t>
      </w:r>
      <w:r>
        <w:t xml:space="preserve"> </w:t>
      </w:r>
      <w:r>
        <w:rPr>
          <w:rStyle w:val="VerbatimChar"/>
        </w:rPr>
        <w:t xml:space="preserve">docs/field-notes/2026-05-28-three-pillars-sovereignty-global.md</w:t>
      </w:r>
      <w:r>
        <w:t xml:space="preserve">. Published HTML:</w:t>
      </w:r>
      <w:r>
        <w:t xml:space="preserve"> </w:t>
      </w:r>
      <w:hyperlink r:id="rId326">
        <w:r>
          <w:rPr>
            <w:rStyle w:val="Hyperlink"/>
          </w:rPr>
          <w:t xml:space="preserve">https://onelifetime.world/posts/sovereignty-field-note-2-three-pillars.html</w:t>
        </w:r>
      </w:hyperlink>
      <w:r>
        <w:t xml:space="preserve">. Dated 28 May 2026.</w:t>
      </w:r>
    </w:p>
  </w:footnote>
  <w:footnote w:id="327">
    <w:p>
      <w:pPr>
        <w:pStyle w:val="FootnoteText"/>
      </w:pPr>
      <w:r>
        <w:rPr>
          <w:rStyle w:val="FootnoteReference"/>
        </w:rPr>
        <w:footnoteRef/>
      </w:r>
      <w:r>
        <w:t xml:space="preserve"> </w:t>
      </w:r>
      <w:r>
        <w:t xml:space="preserve">Lifetime Oy. (2026).</w:t>
      </w:r>
      <w:r>
        <w:t xml:space="preserve"> </w:t>
      </w:r>
      <w:r>
        <w:rPr>
          <w:iCs/>
          <w:i/>
        </w:rPr>
        <w:t xml:space="preserve">DWS_DEPLOYMENT_STANDARD.md lines 165–172 — DWS IQ Connect / Sovereign Infra / Aegis product tier definitions.</w:t>
      </w:r>
      <w:r>
        <w:t xml:space="preserve"> </w:t>
      </w:r>
      <w:r>
        <w:t xml:space="preserve">Internal canonical standard. Local repository path:</w:t>
      </w:r>
      <w:r>
        <w:t xml:space="preserve"> </w:t>
      </w:r>
      <w:r>
        <w:rPr>
          <w:rStyle w:val="VerbatimChar"/>
        </w:rPr>
        <w:t xml:space="preserve">DWS_DEPLOYMENT_STANDARD.md</w:t>
      </w:r>
      <w:r>
        <w:t xml:space="preserve">. Accessed 28 May 2026.</w:t>
      </w:r>
    </w:p>
  </w:footnote>
  <w:footnote w:id="328">
    <w:p>
      <w:pPr>
        <w:pStyle w:val="FootnoteText"/>
      </w:pPr>
      <w:r>
        <w:rPr>
          <w:rStyle w:val="FootnoteReference"/>
        </w:rPr>
        <w:footnoteRef/>
      </w:r>
      <w:r>
        <w:t xml:space="preserve"> </w:t>
      </w:r>
      <w:r>
        <w:t xml:space="preserve">Lifetime Oy. (2026).</w:t>
      </w:r>
      <w:r>
        <w:t xml:space="preserve"> </w:t>
      </w:r>
      <w:r>
        <w:rPr>
          <w:iCs/>
          <w:i/>
        </w:rPr>
        <w:t xml:space="preserve">DWS_SOVEREIGNTY_STANDARD.md v1.2 — CLOUD Act / FISA 702 / Schrems II framing.</w:t>
      </w:r>
      <w:r>
        <w:t xml:space="preserve"> </w:t>
      </w:r>
      <w:r>
        <w:t xml:space="preserve">Internal canonical standard. Local repository path:</w:t>
      </w:r>
      <w:r>
        <w:t xml:space="preserve"> </w:t>
      </w:r>
      <w:r>
        <w:rPr>
          <w:rStyle w:val="VerbatimChar"/>
        </w:rPr>
        <w:t xml:space="preserve">DWS_SOVEREIGNTY_STANDARD.md</w:t>
      </w:r>
      <w:r>
        <w:t xml:space="preserve">. Accessed 28 May 2026.</w:t>
      </w:r>
    </w:p>
  </w:footnote>
  <w:footnote w:id="329">
    <w:p>
      <w:pPr>
        <w:pStyle w:val="FootnoteText"/>
      </w:pPr>
      <w:r>
        <w:rPr>
          <w:rStyle w:val="FootnoteReference"/>
        </w:rPr>
        <w:footnoteRef/>
      </w:r>
      <w:r>
        <w:t xml:space="preserve"> </w:t>
      </w:r>
      <w:r>
        <w:t xml:space="preserve">Lifetime Oy. (2026).</w:t>
      </w:r>
      <w:r>
        <w:t xml:space="preserve"> </w:t>
      </w:r>
      <w:r>
        <w:rPr>
          <w:iCs/>
          <w:i/>
        </w:rPr>
        <w:t xml:space="preserve">DWS_STANDARDS_LIBRARY.md §3.6 — Sovereignty Tier Map (vendor classification T1/T2/T3).</w:t>
      </w:r>
      <w:r>
        <w:t xml:space="preserve"> </w:t>
      </w:r>
      <w:r>
        <w:t xml:space="preserve">Internal canonical standard. Local repository path:</w:t>
      </w:r>
      <w:r>
        <w:t xml:space="preserve"> </w:t>
      </w:r>
      <w:r>
        <w:rPr>
          <w:rStyle w:val="VerbatimChar"/>
        </w:rPr>
        <w:t xml:space="preserve">DWS_STANDARDS_LIBRARY.md</w:t>
      </w:r>
      <w:r>
        <w:t xml:space="preserve">. Accessed 28 May 2026.</w:t>
      </w:r>
    </w:p>
  </w:footnote>
  <w:footnote w:id="330">
    <w:p>
      <w:pPr>
        <w:pStyle w:val="FootnoteText"/>
      </w:pPr>
      <w:r>
        <w:rPr>
          <w:rStyle w:val="FootnoteReference"/>
        </w:rPr>
        <w:footnoteRef/>
      </w:r>
      <w:r>
        <w:t xml:space="preserve"> </w:t>
      </w:r>
      <w:r>
        <w:t xml:space="preserve">Rightful Oy. (2026).</w:t>
      </w:r>
      <w:r>
        <w:t xml:space="preserve"> </w:t>
      </w:r>
      <w:r>
        <w:rPr>
          <w:iCs/>
          <w:i/>
        </w:rPr>
        <w:t xml:space="preserve">R-Sac² — Road to Post-Quantum Security.</w:t>
      </w:r>
      <w:r>
        <w:t xml:space="preserve"> </w:t>
      </w:r>
      <w:r>
        <w:t xml:space="preserve">Partner artefact received 28 May 2026 (infographic) and described at</w:t>
      </w:r>
      <w:r>
        <w:t xml:space="preserve"> </w:t>
      </w:r>
      <w:hyperlink r:id="rId331">
        <w:r>
          <w:rPr>
            <w:rStyle w:val="Hyperlink"/>
          </w:rPr>
          <w:t xml:space="preserve">https://www.rightful.fi/</w:t>
        </w:r>
      </w:hyperlink>
      <w:r>
        <w:t xml:space="preserve">. Five-stage methodology: Identify → Assess → Plan → Implement → Monitor. Accessed 28 May 2026.</w:t>
      </w:r>
    </w:p>
  </w:footnote>
  <w:footnote w:id="332">
    <w:p>
      <w:pPr>
        <w:pStyle w:val="FootnoteText"/>
      </w:pPr>
      <w:r>
        <w:rPr>
          <w:rStyle w:val="FootnoteReference"/>
        </w:rPr>
        <w:footnoteRef/>
      </w:r>
      <w:r>
        <w:t xml:space="preserve"> </w:t>
      </w:r>
      <w:r>
        <w:t xml:space="preserve">Päärni, R. A. (2026).</w:t>
      </w:r>
      <w:r>
        <w:t xml:space="preserve"> </w:t>
      </w:r>
      <w:r>
        <w:rPr>
          <w:iCs/>
          <w:i/>
        </w:rPr>
        <w:t xml:space="preserve">PHD_FIREHORSE_EN.md §14.21 — KYA Substrate-Integrity Conformance (SIB-track).</w:t>
      </w:r>
      <w:r>
        <w:t xml:space="preserve"> </w:t>
      </w:r>
      <w:r>
        <w:t xml:space="preserve">Lifetime Oy / LUT University. Local repository path:</w:t>
      </w:r>
      <w:r>
        <w:t xml:space="preserve"> </w:t>
      </w:r>
      <w:r>
        <w:rPr>
          <w:rStyle w:val="VerbatimChar"/>
        </w:rPr>
        <w:t xml:space="preserve">docs/PHD_FIREHORSE_EN.md</w:t>
      </w:r>
      <w:r>
        <w:t xml:space="preserve">. Accessed 28 May 2026.</w:t>
      </w:r>
    </w:p>
  </w:footnote>
  <w:footnote w:id="333">
    <w:p>
      <w:pPr>
        <w:pStyle w:val="FootnoteText"/>
      </w:pPr>
      <w:r>
        <w:rPr>
          <w:rStyle w:val="FootnoteReference"/>
        </w:rPr>
        <w:footnoteRef/>
      </w:r>
      <w:r>
        <w:t xml:space="preserve"> </w:t>
      </w:r>
      <w:r>
        <w:t xml:space="preserve">Päärni, R. A. (2026).</w:t>
      </w:r>
      <w:r>
        <w:t xml:space="preserve"> </w:t>
      </w:r>
      <w:r>
        <w:rPr>
          <w:iCs/>
          <w:i/>
        </w:rPr>
        <w:t xml:space="preserve">Shufti KYA Whitepaper — IDV Provider Certification under the KYA Standard.</w:t>
      </w:r>
      <w:r>
        <w:t xml:space="preserve"> </w:t>
      </w:r>
      <w:r>
        <w:t xml:space="preserve">Lifetime Oy. Local repository path:</w:t>
      </w:r>
      <w:r>
        <w:t xml:space="preserve"> </w:t>
      </w:r>
      <w:r>
        <w:rPr>
          <w:rStyle w:val="VerbatimChar"/>
        </w:rPr>
        <w:t xml:space="preserve">docs/field-notes/2026-03-17-shufti-kya-whitepaper.md</w:t>
      </w:r>
      <w:r>
        <w:t xml:space="preserve">. Version 2.0 dated 13 April 2026.</w:t>
      </w:r>
    </w:p>
  </w:footnote>
  <w:footnote w:id="334">
    <w:p>
      <w:pPr>
        <w:pStyle w:val="FootnoteText"/>
      </w:pPr>
      <w:r>
        <w:rPr>
          <w:rStyle w:val="FootnoteReference"/>
        </w:rPr>
        <w:footnoteRef/>
      </w:r>
      <w:r>
        <w:t xml:space="preserve"> </w:t>
      </w:r>
      <w:r>
        <w:t xml:space="preserve">Päärni, R. A. (2026).</w:t>
      </w:r>
      <w:r>
        <w:t xml:space="preserve"> </w:t>
      </w:r>
      <w:r>
        <w:rPr>
          <w:iCs/>
          <w:i/>
        </w:rPr>
        <w:t xml:space="preserve">Field Note: Tier-1 Sovereignty Pilot for Outokumpu — robotics stack intel + DGX / Jetson T5000 sovereignty assessment.</w:t>
      </w:r>
      <w:r>
        <w:t xml:space="preserve"> </w:t>
      </w:r>
      <w:r>
        <w:t xml:space="preserve">Lifetime Oy. Local repository path:</w:t>
      </w:r>
      <w:r>
        <w:t xml:space="preserve"> </w:t>
      </w:r>
      <w:r>
        <w:rPr>
          <w:rStyle w:val="VerbatimChar"/>
        </w:rPr>
        <w:t xml:space="preserve">docs/field-notes/2026-05-25-tier1-sovereignty-pilot-outokumpu-dgx-t5000.md</w:t>
      </w:r>
      <w:r>
        <w:t xml:space="preserve">. Dated 25 May 2026.</w:t>
      </w:r>
    </w:p>
  </w:footnote>
  <w:footnote w:id="335">
    <w:p>
      <w:pPr>
        <w:pStyle w:val="FootnoteText"/>
      </w:pPr>
      <w:r>
        <w:rPr>
          <w:rStyle w:val="FootnoteReference"/>
        </w:rPr>
        <w:footnoteRef/>
      </w:r>
      <w:r>
        <w:t xml:space="preserve"> </w:t>
      </w:r>
      <w:r>
        <w:t xml:space="preserve">Päärni, R. A. (2026).</w:t>
      </w:r>
      <w:r>
        <w:t xml:space="preserve"> </w:t>
      </w:r>
      <w:r>
        <w:rPr>
          <w:iCs/>
          <w:i/>
        </w:rPr>
        <w:t xml:space="preserve">Construction Compliance Multi-Jurisdiction Brief.</w:t>
      </w:r>
      <w:r>
        <w:t xml:space="preserve"> </w:t>
      </w:r>
      <w:r>
        <w:t xml:space="preserve">Lifetime Oy. Local repository path:</w:t>
      </w:r>
      <w:r>
        <w:t xml:space="preserve"> </w:t>
      </w:r>
      <w:r>
        <w:rPr>
          <w:rStyle w:val="VerbatimChar"/>
        </w:rPr>
        <w:t xml:space="preserve">docs/briefs/construction-compliance-brief.md</w:t>
      </w:r>
      <w:r>
        <w:t xml:space="preserve">. Dated 22 May 2026.</w:t>
      </w:r>
    </w:p>
  </w:footnote>
  <w:footnote w:id="336">
    <w:p>
      <w:pPr>
        <w:pStyle w:val="FootnoteText"/>
      </w:pPr>
      <w:r>
        <w:rPr>
          <w:rStyle w:val="FootnoteReference"/>
        </w:rPr>
        <w:footnoteRef/>
      </w:r>
      <w:r>
        <w:t xml:space="preserve"> </w:t>
      </w:r>
      <w:r>
        <w:t xml:space="preserve">Päärni, R. A. (2026).</w:t>
      </w:r>
      <w:r>
        <w:t xml:space="preserve"> </w:t>
      </w:r>
      <w:r>
        <w:rPr>
          <w:iCs/>
          <w:i/>
        </w:rPr>
        <w:t xml:space="preserve">xAI Grok Partnership Proposal v1.0.</w:t>
      </w:r>
      <w:r>
        <w:t xml:space="preserve"> </w:t>
      </w:r>
      <w:r>
        <w:t xml:space="preserve">Lifetime Oy. Local repository path:</w:t>
      </w:r>
      <w:r>
        <w:t xml:space="preserve"> </w:t>
      </w:r>
      <w:r>
        <w:rPr>
          <w:rStyle w:val="VerbatimChar"/>
        </w:rPr>
        <w:t xml:space="preserve">docs/2026-02-26-xai-grok-partnership-proposal.md</w:t>
      </w:r>
      <w:r>
        <w:t xml:space="preserve">. Dated 26 February 2026.</w:t>
      </w:r>
    </w:p>
  </w:footnote>
  <w:footnote w:id="337">
    <w:p>
      <w:pPr>
        <w:pStyle w:val="FootnoteText"/>
      </w:pPr>
      <w:r>
        <w:rPr>
          <w:rStyle w:val="FootnoteReference"/>
        </w:rPr>
        <w:footnoteRef/>
      </w:r>
      <w:r>
        <w:t xml:space="preserve"> </w:t>
      </w:r>
      <w:r>
        <w:t xml:space="preserve">Päärni, R. A. (2026).</w:t>
      </w:r>
      <w:r>
        <w:t xml:space="preserve"> </w:t>
      </w:r>
      <w:r>
        <w:rPr>
          <w:iCs/>
          <w:i/>
        </w:rPr>
        <w:t xml:space="preserve">xAI Optimus Partnership Proposal v2.0.</w:t>
      </w:r>
      <w:r>
        <w:t xml:space="preserve"> </w:t>
      </w:r>
      <w:r>
        <w:t xml:space="preserve">Lifetime Oy. Local repository path:</w:t>
      </w:r>
      <w:r>
        <w:t xml:space="preserve"> </w:t>
      </w:r>
      <w:r>
        <w:rPr>
          <w:rStyle w:val="VerbatimChar"/>
        </w:rPr>
        <w:t xml:space="preserve">docs/sales/xAI-Optimus-Partnership-Proposal-v2.0.md</w:t>
      </w:r>
      <w:r>
        <w:t xml:space="preserve">. Dated 22 May 2026.</w:t>
      </w:r>
    </w:p>
  </w:footnote>
  <w:footnote w:id="338">
    <w:p>
      <w:pPr>
        <w:pStyle w:val="FootnoteText"/>
      </w:pPr>
      <w:r>
        <w:rPr>
          <w:rStyle w:val="FootnoteReference"/>
        </w:rPr>
        <w:footnoteRef/>
      </w:r>
      <w:r>
        <w:t xml:space="preserve"> </w:t>
      </w:r>
      <w:r>
        <w:t xml:space="preserve">Rightful Oy. (2026).</w:t>
      </w:r>
      <w:r>
        <w:t xml:space="preserve"> </w:t>
      </w:r>
      <w:r>
        <w:rPr>
          <w:iCs/>
          <w:i/>
        </w:rPr>
        <w:t xml:space="preserve">R-Sac² — Road to Post-Quantum Security.</w:t>
      </w:r>
      <w:r>
        <w:t xml:space="preserve"> </w:t>
      </w:r>
      <w:r>
        <w:t xml:space="preserve">Partner artefact received 28 May 2026 (infographic) and described at</w:t>
      </w:r>
      <w:r>
        <w:t xml:space="preserve"> </w:t>
      </w:r>
      <w:hyperlink r:id="rId331">
        <w:r>
          <w:rPr>
            <w:rStyle w:val="Hyperlink"/>
          </w:rPr>
          <w:t xml:space="preserve">https://www.rightful.fi/</w:t>
        </w:r>
      </w:hyperlink>
      <w:r>
        <w:t xml:space="preserve">. Five-stage methodology: Identify → Assess → Plan → Implement → Monitor. Accessed 28 May 2026.</w:t>
      </w:r>
    </w:p>
  </w:footnote>
  <w:footnote w:id="339">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203 — Module-Lattice-Based Key-Encapsulation Mechanism (ML-KEM, Kyber).</w:t>
      </w:r>
      <w:r>
        <w:t xml:space="preserve"> </w:t>
      </w:r>
      <w:r>
        <w:t xml:space="preserve">U.S. Department of Commerce.</w:t>
      </w:r>
      <w:r>
        <w:t xml:space="preserve"> </w:t>
      </w:r>
      <w:hyperlink r:id="rId340">
        <w:r>
          <w:rPr>
            <w:rStyle w:val="Hyperlink"/>
          </w:rPr>
          <w:t xml:space="preserve">https://csrc.nist.gov/pubs/fips/203/final</w:t>
        </w:r>
      </w:hyperlink>
      <w:r>
        <w:t xml:space="preserve">.</w:t>
      </w:r>
    </w:p>
  </w:footnote>
  <w:footnote w:id="341">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204 — Module-Lattice-Based Digital Signature (ML-DSA, Dilithium).</w:t>
      </w:r>
      <w:r>
        <w:t xml:space="preserve"> </w:t>
      </w:r>
      <w:r>
        <w:t xml:space="preserve">U.S. Department of Commerce.</w:t>
      </w:r>
      <w:r>
        <w:t xml:space="preserve"> </w:t>
      </w:r>
      <w:hyperlink r:id="rId342">
        <w:r>
          <w:rPr>
            <w:rStyle w:val="Hyperlink"/>
          </w:rPr>
          <w:t xml:space="preserve">https://csrc.nist.gov/pubs/fips/204/final</w:t>
        </w:r>
      </w:hyperlink>
      <w:r>
        <w:t xml:space="preserve">.</w:t>
      </w:r>
    </w:p>
  </w:footnote>
  <w:footnote w:id="343">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205 — Stateless Hash-Based Digital Signature (SLH-DSA, SPHINCS+).</w:t>
      </w:r>
      <w:r>
        <w:t xml:space="preserve"> </w:t>
      </w:r>
      <w:r>
        <w:t xml:space="preserve">U.S. Department of Commerce.</w:t>
      </w:r>
      <w:r>
        <w:t xml:space="preserve"> </w:t>
      </w:r>
      <w:hyperlink r:id="rId344">
        <w:r>
          <w:rPr>
            <w:rStyle w:val="Hyperlink"/>
          </w:rPr>
          <w:t xml:space="preserve">https://csrc.nist.gov/pubs/fips/205/final</w:t>
        </w:r>
      </w:hyperlink>
      <w:r>
        <w:t xml:space="preserve">.</w:t>
      </w:r>
    </w:p>
  </w:footnote>
  <w:footnote w:id="345">
    <w:p>
      <w:pPr>
        <w:pStyle w:val="FootnoteText"/>
      </w:pPr>
      <w:r>
        <w:rPr>
          <w:rStyle w:val="FootnoteReference"/>
        </w:rPr>
        <w:footnoteRef/>
      </w:r>
      <w:r>
        <w:t xml:space="preserve"> </w:t>
      </w:r>
      <w:r>
        <w:t xml:space="preserve">European Parliament and Council. (2024).</w:t>
      </w:r>
      <w:r>
        <w:t xml:space="preserve"> </w:t>
      </w:r>
      <w:r>
        <w:rPr>
          <w:iCs/>
          <w:i/>
        </w:rPr>
        <w:t xml:space="preserve">Regulation (EU) 2024/1689 of 13 June 2024 laying down harmonised rules on artificial intelligence (EU AI Act).</w:t>
      </w:r>
      <w:r>
        <w:t xml:space="preserve"> </w:t>
      </w:r>
      <w:r>
        <w:t xml:space="preserve">Articles 9, 12, 13, 14 cited.</w:t>
      </w:r>
    </w:p>
  </w:footnote>
  <w:footnote w:id="346">
    <w:p>
      <w:pPr>
        <w:pStyle w:val="FootnoteText"/>
      </w:pPr>
      <w:r>
        <w:rPr>
          <w:rStyle w:val="FootnoteReference"/>
        </w:rPr>
        <w:footnoteRef/>
      </w:r>
      <w:r>
        <w:t xml:space="preserve"> </w:t>
      </w:r>
      <w:r>
        <w:t xml:space="preserve">European Parliament and Council. (2024).</w:t>
      </w:r>
      <w:r>
        <w:t xml:space="preserve"> </w:t>
      </w:r>
      <w:r>
        <w:rPr>
          <w:iCs/>
          <w:i/>
        </w:rPr>
        <w:t xml:space="preserve">Regulation (EU) 2024/1183 amending Regulation (EU) No 910/2014 as regards establishing the European Digital Identity Framework (eIDAS 2.0).</w:t>
      </w:r>
    </w:p>
  </w:footnote>
  <w:footnote w:id="347">
    <w:p>
      <w:pPr>
        <w:pStyle w:val="FootnoteText"/>
      </w:pPr>
      <w:r>
        <w:rPr>
          <w:rStyle w:val="FootnoteReference"/>
        </w:rPr>
        <w:footnoteRef/>
      </w:r>
      <w:r>
        <w:t xml:space="preserve"> </w:t>
      </w:r>
      <w:r>
        <w:t xml:space="preserve">European Parliament and Council. (2023).</w:t>
      </w:r>
      <w:r>
        <w:t xml:space="preserve"> </w:t>
      </w:r>
      <w:r>
        <w:rPr>
          <w:iCs/>
          <w:i/>
        </w:rPr>
        <w:t xml:space="preserve">Regulation (EU) 2023/2854 on harmonised rules on fair access to and use of data (EU Data Act).</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7">
    <w:nsid w:val="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6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6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5" Target="../../../.workflows/agents/AGENT_SIGNAL_INSTRUCTIONS.md" TargetMode="External" /><Relationship Type="http://schemas.openxmlformats.org/officeDocument/2006/relationships/hyperlink" Id="rId318" Target="../../../Admin/ADMIN_MANUAL.md" TargetMode="External" /><Relationship Type="http://schemas.openxmlformats.org/officeDocument/2006/relationships/hyperlink" Id="rId316" Target="../../../AgentFoundry/AGENT_FOUNDRY_ARCHITECTURE_STANDARD.md" TargetMode="External" /><Relationship Type="http://schemas.openxmlformats.org/officeDocument/2006/relationships/hyperlink" Id="rId317" Target="../../../product-catalog/LWM/training-manual.md" TargetMode="External" /><Relationship Type="http://schemas.openxmlformats.org/officeDocument/2006/relationships/hyperlink" Id="rId314" Target="../fi/V3Thesis_FI.md" TargetMode="External" /><Relationship Type="http://schemas.openxmlformats.org/officeDocument/2006/relationships/hyperlink" Id="rId340" Target="https://csrc.nist.gov/pubs/fips/203/final" TargetMode="External" /><Relationship Type="http://schemas.openxmlformats.org/officeDocument/2006/relationships/hyperlink" Id="rId342" Target="https://csrc.nist.gov/pubs/fips/204/final" TargetMode="External" /><Relationship Type="http://schemas.openxmlformats.org/officeDocument/2006/relationships/hyperlink" Id="rId344" Target="https://csrc.nist.gov/pubs/fips/205/final" TargetMode="External" /><Relationship Type="http://schemas.openxmlformats.org/officeDocument/2006/relationships/hyperlink" Id="rId49" Target="https://finance.ec.europa.eu/news/omnibus-package-2025-04-01_en" TargetMode="External" /><Relationship Type="http://schemas.openxmlformats.org/officeDocument/2006/relationships/hyperlink" Id="rId24" Target="https://github.com/blogtheristo/dws6" TargetMode="External" /><Relationship Type="http://schemas.openxmlformats.org/officeDocument/2006/relationships/hyperlink" Id="rId326" Target="https://onelifetime.world/posts/sovereignty-field-note-2-three-pillars.html" TargetMode="External" /><Relationship Type="http://schemas.openxmlformats.org/officeDocument/2006/relationships/hyperlink" Id="rId331" Target="https://www.rightful.fi/" TargetMode="External" /></Relationships>
</file>

<file path=word/_rels/footnotes.xml.rels><?xml version="1.0" encoding="UTF-8"?><Relationships xmlns="http://schemas.openxmlformats.org/package/2006/relationships"><Relationship Type="http://schemas.openxmlformats.org/officeDocument/2006/relationships/hyperlink" Id="rId315" Target="../../../.workflows/agents/AGENT_SIGNAL_INSTRUCTIONS.md" TargetMode="External" /><Relationship Type="http://schemas.openxmlformats.org/officeDocument/2006/relationships/hyperlink" Id="rId318" Target="../../../Admin/ADMIN_MANUAL.md" TargetMode="External" /><Relationship Type="http://schemas.openxmlformats.org/officeDocument/2006/relationships/hyperlink" Id="rId316" Target="../../../AgentFoundry/AGENT_FOUNDRY_ARCHITECTURE_STANDARD.md" TargetMode="External" /><Relationship Type="http://schemas.openxmlformats.org/officeDocument/2006/relationships/hyperlink" Id="rId317" Target="../../../product-catalog/LWM/training-manual.md" TargetMode="External" /><Relationship Type="http://schemas.openxmlformats.org/officeDocument/2006/relationships/hyperlink" Id="rId314" Target="../fi/V3Thesis_FI.md" TargetMode="External" /><Relationship Type="http://schemas.openxmlformats.org/officeDocument/2006/relationships/hyperlink" Id="rId340" Target="https://csrc.nist.gov/pubs/fips/203/final" TargetMode="External" /><Relationship Type="http://schemas.openxmlformats.org/officeDocument/2006/relationships/hyperlink" Id="rId342" Target="https://csrc.nist.gov/pubs/fips/204/final" TargetMode="External" /><Relationship Type="http://schemas.openxmlformats.org/officeDocument/2006/relationships/hyperlink" Id="rId344" Target="https://csrc.nist.gov/pubs/fips/205/final" TargetMode="External" /><Relationship Type="http://schemas.openxmlformats.org/officeDocument/2006/relationships/hyperlink" Id="rId49" Target="https://finance.ec.europa.eu/news/omnibus-package-2025-04-01_en" TargetMode="External" /><Relationship Type="http://schemas.openxmlformats.org/officeDocument/2006/relationships/hyperlink" Id="rId24" Target="https://github.com/blogtheristo/dws6" TargetMode="External" /><Relationship Type="http://schemas.openxmlformats.org/officeDocument/2006/relationships/hyperlink" Id="rId326" Target="https://onelifetime.world/posts/sovereignty-field-note-2-three-pillars.html" TargetMode="External" /><Relationship Type="http://schemas.openxmlformats.org/officeDocument/2006/relationships/hyperlink" Id="rId331" Target="https://www.rightful.f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2026-07-25T00:09:38Z</dcterms:created>
  <dcterms:modified xsi:type="dcterms:W3CDTF">2026-07-25T00:09:38Z</dcterms:modified>
</cp:coreProperties>
</file>

<file path=docProps/custom.xml><?xml version="1.0" encoding="utf-8"?>
<Properties xmlns="http://schemas.openxmlformats.org/officeDocument/2006/custom-properties" xmlns:vt="http://schemas.openxmlformats.org/officeDocument/2006/docPropsVTypes"/>
</file>