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63778495ede64f780ee20a17419b911b803b17"/>
    <w:p>
      <w:pPr>
        <w:pStyle w:val="Heading1"/>
      </w:pPr>
      <w:r>
        <w:t xml:space="preserve">Firehorse Product Manufacturing Operating Model</w:t>
      </w:r>
    </w:p>
    <w:bookmarkStart w:id="20" w:name="X23038f51c82a5836529dc388a6b0ad950b800f0"/>
    <w:p>
      <w:pPr>
        <w:pStyle w:val="Heading2"/>
      </w:pPr>
      <w:r>
        <w:t xml:space="preserve">Hybrid AI-Edge Architecture for Climate-Intelligent Industrial Platforms</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3.87</w:t>
      </w:r>
      <w:r>
        <w:t xml:space="preserve"> </w:t>
      </w:r>
      <w:r>
        <w:t xml:space="preserve">Sessions &amp; Modifications:</w:t>
      </w:r>
    </w:p>
    <w:p>
      <w:pPr>
        <w:numPr>
          <w:ilvl w:val="0"/>
          <w:numId w:val="1001"/>
        </w:numPr>
      </w:pPr>
      <w:r>
        <w:t xml:space="preserve">Version: 3.87 | Tool: Claude Code (claude-opus-5) | Session: claude/greg-isenberg-field-notes-a2r544 | Date: 25.07.2026 | Changes: Sharpened §10.27 on two points from external review. (1)</w:t>
      </w:r>
      <w:r>
        <w:t xml:space="preserve"> </w:t>
      </w:r>
      <w:r>
        <w:rPr>
          <w:bCs/>
          <w:b/>
        </w:rPr>
        <w:t xml:space="preserve">Reconciliation debt</w:t>
      </w:r>
      <w:r>
        <w:t xml:space="preserve"> </w:t>
      </w:r>
      <w:r>
        <w:t xml:space="preserve">— the original text said legitimacy</w:t>
      </w:r>
      <w:r>
        <w:t xml:space="preserve"> </w:t>
      </w:r>
      <w:r>
        <w:t xml:space="preserve">“</w:t>
      </w:r>
      <w:r>
        <w:t xml:space="preserve">does not move</w:t>
      </w:r>
      <w:r>
        <w:t xml:space="preserve">”</w:t>
      </w:r>
      <w:r>
        <w:t xml:space="preserve">, which understates the risk. A body’s acceptance criteria form by consensus among parties with divergent commercial interests, while a solo-authored artifact optimises for internal coherence because that is the only constraint its author can feel; each unreviewed iteration therefore improves the document against the wrong objective function and may drift FURTHER from adoptability while appearing to improve by every internally visible measure. Unreviewed iteration can accumulate reconciliation debt, and nothing inside the authoring organisation distinguishes the technically-best version from the closest-to-adoptable one. (2) Added</w:t>
      </w:r>
      <w:r>
        <w:t xml:space="preserve"> </w:t>
      </w:r>
      <w:r>
        <w:rPr>
          <w:bCs/>
          <w:b/>
        </w:rPr>
        <w:t xml:space="preserve">“</w:t>
      </w:r>
      <w:r>
        <w:rPr>
          <w:bCs/>
          <w:b/>
        </w:rPr>
        <w:t xml:space="preserve">Default to internal</w:t>
      </w:r>
      <w:r>
        <w:rPr>
          <w:bCs/>
          <w:b/>
        </w:rPr>
        <w:t xml:space="preserve">”</w:t>
      </w:r>
      <w:r>
        <w:t xml:space="preserve"> </w:t>
      </w:r>
      <w:r>
        <w:t xml:space="preserve">as the governing platform principle (now §10.27.4 principle 1, others renumbered 2–5): a specification is an internal working artifact until it earns external validation through the appropriate gate per jurisdiction — the posture is not to publish faster but to earn adoption at the pace each body requires. Deliberately NOT adopted from the same review: the claim that this gap is</w:t>
      </w:r>
      <w:r>
        <w:t xml:space="preserve"> </w:t>
      </w:r>
      <w:r>
        <w:t xml:space="preserve">“</w:t>
      </w:r>
      <w:r>
        <w:t xml:space="preserve">where most AI-native compliance work fails</w:t>
      </w:r>
      <w:r>
        <w:t xml:space="preserve">”</w:t>
      </w:r>
      <w:r>
        <w:t xml:space="preserve">, which is an unevidenced market assertion this programme has no data to support and which would be a conjecture stated as an observation.</w:t>
      </w:r>
    </w:p>
    <w:p>
      <w:pPr>
        <w:numPr>
          <w:ilvl w:val="0"/>
          <w:numId w:val="1001"/>
        </w:numPr>
      </w:pPr>
      <w:r>
        <w:t xml:space="preserve">Version: 3.86 | Tool: Claude Code (claude-opus-5) | Session: claude/greg-isenberg-field-notes-a2r544 | Date: 25.07.2026 | Changes: Added §10.27 (The Artifact–Legitimacy Gap). Names the single largest practical problem encountered building with frontier models through Claude Code: production of a technically complete artifact compresses to hours while the institutional processes that make it LEGITIMATE — adversarial review by competing interests, independent implementation, body acceptance, per-jurisdiction legal review — do not compress at all. Identifies the dangerous second-order effect: specification quality was historically evidence of process (nobody wrote RFC 2119 language, version history and a conformance section alone in an afternoon), frontier models break that correlation, and readers still use fluency as a legitimacy proxy — so THE AUTHOR OVER-CLAIMS WITHOUT INTENDING TO. Uses KYA v1.5 as the worked case (publication-quality, titled</w:t>
      </w:r>
      <w:r>
        <w:t xml:space="preserve"> </w:t>
      </w:r>
      <w:r>
        <w:t xml:space="preserve">“</w:t>
      </w:r>
      <w:r>
        <w:t xml:space="preserve">Open Standard</w:t>
      </w:r>
      <w:r>
        <w:t xml:space="preserve">”</w:t>
      </w:r>
      <w:r>
        <w:t xml:space="preserve">, met ZERO of four gates, retitled Specification 24.07.2026; nothing technically wrong, the CATEGORY was wrong). States the core finding: the same capacity that produced v1.5 in one session can produce v2.0 and v3.0 — the version number accelerates, the legitimacy does not move, because what is missing is not technical. Three-jurisdiction extension makes it measurable (one clock cannot be entered on the author’s initiative at all under Art. 40), yielding: DWS can technically build better KYA versions indefinitely; in practice they remain specifications, and across three jurisdictions three profiles of one specification. Documents DWS_LEARNING_STANDARD §10 as the implemented countermeasure — a rate limiter on legitimacy claims (§10.3 reversibility, §10.3.1 cooling gap, §10.4 verified-vs-propagated, §10.1/§10.6 decision format and cap). Derives FOUR PLATFORM DESIGN PRINCIPLES for compliance intelligence: sell evidence not verdicts; every claim carries its phase adjacent to the claim; profiles not forks; build the rate limiter into the product, not only the process. Closes with why this is a commercial position rather than a limitation — polished compliance documents are now universal, and the scarce capability is saying which parts are load-bearing.</w:t>
      </w:r>
    </w:p>
    <w:p>
      <w:pPr>
        <w:numPr>
          <w:ilvl w:val="0"/>
          <w:numId w:val="1001"/>
        </w:numPr>
      </w:pPr>
      <w:r>
        <w:t xml:space="preserve">Version: 3.85 | Tool: Claude Code (claude-opus-5) | Session: claude/greg-isenberg-field-notes-a2r544 | Date: 25.07.2026 | Changes: Lockstep version bump 3.84 → 3.85 across all 4 thesis files per the CLAUDE.md Thesis Rule. No content change in this file: the session’s new material is standardisation-route and jurisdiction-architecture analysis, which belongs to the PhD per the Thesis Content Scope Rule (see PHD_FIREHORSE §14.43). Implementation evidence from this session remains at §10.26.</w:t>
      </w:r>
    </w:p>
    <w:p>
      <w:pPr>
        <w:numPr>
          <w:ilvl w:val="0"/>
          <w:numId w:val="1001"/>
        </w:numPr>
      </w:pPr>
      <w:r>
        <w:t xml:space="preserve">Version: 3.84 | Tool: Claude Code (claude-opus-5) | Session: claude/greg-isenberg-field-notes-a2r544 | Date: 25.07.2026 | Changes: Added §10.26 (Cryptographic Review of the Verified-Done Attestation Signing Path: Two Findings, and Falsification as a Test-Quality Gate). Implementation evidence per the CLAUDE.md Thesis Content Scope Rule: documents the Ed25519-via-node:crypto dependency decision (narrow trusted computing base over ergonomics); finding F1 (HIGH) that the signature excluded the proof options, leaving proof.created and proof.verificationMethod mutable post-signing — an unprotected Article 12 timestamp and trust-anchor selection from unsigned data; the root cause in TEST DESIGN rather than cryptographic knowledge (the suite tampered the credential subject, never the proof block); the W3C Data Integrity remediation binding proof options into the signing payload; finding F3 (key-type assertion, fail-loud on misconfiguration while unconfigured stays valid); and the methodological contribution — falsification as a test-quality gate, in which the fix was REVERTED and the four new tests confirmed to fail against the defective source before acceptance, yielding the criterion that a test passing both before and after a fix carries no information about that fix (47 → 51 tests). Also records the attestation-anchor schema finding sequencing the tenant fix as a precondition to enabling signatures. Market-signal and scientific framing for the same session is in PHD_FIREHORSE §14.42.</w:t>
      </w:r>
    </w:p>
    <w:p>
      <w:pPr>
        <w:numPr>
          <w:ilvl w:val="0"/>
          <w:numId w:val="1001"/>
        </w:numPr>
      </w:pPr>
      <w:r>
        <w:t xml:space="preserve">Version: 3.83 | Tool: Claude Code | Session: claude/eda-dws-iq-business-case-jm7p3g | Date: 17.07.2026 | Changes: Lockstep version bump 3.82 → 3.83 across all 4 thesis files per CLAUDE.md thesis rule. No content change in this master’s thesis file: the v3.83 addition (DAC 2026’s agentic-EDA tutorial track as cross-disciplinary evidence for the three-vector agentic/open/governed operating-model thesis, and the sovereign design-IP-envelope relocation of the EDA defensible remainder) is a market-signal/scientific-framing contribution and per the §1.4 master-vs-PhD scope rule lives in PHD_FIREHORSE_EN.md §14.41 and Key Contribution #48. Companion artefacts: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Changes: Lockstep version bump 3.81 → 3.82 across all 4 thesis files per CLAUDE.md thesis rule. No content change in this master’s thesis file: the v3.82 addition (NVIDIA Halos for Robotics as a standardisation-ahead-of-deadline signal for physical-AI safety certification, the certification-vs-evidence regulatory-object distinction, and the KYA physical-safety binding) is a market-signal/regulatory-pipeline contribution and per the §1.4 master-vs-PhD scope rule lives in PHD_FIREHORSE_EN.md §14.40 and Key Contribution #47. Companion artefact: docs/regulatory-radar/NVIDIA_HALOS_ROBOTICS_BRIEF.md.</w:t>
      </w:r>
    </w:p>
    <w:p>
      <w:pPr>
        <w:numPr>
          <w:ilvl w:val="0"/>
          <w:numId w:val="1001"/>
        </w:numPr>
      </w:pPr>
      <w:r>
        <w:t xml:space="preserve">Version: 3.81 | Tool: Claude Code (Fable 5) | Session: claude/ai-sovereignty-research-9eshgd (merge-integrated) | Date: 07.07.2026 | Changes: Lockstep version bump 3.80 → 3.81 across all 4 thesis files per CLAUDE.md thesis rule. No content change in this master’s thesis file: the v3.81 merge-integrated content (the AI-sovereignty nine-theses framework and the weights-control argument — an optionality definition of sovereignty, three silently-confiscated assets data/weights/value-orientation, the sovereignty–alpha identity, the Theses 6–9 governance layer, and the Palantir connector model as its operational instance) is a scientific/normative-framing contribution and per the §1.4 master-vs-PhD scope rule lives in PHD_FIREHORSE_EN.md §14.39 (renumbered from the branch’s original §14.34 — that slot was independently taken by</w:t>
      </w:r>
      <w:r>
        <w:t xml:space="preserve"> </w:t>
      </w:r>
      <w:r>
        <w:t xml:space="preserve">“</w:t>
      </w:r>
      <w:r>
        <w:t xml:space="preserve">The National Aggregation-Effect Framework</w:t>
      </w:r>
      <w:r>
        <w:t xml:space="preserve">”</w:t>
      </w:r>
      <w:r>
        <w:t xml:space="preserve"> </w:t>
      </w:r>
      <w:r>
        <w:t xml:space="preserve">on main) and Key Contribution #46. Companion artefact: docs/field-notes/2026-07-01-ai-sovereignty-nine-theses.md.</w:t>
      </w:r>
    </w:p>
    <w:p>
      <w:pPr>
        <w:numPr>
          <w:ilvl w:val="0"/>
          <w:numId w:val="1001"/>
        </w:numPr>
      </w:pPr>
      <w:r>
        <w:t xml:space="preserve">Version: 3.80 | Tool: Claude Code (Fable 5) | Session: claude/industry-world-models-study-Mk2mu (merge-integrated) | Date: 07.07.2026 | Changes: Lockstep version bump 3.79 → 3.80 across all 4 thesis files per CLAUDE.md thesis rule. No content change in this master’s thesis file: the v3.80 merge-integrated addition is a market/architecture signal (Karpathy GPT-2 → industry world models, five competing architectures, 16-industry Fit for 55 world model specification matrix, modular world model factory proposal, 2026 ecosystem convergence: AMI Labs / Cosmos 2.5 / Genie 3 / Marble / Siemens Digital Twin Composer) which per the master-vs-PhD scope rule §1.4 belongs in the PhD thesis only. See PHD_FIREHORSE_EN.md §14.38 (Industry World Models, renumbered from the branch’s original §14.20 — that slot was independently taken by</w:t>
      </w:r>
      <w:r>
        <w:t xml:space="preserve"> </w:t>
      </w:r>
      <w:r>
        <w:t xml:space="preserve">“</w:t>
      </w:r>
      <w:r>
        <w:t xml:space="preserve">AI Pricing Capitulation</w:t>
      </w:r>
      <w:r>
        <w:t xml:space="preserve">”</w:t>
      </w:r>
      <w:r>
        <w:t xml:space="preserve"> </w:t>
      </w:r>
      <w:r>
        <w:t xml:space="preserve">on main) and Key Contribution #45 for the scientific framing. Full study: docs/INDUSTRY_WORLD_MODELS_STUDY.md.</w:t>
      </w:r>
    </w:p>
    <w:p>
      <w:pPr>
        <w:numPr>
          <w:ilvl w:val="0"/>
          <w:numId w:val="1001"/>
        </w:numPr>
      </w:pPr>
      <w:r>
        <w:t xml:space="preserve">Version: 3.79 | Tool: Claude Code | Session: claude/aspire-development-evolution-16fxg0 | Date: 07.07.2026 | Changes: Added §10.25.6 (Amendment: The Span-Stamped Authorization Verdict) — external critique (Hakimi) that the GenAI trace records what fired but never whether it should have been able to; verified accurate against the code (LLM client had only the provider Bearer header; KYA enforcement isolated at the sandbox layer). Implemented same-day: KYAVerdict on withAgentSpan/withLLMSpan stamping dws.kya.verdict/trust_score/policy_version/gate alongside gen_ai.*; verdict-less spans stamped</w:t>
      </w:r>
      <w:r>
        <w:t xml:space="preserve"> </w:t>
      </w:r>
      <w:r>
        <w:t xml:space="preserve">‘</w:t>
      </w:r>
      <w:r>
        <w:t xml:space="preserve">ungated</w:t>
      </w:r>
      <w:r>
        <w:t xml:space="preserve">’</w:t>
      </w:r>
      <w:r>
        <w:t xml:space="preserve"> </w:t>
      </w:r>
      <w:r>
        <w:t xml:space="preserve">(never blank) so authorization-coverage gaps are queryable; ungated-span count named as the coverage-gap metric; 2 new unit tests (8/8 passing). PHD files receive the scientific restatement (§14.37.4 correction to KC #44(b)). Lockstep 3.78→3.79; Learn/ HTML regenerated. Companion: docs/field-notes/2026-07-07-hakimi-observability-vs-authorization.md.</w:t>
      </w:r>
    </w:p>
    <w:p>
      <w:pPr>
        <w:numPr>
          <w:ilvl w:val="0"/>
          <w:numId w:val="1001"/>
        </w:numPr>
      </w:pPr>
      <w:r>
        <w:t xml:space="preserve">Version: 3.78 | Tool: Claude Code | Session: claude/aspire-development-evolution-16fxg0 | Date: 07.07.2026 | Changes: Added §10.25 (Polyglot Observability in Production: Aspire Dashboard Adoption and the Silent-Telemetry Incident) — implementation-side content per the master-vs-PhD scope rule: dashboard-only Aspire adoption on DGX Spark (aspire-dashboard:13.3.5 pinned, compose v1.1.1), OTel implementation inventory (otel.ts opt-in init, tracing.ts GenAI semantic-convention span helpers, telemetry.types.ts + migration 066 Article-12 cross-referencing), the July 2026 silent-telemetry incident (all three OTLP producers pushed http/protobuf to the dashboard UI port 18888 instead of the OTLP/HTTP listener 18890 — telemetry silently dropped; fixed in compose v1.3.1), three engineering lessons (behavioral verification, fail-silent subsystems need compensating controls, adjacent-port failure class), and the open GenAI message-content-capture data-protection decision. PHD files receive the market-signal framing (§14.37 + Key Contribution #44). All 4 thesis files bumped 3.77→3.78 in lockstep per CLAUDE.md thesis rule; Learn/ HTML regenerated.</w:t>
      </w:r>
    </w:p>
    <w:p>
      <w:pPr>
        <w:numPr>
          <w:ilvl w:val="0"/>
          <w:numId w:val="1001"/>
        </w:numPr>
      </w:pPr>
      <w:r>
        <w:t xml:space="preserve">Version: 3.77 | Tool: Claude Code | Session: claude/dws-nvidia-os-NDuOs | Date: 19.05.2026 | Changes: Lockstep version bump 3.76 → 3.77 across all 4 thesis files per CLAUDE.md thesis rule. No content change in this master’s thesis file: the v3.77 substantive addition is a research-framing reframe and a 48-hour market signal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that names</w:t>
      </w:r>
      <w:r>
        <w:t xml:space="preserve"> </w:t>
      </w:r>
      <w:r>
        <w:rPr>
          <w:iCs/>
          <w:i/>
        </w:rPr>
        <w:t xml:space="preserve">DWS OS</w:t>
      </w:r>
      <w:r>
        <w:t xml:space="preserve"> </w:t>
      </w:r>
      <w:r>
        <w:t xml:space="preserve">as the unifying artefactual spine of the doctoral programme. Per the master-vs-PhD scope rule §1.4, research framing and market signals belong in the PhD thesis only. See PHD_FIREHORSE_EN.md §1.2.2 (Unified DWS OS Spine and Scenario Prioritization) and §14.36 (Two-Signal Convergence) for the scientific framing, and</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for the supervisor-bound deliverables.</w:t>
      </w:r>
      <w:r>
        <w:t xml:space="preserve"> </w:t>
      </w:r>
      <w:r>
        <w:rPr>
          <w:rStyle w:val="VerbatimChar"/>
        </w:rPr>
        <w:t xml:space="preserve">Learn/</w:t>
      </w:r>
      <w:r>
        <w:t xml:space="preserve"> </w:t>
      </w:r>
      <w:r>
        <w:t xml:space="preserve">HTML regeneration required (not in this commit — needs Pandoc build). Merge note (06.07.2026, session claude/dws-nvidia-os-NDuOs merge): originally authored 19.05.2026 as v3.58 / §14.20 / Key Contribution #25; renumbered to v3.77 / §14.36 / Key Contribution #43 on merge because main’s v3.58–v3.76, §14.20–§14.35 and KC#25–#42 were already claimed by other sessions (same convention as the v3.73 renumber).</w:t>
      </w:r>
    </w:p>
    <w:p>
      <w:pPr>
        <w:numPr>
          <w:ilvl w:val="0"/>
          <w:numId w:val="1001"/>
        </w:numPr>
      </w:pPr>
      <w:r>
        <w:t xml:space="preserve">Version: 3.76 | Tool: Claude Code | Session: claude/physical-ai-first-person-3mmu70 | Date: 05.07.2026 | Changes: Lockstep version bump 3.75 → 3.76 across all 4 thesis files per CLAUDE.md thesis rule. The v3.76 substantive content (Jensen Huang’s</w:t>
      </w:r>
      <w:r>
        <w:t xml:space="preserve"> </w:t>
      </w:r>
      <w:r>
        <w:t xml:space="preserve">“</w:t>
      </w:r>
      <w:r>
        <w:t xml:space="preserve">digital robot</w:t>
      </w:r>
      <w:r>
        <w:t xml:space="preserve">”</w:t>
      </w:r>
      <w:r>
        <w:t xml:space="preserve"> </w:t>
      </w:r>
      <w:r>
        <w:t xml:space="preserve">framing of agentic AI and his identification of first-person data — against the world’s overwhelmingly third-person video corpus — as the hardest problem in physical AI; the re-identification of the LWM Phase-3 gating input as first-person operational data rather than compute or alignment; the element-for-element mapping of Huang’s five-element physical-AI stack — data engine / simulator / reward / runtime / computer — onto the Brain–Memory–Body–Hands architecture; the specification of Perception Capital’s production mechanism; and a sovereign, consent-governed, EU-resident first-person-data-provenance predicate extending the four-track KYA suite) is a market signal / scientific framing and per the §1.4 master-vs-PhD scope rule lives in PHD_FIREHORSE_EN.md §14.35 (The First-Person Data Bottleneck) and Key Contribution #42. Section/version/KC numbers advanced from the original v3.71/§14.33/#39 draft to v3.76/§14.35/#42 to avoid collision with main’s already-landed §14.33/§14.34 and KC #39–#41. No implementation has shipped for this signal (thesis/strategy-first decision), so this file receives a lockstep-only version-bump entry and no new sections.</w:t>
      </w:r>
      <w:r>
        <w:t xml:space="preserve"> </w:t>
      </w:r>
      <w:r>
        <w:rPr>
          <w:rStyle w:val="VerbatimChar"/>
        </w:rPr>
        <w:t xml:space="preserve">Learn/</w:t>
      </w:r>
      <w:r>
        <w:t xml:space="preserve"> </w:t>
      </w:r>
      <w:r>
        <w:t xml:space="preserve">HTML regenerated at v3.76 via scripts/gen-thesis-html.cjs. Primary source: Jensen Huang (NVIDIA), public remarks on agentic and physical AI, 2026.</w:t>
      </w:r>
    </w:p>
    <w:p>
      <w:pPr>
        <w:numPr>
          <w:ilvl w:val="0"/>
          <w:numId w:val="1001"/>
        </w:numPr>
      </w:pPr>
      <w:r>
        <w:t xml:space="preserve">Version: 3.75 | Tool: Claude Code | Session: claude/lifetime-handbook-web-updates-lmyi2g | Date: 01.07.2026 | Changes: Lockstep version bump only. Substantive content (Finnish Ministry of Finance security-oriented information management guide, VM 2026:27, mapped to DWS’s Control Room/Situation Room retention model) is regulatory-pipeline/market-signal framing per §1.4 master-vs-PhD scope rule, so it lives in</w:t>
      </w:r>
      <w:r>
        <w:t xml:space="preserve"> </w:t>
      </w:r>
      <w:r>
        <w:rPr>
          <w:rStyle w:val="VerbatimChar"/>
        </w:rPr>
        <w:t xml:space="preserve">docs/PHD_FIREHORSE_EN.md</w:t>
      </w:r>
      <w:r>
        <w:t xml:space="preserve"> </w:t>
      </w:r>
      <w:r>
        <w:t xml:space="preserve">§14.34 and Key Contribution #41. No implementation content added here.</w:t>
      </w:r>
    </w:p>
    <w:p>
      <w:pPr>
        <w:numPr>
          <w:ilvl w:val="0"/>
          <w:numId w:val="1001"/>
        </w:numPr>
      </w:pPr>
      <w:r>
        <w:t xml:space="preserve">Version: 3.74 | Tool: Claude Code (claude-opus-4-8) | Session: claude/anduril-case-study-iridtj | Date: 29.06.2026 | Changes: CSRD scope refined to the FINAL post-Omnibus figure (Council 24.02.2026):</w:t>
      </w:r>
      <w:r>
        <w:t xml:space="preserve"> </w:t>
      </w:r>
      <w:r>
        <w:t xml:space="preserve">“</w:t>
      </w:r>
      <w:r>
        <w:t xml:space="preserve">After Omnibus</w:t>
      </w:r>
      <w:r>
        <w:t xml:space="preserve">”</w:t>
      </w:r>
      <w:r>
        <w:t xml:space="preserve"> </w:t>
      </w:r>
      <w:r>
        <w:t xml:space="preserve">= fewer than ~5,000 large companies (&gt;1,000 employees AND &gt;450M EUR turnover), replacing the interim ~10,000; flat</w:t>
      </w:r>
      <w:r>
        <w:t xml:space="preserve"> </w:t>
      </w:r>
      <w:r>
        <w:t xml:space="preserve">“</w:t>
      </w:r>
      <w:r>
        <w:t xml:space="preserve">50,000+ by 2028</w:t>
      </w:r>
      <w:r>
        <w:t xml:space="preserve">”</w:t>
      </w:r>
      <w:r>
        <w:t xml:space="preserve"> </w:t>
      </w:r>
      <w:r>
        <w:t xml:space="preserve">market-timing claims corrected to post-Omnibus reality + Scope-3 value-chain pull. Lockstep across all 4 thesis files per CLAUDE.md thesis rule; DWS_TRUTH_STANDARD v2.5 section 2C. Learn/ HTML regeneration (Pandoc) + PhD-side figure references PENDING.</w:t>
      </w:r>
    </w:p>
    <w:p>
      <w:pPr>
        <w:numPr>
          <w:ilvl w:val="0"/>
          <w:numId w:val="1001"/>
        </w:numPr>
      </w:pPr>
      <w:r>
        <w:t xml:space="preserve">Version: 3.73 | Tool: Claude Code | Session: claude/article-research-phd-tvmskz | Date: 28.06.2026 | Changes: Merge conflict resolution: merged branch claude/article-research-phd-tvmskz (v3.71 RQGM §14.33) with origin/main (v3.71 interruption-cost §14.20.8 + v3.72 capability-ontology V3Thesis §10.24). KC#39 numbering collision resolved: main used KC#39 for capability ontology (V3Thesis §10.24), this branch used KC#39 for RQGM (PHD §14.33) → RQGM renumbered to KC#40. All 4 thesis files bumped to v3.73 in lockstep.</w:t>
      </w:r>
    </w:p>
    <w:p>
      <w:pPr>
        <w:numPr>
          <w:ilvl w:val="0"/>
          <w:numId w:val="1001"/>
        </w:numPr>
      </w:pPr>
      <w:r>
        <w:t xml:space="preserve">Version: 3.72 | Tool: Claude Code | Session: claude/winning-sales-strategy-qb1boj | Date: 28.06.2026 | Changes: Added §10.24 (Capability Ontology and Three-Pillar Consulting GTM — from agent taxonomy to enterprise delivery). Implementation evidence: 10 LWM-based knowledge graph classes organising 80+ agent capabilities (62 existing + 18 new), three-pillar consulting model (capability training, industry-specific compliance workflow development, disruption-free project continuity with Keskeytyslaskuri integration), Aegis Defence honest capability correction (SAR orbital detection only — no drone detection), and lifetime.fi website deployment with three-pillar consulting section. Companion artefact:</w:t>
      </w:r>
      <w:r>
        <w:t xml:space="preserve"> </w:t>
      </w:r>
      <w:r>
        <w:rPr>
          <w:rStyle w:val="VerbatimChar"/>
        </w:rPr>
        <w:t xml:space="preserve">docs/KONSULTOINNIN_KASIKIRJA_2026.md</w:t>
      </w:r>
      <w:r>
        <w:t xml:space="preserve"> </w:t>
      </w:r>
      <w:r>
        <w:t xml:space="preserve">v1.5 (Consultant Handbook 2026). Key Contribution #39. All 4 thesis files bumped to v3.72 in lockstep per CLAUDE.md thesis rule.</w:t>
      </w:r>
    </w:p>
    <w:p>
      <w:pPr>
        <w:numPr>
          <w:ilvl w:val="0"/>
          <w:numId w:val="1001"/>
        </w:numPr>
      </w:pPr>
      <w:r>
        <w:t xml:space="preserve">Version: 3.71 | Tool: Claude Code | Session: claude/article-research-phd-tvmskz | Date: 27.06.2026 | Changes: Lockstep version bump 3.70 → 3.71 across all 4 thesis files per CLAUDE.md thesis rule. The v3.71 substantive content (the Red Queen Gödel Machine signal — RQGM, Iacob et al., arXiv:2606.26294v1, 24.06.2026, Cambridge / NVIDIA / Flower Labs / MBZUAI / Inria — an evolutionary framework for recursive self-improvement under non-stationary utilities via controlled utility evolution; names the conformance-temporal gap where fixed evaluators degrade as agents improve, empirically 1.91× over-acceptance; extends the KYA four-track suite with epoch subscripts requiring evaluator re-validation; derives an Article 12 evaluator-calibration requirement; identifies Flower Labs federated learning as sovereignty-preserving transport for co-evolutionary improvement) is a market-signal / scientific-framing contribution and per the §1.4 master-vs-PhD scope rule lives in PHD_FIREHORSE_EN.md §14.33 and Key Contribution #40. No implementation has shipped; this file receives a lockstep-only version-bump entry. Companion artefact: docs/field-notes/2026-06-27-red-queen-godel-machine-rqgm.md.</w:t>
      </w:r>
    </w:p>
    <w:p>
      <w:pPr>
        <w:numPr>
          <w:ilvl w:val="0"/>
          <w:numId w:val="1001"/>
        </w:numPr>
      </w:pPr>
      <w:r>
        <w:t xml:space="preserve">Version: 3.71 | Tool: Claude Code | Session: claude/keskeytyslaskuri-lifetime-missing-6uaxvu | Date: 27.06.2026 | Changes: Lockstep version bump 3.70 → 3.71 across all 4 thesis files per CLAUDE.md thesis rule. The v3.71 substantive content (interruption-cost economics as a five-driver model extending the CSB-track with a CSB-I sub-track, derived from the Keskeytyslaskuri tool at lifetime.fi/laskuri/) is a market-signal/cost-analysis contribution and per the §1.4 master-vs-PhD scope rule lives in PHD_FIREHORSE_EN.md §14.20.8. No implementation-side content belongs in this master’s thesis for this signal, so this file receives a lockstep-only version-bump entry and no new sections.</w:t>
      </w:r>
    </w:p>
    <w:p>
      <w:pPr>
        <w:numPr>
          <w:ilvl w:val="0"/>
          <w:numId w:val="1001"/>
        </w:numPr>
      </w:pPr>
      <w:r>
        <w:t xml:space="preserve">Version: 3.70 | Tool: Claude Code | Session: claude/nvidia-vera-rubin-card-be8g7t | Date: 25.06.2026 | Changes: Lockstep version bump 3.69 → 3.70 across all 4 thesis files per CLAUDE.md thesis rule. The v3.70 substantive content (the regulated-industry autonomous-engineer category — composing the 51 Firehorse Skilled Agents + workflow orchestrators + the KYA bridge into NemoClaw long-running agents under OpenShell, with the KYA/Article-12/EU-sovereign envelope as the defensible remainder) is a strategy/market-signal contribution and per the §1.4 master-vs-PhD scope rule lives in PHD_FIREHORSE_EN.md §14.32 and Key Contribution #38. No implementation has shipped (thesis/strategy-first decision); this file receives a lockstep-only version-bump entry.</w:t>
      </w:r>
      <w:r>
        <w:t xml:space="preserve"> </w:t>
      </w:r>
      <w:r>
        <w:rPr>
          <w:rStyle w:val="VerbatimChar"/>
        </w:rPr>
        <w:t xml:space="preserve">Learn/</w:t>
      </w:r>
      <w:r>
        <w:t xml:space="preserve"> </w:t>
      </w:r>
      <w:r>
        <w:t xml:space="preserve">HTML regenerated at v3.70 via scripts/gen-thesis-html.cjs.</w:t>
      </w:r>
    </w:p>
    <w:p>
      <w:pPr>
        <w:numPr>
          <w:ilvl w:val="0"/>
          <w:numId w:val="1001"/>
        </w:numPr>
      </w:pPr>
      <w:r>
        <w:t xml:space="preserve">Version: 3.69 | Tool: Claude Code | Session: claude/nvidia-vera-rubin-card-be8g7t | Date: 25.06.2026 | Changes: Lockstep version bump 3.68 → 3.69 across all 4 thesis files per CLAUDE.md thesis rule. The v3.69 substantive content (NVIDIA’s June-2026 EuroHPC EU AI-Factory buildout as the public EU-sovereign training upstream, and NVIDIA’s open agent security stack — NeMo Agent Toolkit, OpenShell kernel-sandbox runtime, NemoClaw, Hermes/Nous Research — as a vendor-backed reference runtime for the KYA ASB/SIB tracks) is a market signal and per the §1.4 master-vs-PhD scope rule lives in PHD_FIREHORSE_EN.md §14.31 and Key Contribution #37. The one implementation-side consequence — migrating the agent runtime from bare OpenClaw to the OpenShell-sandboxed NemoClaw distribution on security grounds — is tracked as a scoped engineering migration, not a new master’s-thesis section, so this file receives a lockstep-only version-bump entry.</w:t>
      </w:r>
      <w:r>
        <w:t xml:space="preserve"> </w:t>
      </w:r>
      <w:r>
        <w:rPr>
          <w:rStyle w:val="VerbatimChar"/>
        </w:rPr>
        <w:t xml:space="preserve">Learn/</w:t>
      </w:r>
      <w:r>
        <w:t xml:space="preserve"> </w:t>
      </w:r>
      <w:r>
        <w:t xml:space="preserve">HTML regenerated at v3.69 via scripts/gen-thesis-html.cjs.</w:t>
      </w:r>
    </w:p>
    <w:p>
      <w:pPr>
        <w:numPr>
          <w:ilvl w:val="0"/>
          <w:numId w:val="1001"/>
        </w:numPr>
      </w:pPr>
      <w:r>
        <w:t xml:space="preserve">Version: 3.68 | Tool: Claude Code | Session: claude/aegis-multilingual-pages-3clsx0 | Date: 23.06.2026 | Changes: Lockstep version bump 3.67 → 3.68 across all 4 thesis files per CLAUDE.md thesis rule. The v3.68 substantive content (EU multilingual terminology as the canonical conformance layer for sovereign regulatory claims — the Regulation (EU) 2021/821 dual-use term across the official EU languages; the international-short-form-vs-national-official register decision; and sovereign-defence-market positioning relative to the Finnish defence-tech ecosystem — Nokia, Patria, VTT, NATO DIANA Espoo, EDIP 2026–2027) is a market/regulatory-positioning signal and per the §1.4 master-vs-PhD scope rule lives in PHD_FIREHORSE_EN.md §14.30 (The EU-Multilingual Sovereignty Surface) and Key Contribution #36. The implementation-side artefact — the Aegis intro page (/aegis) and product page (/products/aegis) rendered in five EU languages (FI/SV/DE/FR/EN) via the vertical language bar (vertical-lang-bar.js v1.3) with in-place dws-lang-stay switching and dual-folder mirror sync on dws10.com — is a thin web GTM-surface change already covered by the existing operations-model framing and requires no new master’s-thesis section.</w:t>
      </w:r>
      <w:r>
        <w:t xml:space="preserve"> </w:t>
      </w:r>
      <w:r>
        <w:rPr>
          <w:rStyle w:val="VerbatimChar"/>
        </w:rPr>
        <w:t xml:space="preserve">Learn/</w:t>
      </w:r>
      <w:r>
        <w:t xml:space="preserve"> </w:t>
      </w:r>
      <w:r>
        <w:t xml:space="preserve">HTML regenerated at v3.68 via scripts/gen-thesis-html.cjs.</w:t>
      </w:r>
    </w:p>
    <w:p>
      <w:pPr>
        <w:numPr>
          <w:ilvl w:val="0"/>
          <w:numId w:val="1001"/>
        </w:numPr>
      </w:pPr>
      <w:r>
        <w:t xml:space="preserve">Version: 3.67 | Tool: Claude Code | Session: claude/thesis-v3.64-lockstep-kqtal1 | Date: 21.06.2026 | Changes: Lockstep version bump 3.66 → 3.67 across all 4 thesis files per CLAUDE.md thesis rule. The v3.67 substantive content (the VTV 10/2026 supreme-audit signal on Finnish public-sector AI readiness) is a market/regulatory signal and per the §1.4 master-vs-PhD scope rule lives in PHD_FIREHORSE_EN.md §14.29 (The Finnish Public-Sector AI-Adoption Audit Signal) and Key Contribution #35. No implementation-side content belongs in this master’s thesis for this signal, so this file receives a lockstep-only version-bump entry and no new sections.</w:t>
      </w:r>
      <w:r>
        <w:t xml:space="preserve"> </w:t>
      </w:r>
      <w:r>
        <w:rPr>
          <w:rStyle w:val="VerbatimChar"/>
        </w:rPr>
        <w:t xml:space="preserve">Learn/</w:t>
      </w:r>
      <w:r>
        <w:t xml:space="preserve"> </w:t>
      </w:r>
      <w:r>
        <w:t xml:space="preserve">HTML regenerated at v3.67 via scripts/gen-thesis-html.cjs.</w:t>
      </w:r>
    </w:p>
    <w:p>
      <w:pPr>
        <w:numPr>
          <w:ilvl w:val="0"/>
          <w:numId w:val="1001"/>
        </w:numPr>
      </w:pPr>
      <w:r>
        <w:t xml:space="preserve">Version: 3.66 | Tool: Claude Code | Session: claude/thesis-v3.64-lockstep-kqtal1 | Date: 21.06.2026 | Changes: Added §5.2.1 (Milestone: Agents → Loops → Workflows, June 2026) — implementation evidence for the three-layer AI-native stack: 50 production Skilled Agents (BaseAgent + ledger-native output contract per Firehorse 7), the Maker–Checker Loop Engineering primitive (PR #1447, commit d34876a, shipped 2026-06-08; disk-persisted state / budget gate / safety gate / resumable), and live multi-agent Workflows (MCP Hub fan-out/sequential/reflection); summary table included. Provenance: deferred content from branch claude/lifetime-agents-loops-workflows-t3448v (commit abe8409,</w:t>
      </w:r>
      <w:r>
        <w:t xml:space="preserve"> </w:t>
      </w:r>
      <w:r>
        <w:t xml:space="preserve">“</w:t>
      </w:r>
      <w:r>
        <w:t xml:space="preserve">v3.64 lockstep</w:t>
      </w:r>
      <w:r>
        <w:t xml:space="preserve">”</w:t>
      </w:r>
      <w:r>
        <w:t xml:space="preserve">), held back from PR #1465; rebuilt against current main and renumbered v3.64→v3.66 because main had independently consumed v3.63/v3.64. The scientific/operating-model framing (3–7 year horizon, EU AI Act Articles 12/14/15 properties, structural-sequencing thesis) lives in PHD_FIREHORSE_EN/FI §14.28 and Key Contribution #34 per the §1.4 master-vs-PhD scope rule. All 4 thesis files bumped to v3.66 in lockstep.</w:t>
      </w:r>
    </w:p>
    <w:p>
      <w:pPr>
        <w:numPr>
          <w:ilvl w:val="0"/>
          <w:numId w:val="1001"/>
        </w:numPr>
      </w:pPr>
      <w:r>
        <w:t xml:space="preserve">Version: 3.65 | Tool: Claude Code (claude-opus-4-8) | Session: claude/modest-keller-dGHtw | Date: 22.06.2026 | Changes: Lockstep version bump 3.64 → 3.65 across all 4 thesis files per CLAUDE.md thesis rule. No content change in this master’s thesis file: the v3.65 substantive addition is a demand-side market signal (Simon Willison’s 29.05.2026 round-up confirming enterprise customers pay the listed per-token API price as of April 2026, newest frontier models raising price, Anthropic’s reported ~$1.25B/month SpaceX Colossus inference spend, and Opus-4.8 honesty/abstention gains) which per the master-vs-PhD scope rule §1.4 belongs in the PhD thesis only. See PHD_FIREHORSE_EN.md §14.20.7 (Week-22 Confirmation: The April-2026 Full-Price Inflection and the Verification-Cost Corollary) for the scientific framing, including the verification-cost refinement to the CSB-track (cost-surface stability governed by both inbound token price and outbound verification cost). The implementation-side properties of the Firehorse Operations Model exposed to this signal (Spark owned compute §10.10.6.1, prompt caching, OpenClaw on owned hardware) are already documented in this master’s thesis and require no new sections — the signal validates the existing implementation discipline. Companion artefact: docs/field-notes/2026-06-01-simon-willison-pmf-api-cost-edge-moat.md; customer-facing surfacing on dws10.com homepage (</w:t>
      </w:r>
      <w:r>
        <w:t xml:space="preserve">“</w:t>
      </w:r>
      <w:r>
        <w:t xml:space="preserve">The European Moat</w:t>
      </w:r>
      <w:r>
        <w:t xml:space="preserve">”</w:t>
      </w:r>
      <w:r>
        <w:t xml:space="preserve">) and buy page (</w:t>
      </w:r>
      <w:r>
        <w:t xml:space="preserve">“</w:t>
      </w:r>
      <w:r>
        <w:t xml:space="preserve">No Per-Token Cost</w:t>
      </w:r>
      <w:r>
        <w:t xml:space="preserve">”</w:t>
      </w:r>
      <w:r>
        <w:t xml:space="preserve">), both mirrored to landing-pages/dws10-com/.</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3.64 | Tool: Claude Code (claude-sonnet-4-6) | Session: claude/capital-classes-audit-jgworp | Date: 20.06.2026 | Changes: Added §10.23.7 (Mapping the Four Capital Classes to the Architecture) — maps the 4P canon (Prompt, People, Plant, Perception) to the DWS IQ 6 Brain-Memory-Body-Hands architecture with a component mapping table and cross-references; introduces the GTM land-and-expand pattern as the implementation-level consequence of Perception Capital’s accumulation mechanism; Key Contribution #33. Lockstep version bump 3.63 → 3.64 per CLAUDE.md thesis rule; PhD §14.26/§14.27 (theory + Kaukopää case) in PHD_FIREHORSE_EN/FI.md are the scientific framing (PhD scope per §1.4). Companion artefacts: docs/field-notes/2026-06-19-token-capital-human-capital-control-room-capital.md (v2.0), DWS_BRAND_STANDARD.md §23.</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3.63 | Tool: Claude Code (claude-fable-5) | Session: claude/token-human-capital-mjrbc7 | Date: 19.06.2026 | Changes: Added §10.23 (Three-Capital Accumulation Model — Token Capital, Human Capital, Control Room Capital as Durable Assets of the DWS IQ 6 Operating Model). Implementation-side content per the §1.4 master-vs-PhD scope rule: documents the 7-month HIL phase (Oct 2025 – Jun 2026) as a production engineering event, the measured token capital inventory (30+ skills, 150+ field notes, 50-agent foundry, Article 12 audit trail), the Control Room architecture as deployed in DWS IQ 6, and the HIL → HIC operational transition observable from June 2026. The market-signal and scientific framing (Nadella Build 2026, theoretical three-capital model, competitive barrier analysis, KYA Standard extension) lives in PHD_FIREHORSE_EN.md §14.25 and Key Contribution #30. All 4 thesis files bumped to v3.63 in lockstep per CLAUDE.md thesis rule. Companion artefact: docs/field-notes/2026-06-19-token-capital-human-capital-control-room-capital.md.</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3.62 | Tool: Claude Code | Session: claude/ai-spending-coalition-china-b8d2c | Date: 07.06.2026 | Changes: Lockstep version bump 3.61 → 3.62 across all 4 thesis files per CLAUDE.md thesis rule. Per the §1.4 master-vs-PhD scope rule, the v3.62 substantive content (a year-by-year study of AI expenditure by the</w:t>
      </w:r>
      <w:r>
        <w:t xml:space="preserve"> </w:t>
      </w:r>
      <w:r>
        <w:t xml:space="preserve">“</w:t>
      </w:r>
      <w:r>
        <w:t xml:space="preserve">coalition of the willing</w:t>
      </w:r>
      <w:r>
        <w:t xml:space="preserve">”</w:t>
      </w:r>
      <w:r>
        <w:t xml:space="preserve"> </w:t>
      </w:r>
      <w:r>
        <w:t xml:space="preserve">— G7 + aligned partners — versus China, scope = all AI investment) is market-signal / scientific framing and lives in PHD_FIREHORSE_EN.md §14.24 (The AI-Spending Asymmetry: G7-plus-Partners Capital Dominance, China’s Capital-Efficiency Counter-Trajectory, and the Sovereign-Compute Implication) and Key Contribution #29. No implementation-side content belongs in this master’s thesis for this signal, so this file receives a lockstep-only version-bump entry and no new sections. Primary sources for the PhD section: Stanford HAI AI Index Report 2025 &amp; 2026 (Economy chapters); Paris AI Action Summit (Feb 2025); G7 2025 (Canadian presidency) AI Adoption Roadmap.</w:t>
      </w:r>
    </w:p>
    <w:p>
      <w:pPr>
        <w:numPr>
          <w:ilvl w:val="0"/>
          <w:numId w:val="1001"/>
        </w:numPr>
      </w:pPr>
      <w:r>
        <w:t xml:space="preserve">Version: 3.61 | Tool: Claude Code (claude-opus-4-7) | Session: claude/sovereignty-field-note-2-R0Un5 | Date: 28.05.2026 | Changes: Lockstep version bump 3.60 → 3.61 across all 4 thesis files per CLAUDE.md thesis rule. Per the §1.4 master-vs-PhD scope rule, the v3.61 substantive content (the three-pillar × three-jurisdiction sovereignty taxonomy and the post-quantum cryptographic overlay) is market-signal / scientific framing and lives in PHD_FIREHORSE_EN.md §14.23 (Three-Pillar Sovereignty Taxonomy and Jurisdiction-Dependent Dynamics in Global Enterprises) and Key Contribution #28; the §1.2 PhD research questions have been restructured with Sovereignty as item #1 (the connecting research thread) and the §1.6 supervisor letter to Prof. Kari Smolander has been refreshed to v3.61. The implementation-side properties of the Firehorse Operations Model that compose with this taxonomy (DWS6’s Aegis / Sovereign Infra / Connect product segmentation per</w:t>
      </w:r>
      <w:r>
        <w:t xml:space="preserve"> </w:t>
      </w:r>
      <w:r>
        <w:rPr>
          <w:rStyle w:val="VerbatimChar"/>
        </w:rPr>
        <w:t xml:space="preserve">DWS_DEPLOYMENT_STANDARD.md</w:t>
      </w:r>
      <w:r>
        <w:t xml:space="preserve"> </w:t>
      </w:r>
      <w:r>
        <w:t xml:space="preserve">lines 165–172) are already documented in this master’s thesis in the sovereignty segmentation discussions, and no new implementation sections are required. This commit adds a new closing section</w:t>
      </w:r>
      <w:r>
        <w:t xml:space="preserve"> </w:t>
      </w:r>
      <w:r>
        <w:t xml:space="preserve">“</w:t>
      </w:r>
      <w:r>
        <w:t xml:space="preserve">Bibliography (Oxford)</w:t>
      </w:r>
      <w:r>
        <w:t xml:space="preserve">”</w:t>
      </w:r>
      <w:r>
        <w:t xml:space="preserve"> </w:t>
      </w:r>
      <w:r>
        <w:t xml:space="preserve">listing the canonical sources referenced from this master’s thesis, together with the chapter index showing which chapter cites which source (Oxford notes-bibliography style). Companion artefacts: docs/field-notes/2026-05-28-three-pillars-sovereignty-global.md (bilingual EN+FI field note), onelifetime.world/posts/sovereignty-field-note-2-three-pillars.html (EN canonical) + .fi.html (FI mirror) with landing-pages mirrors, docs/sales/2026-05-28-rightful-oy-partnership-proposal.md, and the Shufti partner letter refresh.</w:t>
      </w:r>
    </w:p>
    <w:p>
      <w:pPr>
        <w:numPr>
          <w:ilvl w:val="0"/>
          <w:numId w:val="1001"/>
        </w:numPr>
      </w:pPr>
      <w:r>
        <w:t xml:space="preserve">Version: 3.60 | Tool: Claude Code (claude-opus-4-7) | Session: claude/ai-services-audit-eY3rW | Date: 27.05.2026 | Changes: Lockstep version bump 3.59 → 3.60 across all 4 thesis files per CLAUDE.md thesis rule. No content change in this master’s thesis file: the v3.60 substantive addition is a services-tier market signal (2026-05-04 formation of a $1.5B AI-native enterprise services firm — Anthropic $300M + Blackstone $300M + Hellman &amp; Friedman $300M + Goldman Sachs $150M founding — targeting mid-sized businesses deploying Claude across core operations; 2026-05-21 acquisition of Fractional AI as the operational centrepiece, ending Fractional’s 11-month OpenAI partnership) which per the master-vs-PhD scope rule §1.4 belongs in the PhD thesis only. See PHD_FIREHORSE_EN.md §14.22 (Model-Provider-Aligned Services Tier: The Anthropic / Blackstone / Hellman &amp; Friedman / Goldman Sachs Vehicle and the Sovereign-Outcome Counter-Position) and Key Contribution #27 (Model-Provider-Aligned Services Tier and the Sovereign-Outcome Counter-Position) for the scientific framing, including the elevation of competitive positioning to a KYA conformance predicate testable via the existing four-track ASB / EAB / CSB / SIB vocabulary. The implementation-side properties of the Firehorse Operations Model that compose with this signal (catalogue repositioning of 8 Red-zone consultancy SKUs, two new outcome-priced SKUs AIS-EU-SOV-OC and AIS-OUTCOME-PILOT, retirement of two</w:t>
      </w:r>
      <w:r>
        <w:t xml:space="preserve"> </w:t>
      </w:r>
      <w:r>
        <w:rPr>
          <w:rStyle w:val="VerbatimChar"/>
        </w:rPr>
        <w:t xml:space="preserve">_OLD</w:t>
      </w:r>
      <w:r>
        <w:t xml:space="preserve"> </w:t>
      </w:r>
      <w:r>
        <w:t xml:space="preserve">SKUs, promotion of six defensible regulatory / sovereignty SKUs to featured) are operationally codified in</w:t>
      </w:r>
      <w:r>
        <w:t xml:space="preserve"> </w:t>
      </w:r>
      <w:r>
        <w:rPr>
          <w:rStyle w:val="VerbatimChar"/>
        </w:rPr>
        <w:t xml:space="preserve">scripts/ai_services_audit_apply.py</w:t>
      </w:r>
      <w:r>
        <w:t xml:space="preserve"> </w:t>
      </w:r>
      <w:r>
        <w:t xml:space="preserve">and applied to</w:t>
      </w:r>
      <w:r>
        <w:t xml:space="preserve"> </w:t>
      </w:r>
      <w:r>
        <w:rPr>
          <w:rStyle w:val="VerbatimChar"/>
        </w:rPr>
        <w:t xml:space="preserve">dws10.com/config/products.json</w:t>
      </w:r>
      <w:r>
        <w:t xml:space="preserve"> </w:t>
      </w:r>
      <w:r>
        <w:t xml:space="preserve">plus the dual-folder mirror in the same commit set as part of normal product operations; they do not require new master’s-thesis sections because the catalogue layer is a product-implementation artefact already covered by the existing operations-model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3.59 | Tool: Claude Code (Opus 4.7) | Session: claude/unitree-robotics-story-Ggp7v | Date: 23.05.2026 | Changes: Lockstep version bump 3.58 → 3.59 across all 4 thesis files per CLAUDE.md thesis rule. No content change in this master’s thesis file: the v3.59 substantive addition is a market signal (Unitree Robotics commercial profile — humanoids at $5,900 vs Boston Dynamics quadruped at $74,500, ~70% global quadruped market, 7,000+ humanoids deployed across 600+ industrial sites, only profitable humanoid manufacturer on Earth + the 200-hour 249,000-package autonomous warehouse run + PLA/Ukraine weaponisation footage and House China Committee letter + documented Go1/G1 security findings: default-credential remote tunnel, fleet-wide shared encryption key, Bluetooth self-propagation, mandatory 5-minute telemetry to PRC-reachable infrastructure on the G1) which per the master-vs-PhD scope rule §1.4 belongs in the PhD thesis only. See PHD_FIREHORSE_EN.md §14.21 (The Chinese Humanoid Signal: Vertical-Integration Moat, Embodied-AI Commercial Maturity, and the Security-vs-Sovereignty Tension) and Key Contribution #26 (The Vertical-Integration Moat and Substrate-Integrity Conformance in Embodied-AI Operating Models) for the scientific framing, including the new SIB-track (Substrate-Integrity Conformance) extending the KYA Standard to a four-track suite ASB / EAB / CSB / SIB and operationally specifying the §14.13 LWM Sequencing Strategy Phase 3 (physical AI) qualifying property. The implementation-side properties of the Firehorse Operations Model that compose with this signal (KYA-bound agent population, hardware-attested harness §14.12, LWM Sequencing Strategy §14.13, owned-substrate testbed) are already documented in their respective sections of this master’s thesis and require no further additions — the signal validates the existing implementation discipline and adds a standards-layer extension (SIB-track) that belongs to the PhD scientific scope rather than master’s product-implementation scope.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3.58 | Tool: Claude Code (Opus 4.7) | Session: claude/ai-pricing-enterprise-Cnzfu | Date: 21.05.2026 | Changes: Lockstep version bump 3.57 → 3.58 across all 4 thesis files per CLAUDE.md thesis rule. No content change in this master’s thesis file: the v3.58 substantive addition is a demand-side market signal (Microsoft cancels internal Claude Code licenses on token-billing grounds despite ~$13B OpenAI stake + Anthropic-powering Azure capacity; Uber CTO memo — entire 2026 AI budget consumed in four months; US AI software prices +20–37% in H1 2026; GitHub flat-rate plans phased out for usage-based billing across Copilot/Codespaces/Actions) which per the master-vs-PhD scope rule §1.4 belongs in the PhD thesis only. See PHD_FIREHORSE_EN.md §14.20 (AI Pricing Capitulation: The Token-Based Billing Squeeze and the Operating-Cost Discipline of Owned-Compute Operations) and Key Contribution #25 (Demand-Side Capitulation and the Cost-Surface Stability Dimension of Agentic AI Conformity) for the scientific framing, including the new CSB-track (Cost-Surface Stability under deployment) extending EU AI Act Article 14 oversight from quality to affordability-stability variable. The implementation-side properties of the Firehorse Operations Model that are exposed to this signal (Spark NVFP4 owned compute §10.10.6.1, prompt caching architecture, OpenClaw on owned hardware, Proton mailbox-per-agent, multi-provider routing with task-aware model-selector) are already documented in their respective sections of this master’s thesis and require no further additions — the signal validates the existing implementation discipline rather than triggering new product work.</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3.57 | Tool: Claude Code (Opus 4.7) | Session: claude/multi-agent-ai-alignment-F2NIO | Date: 17.05.2026 | Changes: Lockstep version bump 3.56 → 3.57 across all 4 thesis files per CLAUDE.md thesis rule. No content change in this master’s thesis file: the v3.57 substantive addition is a market/standardisation signal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 Standard falsifiability locus) which per the master-vs-PhD scope rule §1.4 belongs in the PhD thesis only. See PHD_FIREHORSE_EN.md §14.19 (Multi-Agent Emergent Misalignment and Incentive Design as the Alignment Unit) and Key Contribution #24 for the scientific framing.</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3.56 | Tool: Claude Code | Session: claude/compare-qwen-deepseek-E6Gly | Date: 16.05.2026 | Changes: Added §10.10.6.1 (Hardware Brain Update — May 2026) documenting the Spark Primary tier swap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w:t>
      </w:r>
      <w:r>
        <w:t xml:space="preserve">(~4.5× decode speedup, MoE 123.6B / 12.7B active, Mamba-2 + attention + Latent MoE, NVFP4-pretrained), the Fast tier upgrade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and the addition of OpenClaw as a first-class compose service for EU-sovereign no-egress agent workloads. Implementation artefacts cited: field note 2026-03-29 v1.6, DWS_DEPLOYMENT_STANDARD.md v1.4, docker-compose.yml, DWS7_ROADMAP.md PR 161 re-base. Market-signal rationale (compute scarcity, NVFP4 hardware moat) cross-referenced to PHD_FIREHORSE_EN §14.18 per the master-vs-PhD scope rule §1.4. All 4 thesis files bumped to v3.56 in lockstep per CLAUDE.md thesis rule.</w:t>
      </w:r>
      <w:r>
        <w:t xml:space="preserve"> </w:t>
      </w:r>
      <w:r>
        <w:rPr>
          <w:rStyle w:val="VerbatimChar"/>
        </w:rPr>
        <w:t xml:space="preserve">Learn/</w:t>
      </w:r>
      <w:r>
        <w:t xml:space="preserve"> </w:t>
      </w:r>
      <w:r>
        <w:t xml:space="preserve">HTML regeneration required (not in this commit — needs Pandoc build).</w:t>
      </w:r>
    </w:p>
    <w:p>
      <w:pPr>
        <w:numPr>
          <w:ilvl w:val="0"/>
          <w:numId w:val="1001"/>
        </w:numPr>
      </w:pPr>
      <w:r>
        <w:t xml:space="preserve">Version: 3.55 | Tool: GitHub Copilot CLI (GPT-5.3-Codex) | Session: main | Date: 11.05.2026 | Changes: Version bump from 3.54 to 3.55 in lockstep across all 4 thesis files; fixed VERSION AND AGENT HISTORY closing delimiter to ***; regenerated Learn thesis HTML outputs at v3.55</w:t>
      </w:r>
    </w:p>
    <w:p>
      <w:pPr>
        <w:numPr>
          <w:ilvl w:val="0"/>
          <w:numId w:val="1001"/>
        </w:numPr>
      </w:pPr>
      <w:r>
        <w:t xml:space="preserve">Version: 3.54 | Tool: Claude Code (Sonnet 4.6) | Session: main | Date: 10.05.2026 | Changes: Added §1.4 Content Scope Rule — master’s thesis is product/implementation-focused, excludes market intelligence and long-horizon roadmap; scope rule written into CLAUDE.md and mirrored in all 4 thesis files; PhD thesis differentiation formalized; version bump in lockstep per CLAUDE.md thesis rule</w:t>
      </w:r>
    </w:p>
    <w:p>
      <w:pPr>
        <w:numPr>
          <w:ilvl w:val="0"/>
          <w:numId w:val="1001"/>
        </w:numPr>
      </w:pPr>
      <w:r>
        <w:t xml:space="preserve">Version: 3.53 | Tool: Claude Code (Sonnet 4.6) | Session: main | Date: 10.05.2026 | Changes: Added agent accountability and observability layer as new Key Contribution: AgentLogger (structured JSONL + non-blocking Supabase agent_executions), AgentVersionRegistry for version rollback, drift-detector.ts daily confidence-drop reports, eval-runner.ts compliance dataset scoring — directly implements EU AI Act Articles 9 (risk management), 12 (logging), and 14 (human oversight) obligations as running production code; Baseten added as OpenAI-compatible LLM provider expanding multi-provider routing to Groq/Baseten/OpenAI with task-aware model-selector; /case-run skill registered (Themis v2.0 case-coordinate action — case-type→sub-agent mapping), Legora AOS competitive analysis documenting DWS Case entity roadmap P0 actions; Outokumpu CBAM partnership model as first industrial-buyer compliance cost quantification case; TokenSpeed inference engine field note (LightSeek MIT — TensorRT-LLM-class throughput, DGX Spark fit assessment); all 4 thesis files bumped in lockstep per CLAUDE.md thesis rule</w:t>
      </w:r>
    </w:p>
    <w:p>
      <w:pPr>
        <w:numPr>
          <w:ilvl w:val="0"/>
          <w:numId w:val="1001"/>
        </w:numPr>
      </w:pPr>
      <w:r>
        <w:t xml:space="preserve">Version: 3.52 | Tool: Claude Code (Opus 4.7) | Session: claude/update-thesis-ontology-blog-3RGKG | Date: 29.04.2026 | Changes: Added Section 1.6</w:t>
      </w:r>
      <w:r>
        <w:t xml:space="preserve"> </w:t>
      </w:r>
      <w:r>
        <w:t xml:space="preserve">“</w:t>
      </w:r>
      <w:r>
        <w:t xml:space="preserve">Ontology — Etymology and Philosophical Background</w:t>
      </w:r>
      <w:r>
        <w:t xml:space="preserve">”</w:t>
      </w:r>
      <w:r>
        <w:t xml:space="preserve"> </w:t>
      </w:r>
      <w:r>
        <w:t xml:space="preserve">linking the thesis to ONTOLOGY.md v1.3 (Greek ón + lógos, Aristotle, scholastic 17th–18th c. systematization, modern computer-science meaning). Aligns thesis terminology with the canonical DWS Ontology Standard. All 4 thesis files bumped in lockstep per CLAUDE.md thesis rule.</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Added Section 10.22 (DWS Skilled Taxonomy — Three Tiers Across Agents, Workflows, and Jurisdictions); deprecated</w:t>
      </w:r>
      <w:r>
        <w:t xml:space="preserve"> </w:t>
      </w:r>
      <w:r>
        <w:t xml:space="preserve">“</w:t>
      </w:r>
      <w:r>
        <w:t xml:space="preserve">GodAgent</w:t>
      </w:r>
      <w:r>
        <w:t xml:space="preserve">”</w:t>
      </w:r>
      <w:r>
        <w:t xml:space="preserve">/</w:t>
      </w:r>
      <w:r>
        <w:t xml:space="preserve">“</w:t>
      </w:r>
      <w:r>
        <w:t xml:space="preserve">Godagent</w:t>
      </w:r>
      <w:r>
        <w:t xml:space="preserve">”</w:t>
      </w:r>
      <w:r>
        <w:t xml:space="preserve"> </w:t>
      </w:r>
      <w:r>
        <w:t xml:space="preserve">branding; codified the</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three-tier pattern across three active axes (Agents, Workflows, Jurisdictions — EU/US/Aiven); pattern designed for extensibility to future capability axes (Datasets, Models, Regulations, Reports); added count-dynamism patterns (open-ended</w:t>
      </w:r>
      <w:r>
        <w:t xml:space="preserve"> </w:t>
      </w:r>
      <w:r>
        <w:rPr>
          <w:rStyle w:val="VerbatimChar"/>
        </w:rPr>
        <w:t xml:space="preserve">18+</w:t>
      </w:r>
      <w:r>
        <w:t xml:space="preserve">, registry-anchored, product-scoped); codified exclusions (Docker/infra identifiers, Pantheon Greek-mythology brand, historical records); canonical source of truth is</w:t>
      </w:r>
      <w:r>
        <w:t xml:space="preserve"> </w:t>
      </w:r>
      <w:r>
        <w:rPr>
          <w:rStyle w:val="VerbatimChar"/>
        </w:rPr>
        <w:t xml:space="preserve">docs/Deputy-Agents-Architecture.md</w:t>
      </w:r>
      <w:r>
        <w:t xml:space="preserve"> </w:t>
      </w:r>
      <w:r>
        <w:t xml:space="preserve">§1 Terminology; added Key Contribution #31</w:t>
      </w:r>
    </w:p>
    <w:p>
      <w:pPr>
        <w:numPr>
          <w:ilvl w:val="0"/>
          <w:numId w:val="1001"/>
        </w:numPr>
      </w:pPr>
      <w:r>
        <w:t xml:space="preserve">Version: 3.36 | Tool: GitHub Copilot CLI (GPT-5.3-Codex) | Session: f2a5b1e0-a01c-489a-8d33-fde09a7dd970 | Date: 21.04.2026 | Changes: Expanded Section 10.21 with Boardy-sourced refinements: KYA open-source standard path via Agentic AI Foundation / Linux Foundation, explicit NIST status (not submitted), Article 1 title lock, 2026-2029 publication phasing, and EIC Step 1 deliverable linkage; added Key Contribution #30</w:t>
      </w:r>
    </w:p>
    <w:p>
      <w:pPr>
        <w:numPr>
          <w:ilvl w:val="0"/>
          <w:numId w:val="1001"/>
        </w:numPr>
      </w:pPr>
      <w:r>
        <w:t xml:space="preserve">Version: 3.35 | Tool: GitHub Copilot CLI (GPT-5.3-Codex) | Session: f2a5b1e0-a01c-489a-8d33-fde09a7dd970 | Date: 21.04.2026 | Changes: Added Section 10.21 (doctoral-track targeting): KYA positioned toward Agentic AI Foundation standardization, DWS 7 objectives as empirical frame, DWS 5 -&gt; hydrogen-economy continuity, dual-use stream with Nokia Defence discussions, Aegis/Sovereign Infra/Connect sovereignty segmentation (core figure), Siemens and NVIDIA Connect collaboration anchors, and supervisor-response structure; added Key Contribution #29</w:t>
      </w:r>
    </w:p>
    <w:p>
      <w:pPr>
        <w:numPr>
          <w:ilvl w:val="0"/>
          <w:numId w:val="1001"/>
        </w:numPr>
      </w:pPr>
      <w:r>
        <w:t xml:space="preserve">Version: 3.34 | Tool: Claude Code (Opus 4.7) | Session: claude/update-thesis-work-EoyoF | Date: 20.04.2026 | Changes: Added Section 10.20 (April 2026 Evolution) — four subsections covering Anthropic Skills Paradigm validation (external confirmation of DWS skill-first architecture from §10.13.3), Lifetime Fleet roadmap crystallization (Finland Drone Strategy 2030 + Baltic-first 12–16wk MVP graduating</w:t>
      </w:r>
      <w:r>
        <w:t xml:space="preserve"> </w:t>
      </w:r>
      <w:r>
        <w:t xml:space="preserve">“</w:t>
      </w:r>
      <w:r>
        <w:t xml:space="preserve">Hands</w:t>
      </w:r>
      <w:r>
        <w:t xml:space="preserve">”</w:t>
      </w:r>
      <w:r>
        <w:t xml:space="preserve"> </w:t>
      </w:r>
      <w:r>
        <w:t xml:space="preserve">layer from spec to timeline), DWS IQ 7 Datacentre Compliance Agent (22nd industry, RFNBO Delegated Regulation 2023/1184 green-hydrogen additionality), Regulatory Stack Expansion to NIS2+CER (Hybridiosaamiskeskus 8.5.2026, CORE resilience model), and Founder→Team Transition (SOLO_FOUNDER_STATEMENT v1.2, CTO co-builder, /investor-outreach skill, 10+ INTRO notes); added Key Contributions #25–#28</w:t>
      </w:r>
    </w:p>
    <w:p>
      <w:pPr>
        <w:numPr>
          <w:ilvl w:val="0"/>
          <w:numId w:val="1001"/>
        </w:numPr>
      </w:pPr>
      <w:r>
        <w:t xml:space="preserve">Version: 3.33 | Tool: Claude Code (Opus 4.6) | Session: claude/add-red-hat-partners-d8Hey | Date: 21.03.2026 | Changes: Added Red Hat Key Findings market data to Platform Economics (§2.2), inference shift validation to Edge Computing (§2.4), Red Hat AgentOps partnership to Strategic Partnerships (§10.12.4), updated SWOT Opportunities with $644B market and inference shift data</w:t>
      </w:r>
    </w:p>
    <w:p>
      <w:pPr>
        <w:numPr>
          <w:ilvl w:val="0"/>
          <w:numId w:val="1001"/>
        </w:numPr>
      </w:pPr>
      <w:r>
        <w:t xml:space="preserve">Version: 3.32 | Tool: Claude Code (Opus 4.6) | Session: claude/review-claude-skills-vZQ0r | Date: 03.04.2026 | Changes: Added Section 10.19 (Thesis Versioning Strategy: v3.30.50 Metropolia Freeze); added Key Contribution #23; created frozen V3Thesis_EN_v3.30.50.md (50-page restructured Metropolia outgoing) while preserving 82-page living document; updated footer with dual-version architecture</w:t>
      </w:r>
    </w:p>
    <w:p>
      <w:pPr>
        <w:numPr>
          <w:ilvl w:val="0"/>
          <w:numId w:val="1001"/>
        </w:numPr>
      </w:pPr>
      <w:r>
        <w:t xml:space="preserve">Version: 3.31 | Tool: Claude Code (Opus 4.6) | Session: claude/review-claude-skills-vZQ0r | Date: 31.03.2026 | Changes: Updated Section 10.13.3 (Skills inventory from 6→21 skills, 4 subagents, 4 discipline skills); added Section 10.13.7 (Competitive Analysis: Domain-Specific vs Generic AI Harness — benchmarking against ECC 136-skill framework, six competitive differentiators documented); added Key Contribution #22</w:t>
      </w:r>
    </w:p>
    <w:p>
      <w:pPr>
        <w:numPr>
          <w:ilvl w:val="0"/>
          <w:numId w:val="1001"/>
        </w:numPr>
      </w:pPr>
      <w:r>
        <w:t xml:space="preserve">Version: 3.30 | Tool: Claude Code (Opus 4.6) | Session: claude/research-leworldmodel-r3VRA | Date: 25.03.2026 | Changes: Added Section 10.18 (LWM Sequencing Strategy — From Regulatory Intelligence to Physical AI): three-phase sequencing (compliance→fleet→Series A), LeWorldModel validation (arXiv:2603.19312), Phase 2 technical gap analysis (input modality, scale, regulatory-physical integration), investor objection handling with Persefoni/Sweep comparables; added Key Contribution #21</w:t>
      </w:r>
    </w:p>
    <w:p>
      <w:pPr>
        <w:numPr>
          <w:ilvl w:val="0"/>
          <w:numId w:val="1001"/>
        </w:numPr>
      </w:pPr>
      <w:r>
        <w:t xml:space="preserve">Version: 3.29 | Tool: Claude Code (Opus 4.6) | Session: claude/add-debit-credit-compliance-FevOa | Date: 24.03.2026 | Changes: Added Section 10.17 (Conclusion: Carbon Balance Sheet as Compliance Infrastructure) — debit-credit ledger thesis, double-entry bookkeeping for CO2 across ETS/CBAM/CSRD/Taxonomy, cross-vertical intelligence via ledger reconciliation, DWS 7 Phase 2.6 implementation plan; added Key Contribution #20 (was #20 Agent Memory — renumbered to #21)</w:t>
      </w:r>
    </w:p>
    <w:p>
      <w:pPr>
        <w:numPr>
          <w:ilvl w:val="0"/>
          <w:numId w:val="1001"/>
        </w:numPr>
      </w:pPr>
      <w:r>
        <w:t xml:space="preserve">Version: 3.28 | Tool: Claude Code (Opus 4.6) | Session: claude/agent-memory-fact-extraction-gLEss | Date: 23.03.2026 | Changes: Added Section 10.10.7 Agent Memory Fact Extraction Pipeline (PR-254): LLM-based structured fact extraction from conversations to subject-predicate-value triples, dual memory architecture (LWM domain knowledge + client relationship memory), three missing execution layers identified (Firehorse state machine, ERP connector layer, KYA governance wrapper); updated PR roadmap with KYA-first ordering (255→KYA audit→257→256→259→258); added Key Contribution #20; noted KYA Standard v1.4 internal / v1.1 public delta</w:t>
      </w:r>
    </w:p>
    <w:p>
      <w:pPr>
        <w:numPr>
          <w:ilvl w:val="0"/>
          <w:numId w:val="1001"/>
        </w:numPr>
      </w:pPr>
      <w:r>
        <w:t xml:space="preserve">Version: 3.27 | Tool: Claude Code (Opus 4.6) | Session: claude/qantic-energy-analysis-Yjg00 | Date: 21.03.2026 | Changes: Added Section 10.7.3 LWM Product-Market Validation (Qantic GmbH energy sector case study — first external validation of LWM commercial value outside construction, €21,693/year BESS compliance cost calculation, 6-industry expansion path for MAN-type clients, Solution Factory model confirmed); updated 16→20 industries in LWM sections; renumbered 10.7.3→10.7.4 Orchestration Studio</w:t>
      </w:r>
    </w:p>
    <w:p>
      <w:pPr>
        <w:numPr>
          <w:ilvl w:val="0"/>
          <w:numId w:val="1001"/>
        </w:numPr>
      </w:pPr>
      <w:r>
        <w:t xml:space="preserve">Version: 3.26 | Tool: Claude Code (Opus 4.6) | Session: claude/refine-thesis-critique-RP6Dv | Date: 16.03.2026 | Changes: Updated section 8 Results and Analysis with v3.16–3.25 evidence: harness engineering metrics (52.8%→66.5%), 13-agent Pantheon system, customer MVP features (API keys, metering, reports), PostgreSQL HTAP architecture, A/B testing results integration, updated compliance readiness (EU AI Act Art 12 implemented), updated SWOT with strategic partnerships; added new section 8.7 A/B Testing and Feedback Channel Results</w:t>
      </w:r>
    </w:p>
    <w:p>
      <w:pPr>
        <w:numPr>
          <w:ilvl w:val="0"/>
          <w:numId w:val="1001"/>
        </w:numPr>
      </w:pPr>
      <w:r>
        <w:t xml:space="preserve">Version: 3.25 | Tool: Claude Code (Opus 4.6) | Session: claude/add-harness-engineering-thesis-2zvZt | Date: 14.03.2026 | Changes: Added Section 10.16 (Harness Engineering — From Prompt Engineering to System Design): OpenAI’s 8 principles, DWS IQ 6 comparison with 6-layer L0-L6 architecture, empirical result (52.8%→66.5% from harness alone), EU regulation requires different harness than Silicon Valley; added Key Contribution #19</w:t>
      </w:r>
    </w:p>
    <w:p>
      <w:pPr>
        <w:numPr>
          <w:ilvl w:val="0"/>
          <w:numId w:val="1001"/>
        </w:numPr>
      </w:pPr>
      <w:r>
        <w:t xml:space="preserve">Version: 3.24 | Tool: Claude Code (Opus 4.6) | Session: claude/plan-postgres-columnar-3bSn6 | Date: 13.03.2026 | Changes: Expanded Appendix G glossary with Data Architecture (9 terms) and Research Methodology (4 terms) — autoresearch, HTAP, Hypercore, two-tier architecture, KYA, proxy-to-scale</w:t>
      </w:r>
    </w:p>
    <w:p>
      <w:pPr>
        <w:numPr>
          <w:ilvl w:val="0"/>
          <w:numId w:val="1001"/>
        </w:numPr>
      </w:pPr>
      <w:r>
        <w:t xml:space="preserve">Version: 3.23 | Tool: Claude Code (Opus 4.6) | Session: claude/plan-postgres-columnar-3bSn6 | Date: 13.03.2026 | Changes: Updated Section 10.15 with 2026 Aiven-first mandate: Hydra→Supabase Warehouse (Feb 2026), pg_mooncake→Databricks (Oct 2025), TimescaleDB 2.25.x Hypercore as approved standard, Aiven whitelist confirmed (pg_duckdb BLOCKED), two-tier HTAP (Aiven managed + GN100 edge), edge PostgreSQL deployment; added Key Contribution #18; updated footer</w:t>
      </w:r>
    </w:p>
    <w:p>
      <w:pPr>
        <w:numPr>
          <w:ilvl w:val="0"/>
          <w:numId w:val="1001"/>
        </w:numPr>
      </w:pPr>
      <w:r>
        <w:t xml:space="preserve">Version: 3.22 | Tool: Claude Code (Opus 4.6) | Session: claude/plan-postgres-columnar-3bSn6 | Date: 12.03.2026 | Changes: Added Section 10.15 (PostgreSQL Columnar HTAP Architecture — DWS Data Standard): pg_duckdb + TimescaleDB on Aiven EU for single-database HTAP, 4-phase rollout, DWS_DATA_STANDARD.md creation, EU regulatory compliance matrix (GDPR, EU AI Act Art 12, NIS2, CSRD, EU Data Act 2023/2854); added Key Contribution #17; updated footer</w:t>
      </w:r>
    </w:p>
    <w:p>
      <w:pPr>
        <w:numPr>
          <w:ilvl w:val="0"/>
          <w:numId w:val="1001"/>
        </w:numPr>
      </w:pPr>
      <w:r>
        <w:t xml:space="preserve">Version: 3.21 | Tool: Claude Code (Opus 4.6) | Session: claude/vigorous-meitner | Date: 09.03.2026 | Changes: Added Section 10.14 (Agent System Hardening — Production Reliability): 6 TypeScript compilation errors fixed, 3 test failures resolved, SandboxContext type alignment with opensandbox stage, MCP/HIL route wiring, locale-deterministic number formatting, dependency hygiene (luxon); added Key Contribution #16; updated footer</w:t>
      </w:r>
    </w:p>
    <w:p>
      <w:pPr>
        <w:numPr>
          <w:ilvl w:val="0"/>
          <w:numId w:val="1001"/>
        </w:numPr>
      </w:pPr>
      <w:r>
        <w:t xml:space="preserve">Version: 3.20 | Tool: Claude Code (Opus 4.6) | Session: claude/build-mvp-features-nFk7k | Date: 08.03.2026 | Changes: Added Key Contribution #15 (Customer-Facing MVP Features — API Key Management, Usage Metering with 3-tier billing, Compliance Report Export with scheduling); demonstrates transition from developer tools to customer-ready SaaS platform; validates Solution Factory productization hypothesis</w:t>
      </w:r>
    </w:p>
    <w:p>
      <w:pPr>
        <w:numPr>
          <w:ilvl w:val="0"/>
          <w:numId w:val="1001"/>
        </w:numPr>
      </w:pPr>
      <w:r>
        <w:t xml:space="preserve">Version: 3.19 | Tool: Claude Code (Opus 4.6) | Session: claude/happy-rhodes | Date: 07.03.2026 | Changes: Expanded Section 2.5.3 MCP Hub Orchestration Patterns with implementation details (4 patterns: Fan-Out, Sequential, Reflection, Pipeline), endpoints, context passing, production readiness table; added Section 2.5.4 Skills and CLIs as Agent Interfaces (Three-Interface Rule: CLI + MCP + Skills)</w:t>
      </w:r>
    </w:p>
    <w:p>
      <w:pPr>
        <w:numPr>
          <w:ilvl w:val="0"/>
          <w:numId w:val="1001"/>
        </w:numPr>
      </w:pPr>
      <w:r>
        <w:t xml:space="preserve">Version: 3.18 | Tool: GitHub Copilot (Claude Opus 4.6) | Session: Learn-Thinking | Date: 04.03.2026 | Changes: Added Section 9.5 Learn Thinking — daily learning loop via Learn/ folder, thesis files added to Generate-PDFs pipeline, reflective learning framework for AI-assisted product development</w:t>
      </w:r>
    </w:p>
    <w:p>
      <w:pPr>
        <w:numPr>
          <w:ilvl w:val="0"/>
          <w:numId w:val="1001"/>
        </w:numPr>
      </w:pPr>
      <w:r>
        <w:t xml:space="preserve">Version: 3.17 | Tool: Claude Code (Sonnet 4.6) | Session: claude/implement-workflow-agents-CHFFN | Date: 02.03.2026 | Changes: Added Section 10.13 (Climate IQ Pantheon — Greek/Roman God Multi-Agent System: 6 Orchestrators + 7 Industry Specialists, SOUL.md pattern, prompt injection fix, EU AI Act Article 12 logging); added Key Contribution #12; updated footer</w:t>
      </w:r>
    </w:p>
    <w:p>
      <w:pPr>
        <w:numPr>
          <w:ilvl w:val="0"/>
          <w:numId w:val="1001"/>
        </w:numPr>
      </w:pPr>
      <w:r>
        <w:t xml:space="preserve">Version: 3.17 | Tool: Claude Code (Sonnet 4.6) | Session: claude/organize-repo-structure-F3xqn | Date: 02.03.2026 | Changes: Added Section 10.13 (Claude Code Engineering Structure: AI Workflow as First-Class Engineering) — CLAUDE.md as project memory, Skills as reusable workflow components, Hooks for automated validation, Subagents for parallel execution; added Key Contribution #12; updated footer; validated against emerging Claude Code community best practices</w:t>
      </w:r>
    </w:p>
    <w:p>
      <w:pPr>
        <w:numPr>
          <w:ilvl w:val="0"/>
          <w:numId w:val="1001"/>
        </w:numPr>
      </w:pPr>
      <w:r>
        <w:t xml:space="preserve">Version: 3.16 | Tool: Claude Code (Sonnet 4.6) | Session: claude/sandbox-agents-opensandbox-HatfC | Date: 01.03.2026 | Changes: CONSOLIDATED — resolves version drift 3.12-3.15. Added Section 10.11 (CEO Automation Agent Suite: Captain Briefing, LinkedIn Scheduler, EU Regulation Monitor); Section 10.12 (Strategic Partnerships: NVIDIA, Siemens, ABB, xAI, Mistral + Multi-LLM Router); added Key Contributions #10-11; updated footer</w:t>
      </w:r>
    </w:p>
    <w:p>
      <w:pPr>
        <w:numPr>
          <w:ilvl w:val="0"/>
          <w:numId w:val="1001"/>
        </w:numPr>
      </w:pPr>
      <w:r>
        <w:t xml:space="preserve">Version: 3.15 | Tool: Cursor AI / Claude Code | Session: [untracked] | Date: 25-27.02.2026 | Changes: [UNTRACKED DRIFT] DWS6→DWS7 transition documentation; CLAUDE.md compaction; session handover protocol; ZenFree security integration; Resend email agent</w:t>
      </w:r>
    </w:p>
    <w:p>
      <w:pPr>
        <w:numPr>
          <w:ilvl w:val="0"/>
          <w:numId w:val="1001"/>
        </w:numPr>
      </w:pPr>
      <w:r>
        <w:t xml:space="preserve">Version: 3.14 | Tool: Claude Code (Sonnet 4.6) | Session: claude/sandbox-agents-opensandbox-HatfC | Date: 01.03.2026 | Changes: [CAPTURED IN 3.11] OpenSandbox Stage 1.5 on Acer Veriton GN100; EMPO² agent memory (arXiv:2602.23008)</w:t>
      </w:r>
    </w:p>
    <w:p>
      <w:pPr>
        <w:numPr>
          <w:ilvl w:val="0"/>
          <w:numId w:val="1001"/>
        </w:numPr>
      </w:pPr>
      <w:r>
        <w:t xml:space="preserve">Version: 3.13 | Tool: Claude Code (Opus 4.6) | Session: claude/dws6-dws7-update-doc-I2Cgk | Date: 27.02.2026 | Changes: [UNTRACKED DRIFT] Strategic partnerships expanded: NVIDIA Inception, Siemens Xcelerator, ABB Ability, xAI Grok, Mistral EU-sovereign; multi-LLM router architecture</w:t>
      </w:r>
    </w:p>
    <w:p>
      <w:pPr>
        <w:numPr>
          <w:ilvl w:val="0"/>
          <w:numId w:val="1001"/>
        </w:numPr>
      </w:pPr>
      <w:r>
        <w:t xml:space="preserve">Version: 3.12 | Tool: Claude Code (Opus 4.6) | Session: claude/ai-agent-orchestration-t89Ig | Date: 24.02.2026 | Changes: [UNTRACKED DRIFT] CEO Automation Agent Suite: Captain Pre-Briefing, LinkedIn Post Scheduler, EU Regulation Monitor — 3 production agents with GitHub Actions cron</w:t>
      </w:r>
    </w:p>
    <w:p>
      <w:pPr>
        <w:numPr>
          <w:ilvl w:val="0"/>
          <w:numId w:val="1001"/>
        </w:numPr>
      </w:pPr>
      <w:r>
        <w:t xml:space="preserve">Version: 3.11 | Tool: Claude Code (Sonnet 4.6) | Session: claude/sandbox-agents-opensandbox-HatfC | Date: 01.03.2026 | Changes: Added Section 10.10 (Agent Foundry Stage 1.5 — OpenSandbox on Acer Veriton GN100); added EMPO² reference (arXiv:2602.23008 — hybrid on/off-policy RL for memory-augmented agents); updated NCC Sandbox stage annotation; added Key Contribution #9</w:t>
      </w:r>
    </w:p>
    <w:p>
      <w:pPr>
        <w:numPr>
          <w:ilvl w:val="0"/>
          <w:numId w:val="1001"/>
        </w:numPr>
      </w:pPr>
      <w:r>
        <w:t xml:space="preserve">Version: 3.10 | Tool: Claude Code (Opus 4.6) | Session: claude/modernize-dws7-77v2B | Date: 24.02.2026 | Changes: Added Section 10.9 DWS7 Agent Architecture Modernization — documents 6 critical fixes (agentic loops, tool use, multi-provider LLM, agent delegation, MCP server, event bus), Build for Agents principle (CLI, Claude Code Skills), agent-first product design philosophy</w:t>
      </w:r>
    </w:p>
    <w:p>
      <w:pPr>
        <w:numPr>
          <w:ilvl w:val="0"/>
          <w:numId w:val="1001"/>
        </w:numPr>
      </w:pPr>
      <w:r>
        <w:t xml:space="preserve">Version: 3.9 | Tool: Claude Code (Opus 4.6) | Session: claude/add-sdk-sandbox-isolation-Q0lzp | Date: 21.02.2026 | Changes: Enhanced LWM definition as enterprise learning layer (fine-tunes data/regulation, optimizes market value, ensures competitive advantage), added 25+-industry cross-learning network effects analysis</w:t>
      </w:r>
    </w:p>
    <w:p>
      <w:pPr>
        <w:numPr>
          <w:ilvl w:val="0"/>
          <w:numId w:val="1001"/>
        </w:numPr>
      </w:pPr>
      <w:r>
        <w:t xml:space="preserve">Version: 3.8 | Tool: Claude Code (Opus 4.6) | Session: claude/add-sdk-sandbox-isolation-Q0lzp | Date: 21.02.2026 | Changes: Added sections 10.6 Per-Industry Open LLM Selection (20 industries, 7 candidate models), 10.7 Enterprise BYOA Architecture (Bring Your Own Agent — NCC scenario, 24 agents, Langflow+React Flow+Temporal.io graphical workflow builder, contractor onboarding flow)</w:t>
      </w:r>
    </w:p>
    <w:p>
      <w:pPr>
        <w:numPr>
          <w:ilvl w:val="0"/>
          <w:numId w:val="1001"/>
        </w:numPr>
      </w:pPr>
      <w:r>
        <w:t xml:space="preserve">Version: 3.7 | Tool: Claude Code (Opus 4.6) | Session: HIL-PR-Automation | Date: 20.02.2026 | Changes: Added Appendix H — Automated PR Workflow (HIL Automation): dual-model AI review (Claude + Gemini), Copilot fix loop, auto-merge workflow, MCP Hub Gemini endpoint, Cloud Run dws6run6 deployment. Generated versioned HTML for Learn/</w:t>
      </w:r>
    </w:p>
    <w:p>
      <w:pPr>
        <w:numPr>
          <w:ilvl w:val="0"/>
          <w:numId w:val="1001"/>
        </w:numPr>
      </w:pPr>
      <w:r>
        <w:t xml:space="preserve">Version: 3.6 | Tool: Claude Code (Opus 4.6) | Session: e5wXD | Date: 20.02.2026 | Changes: Updated DWS standards, admin manuals with HIL automation references. Version header correction (3.4-3.5 were not tracked)</w:t>
      </w:r>
    </w:p>
    <w:p>
      <w:pPr>
        <w:numPr>
          <w:ilvl w:val="0"/>
          <w:numId w:val="1001"/>
        </w:numPr>
      </w:pPr>
      <w:r>
        <w:t xml:space="preserve">Version: 3.5 | Tool: Claude Code (Opus 4.6) | Session: e7fe405 | Date: 20.02.2026 | Changes: Added section 12 IPR Protection &amp; Trade Secret Strategy, section 13 Prompt Caching Architecture for AI Agents, renumbered sections 12-15 → 14-17, added EU Trade Secrets Directive references</w:t>
      </w:r>
    </w:p>
    <w:p>
      <w:pPr>
        <w:numPr>
          <w:ilvl w:val="0"/>
          <w:numId w:val="1001"/>
        </w:numPr>
      </w:pPr>
      <w:r>
        <w:t xml:space="preserve">Version: 3.4 | Tool: Cursor AI (Claude Sonnet 4.6) | Session: 278819d | Date: 18.02.2026 | Changes: Company rename Lifetime Consulting Oy → Lifetime Oy across all documentation (Omnibus_Fit55 analysis files)</w:t>
      </w:r>
    </w:p>
    <w:p>
      <w:pPr>
        <w:numPr>
          <w:ilvl w:val="0"/>
          <w:numId w:val="1001"/>
        </w:numPr>
      </w:pPr>
      <w:r>
        <w:t xml:space="preserve">Version: 3.3 | Tool: Claude Code (Opus 4.6) | Session: V3-Merge | Date: 10.02.2026 | Changes: Merged Thesis_FI.md (v2.1) and V2Thesis_FI.md (v3.2) into a single consolidated version. Fixed Scandinavian characters, updated identifiers, added DWS10 e-commerce, audio chat and HIL pipeline sections, Karpathy appendix, Firehorse operating model sections</w:t>
      </w:r>
    </w:p>
    <w:p>
      <w:pPr>
        <w:numPr>
          <w:ilvl w:val="0"/>
          <w:numId w:val="1001"/>
        </w:numPr>
      </w:pPr>
      <w:r>
        <w:t xml:space="preserve">Version: 3.2 | Tool: Claude Code (Opus 4.6) | Session: HIL-Pipeline | Date: 07.02.2026 | Changes: Added section 6.7 - Human-in-the-Loop learning pipeline (daily automation, three-layer backup, Learn/ folder output)</w:t>
      </w:r>
    </w:p>
    <w:p>
      <w:pPr>
        <w:numPr>
          <w:ilvl w:val="0"/>
          <w:numId w:val="1001"/>
        </w:numPr>
      </w:pPr>
      <w:r>
        <w:t xml:space="preserve">Version: 3.1 | Tool: Claude Code (Opus 4.5) | Session: Karpathy-Principles | Date: 04.02.2026 | Changes: Added Appendix E - AI Agent Behavioral Guidelines (Karpathy Principles), EU AI Act compliance mapping, implementation outcome metrics</w:t>
      </w:r>
    </w:p>
    <w:p>
      <w:pPr>
        <w:numPr>
          <w:ilvl w:val="0"/>
          <w:numId w:val="1001"/>
        </w:numPr>
      </w:pPr>
      <w:r>
        <w:t xml:space="preserve">Version: 3.0 | Tool: Claude Code (Opus 4.5) | Session: DWS10-Store-Integration | Date: 28.01.2026 | Changes: Added DWS10.com e-commerce store findings, Google Merchant Center integration, Revolut Business payments, Audio chat evolution roadmap with Groq/Llama models, Industry carbon footprint calculator, EU compliance mapping</w:t>
      </w:r>
    </w:p>
    <w:p>
      <w:pPr>
        <w:numPr>
          <w:ilvl w:val="0"/>
          <w:numId w:val="1001"/>
        </w:numPr>
      </w:pPr>
      <w:r>
        <w:t xml:space="preserve">Version: 2.2 | Tool: Word (HIL) | Session: dws6.com Google Run | Date: 19.01.2026 | Changes: Google admin@dws6.com and project under Google. Established 19.1.2026. Google Workspace Standard adopted. DNS records changed from Proton to Google. Created project dws6run to serve Google Run processes.</w:t>
      </w:r>
    </w:p>
    <w:p>
      <w:pPr>
        <w:numPr>
          <w:ilvl w:val="0"/>
          <w:numId w:val="1001"/>
        </w:numPr>
      </w:pPr>
      <w:r>
        <w:t xml:space="preserve">Version: 2.1 | Tool: Cursor AI (Claude) | Session: 16-Industries | Date: 06.01.2026 | Changes: Added Fit for 55 25+-industry analysis, AI usage disclosure, DWS10 use cases, expanded current state analysis</w:t>
      </w:r>
    </w:p>
    <w:p>
      <w:pPr>
        <w:numPr>
          <w:ilvl w:val="0"/>
          <w:numId w:val="1001"/>
        </w:numPr>
      </w:pPr>
      <w:r>
        <w:t xml:space="preserve">Version: 2.0 | Tool: Cursor AI (Claude) | Session: Thesis-Revision | Date: 05.01.2026 | Changes: Major revision - Added Solution Factory model, AgentFoundry documentation, Lifetime Scope Signals theory, SWOT analysis, research questions answers, complete theoretical framework</w:t>
      </w:r>
    </w:p>
    <w:p>
      <w:pPr>
        <w:numPr>
          <w:ilvl w:val="0"/>
          <w:numId w:val="1001"/>
        </w:numPr>
      </w:pPr>
      <w:r>
        <w:t xml:space="preserve">Version: 1.0 | Tool: GitHub Copilot | Session: 2025-12-30 | Date: 30.12.2025 | Changes: Applied DWS document standard, synchronized with Finnish version</w:t>
      </w:r>
    </w:p>
    <w:p>
      <w:pPr>
        <w:pStyle w:val="FirstParagraph"/>
      </w:pPr>
      <w:r>
        <w:t xml:space="preserve">Session Links &amp; References:</w:t>
      </w:r>
    </w:p>
    <w:p>
      <w:pPr>
        <w:numPr>
          <w:ilvl w:val="0"/>
          <w:numId w:val="1002"/>
        </w:numPr>
        <w:pStyle w:val="Compact"/>
      </w:pPr>
      <w:r>
        <w:t xml:space="preserve">Claude Code (2026-02-10): V3 merge and Scandinavian character fixes</w:t>
      </w:r>
    </w:p>
    <w:p>
      <w:pPr>
        <w:numPr>
          <w:ilvl w:val="0"/>
          <w:numId w:val="1002"/>
        </w:numPr>
        <w:pStyle w:val="Compact"/>
      </w:pPr>
      <w:r>
        <w:t xml:space="preserve">Claude Code (2026-01-28): DWS10 store integration, Google Merchant, Revolut, Audio chat roadmap</w:t>
      </w:r>
    </w:p>
    <w:p>
      <w:pPr>
        <w:numPr>
          <w:ilvl w:val="0"/>
          <w:numId w:val="1002"/>
        </w:numPr>
        <w:pStyle w:val="Compact"/>
      </w:pPr>
      <w:r>
        <w:t xml:space="preserve">Cursor AI (2026-01-05): Thesis revision integrating codebase evidence</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https://github.com/blogtheristo/dws6/blob/main/docs/metropolia/master-thesis/en/V3Thesis_EN.md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English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open-source standard path, NIST status, Article 1 refinement, publication phasing)</w:t>
      </w:r>
    </w:p>
    <w:p>
      <w:r>
        <w:pict>
          <v:rect style="width:0;height:1.5pt" o:hralign="center" o:hrstd="t" o:hr="t"/>
        </w:pict>
      </w:r>
    </w:p>
    <w:p>
      <w:pPr>
        <w:pStyle w:val="FirstParagraph"/>
      </w:pPr>
      <w:r>
        <w:rPr>
          <w:bCs/>
          <w:b/>
        </w:rPr>
        <w:t xml:space="preserve">Master’s Thesis</w:t>
      </w:r>
      <w:r>
        <w:t xml:space="preserve"> </w:t>
      </w:r>
      <w:r>
        <w:rPr>
          <w:bCs/>
          <w:b/>
        </w:rPr>
        <w:t xml:space="preserve">Metropolia University of Applied Sciences</w:t>
      </w:r>
    </w:p>
    <w:p>
      <w:pPr>
        <w:pStyle w:val="BodyText"/>
      </w:pPr>
      <w:r>
        <w:rPr>
          <w:bCs/>
          <w:b/>
        </w:rPr>
        <w:t xml:space="preserve">Author:</w:t>
      </w:r>
      <w:r>
        <w:t xml:space="preserve"> </w:t>
      </w:r>
      <w:r>
        <w:t xml:space="preserve">Risto Anton Päärni</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Date:</w:t>
      </w:r>
      <w:r>
        <w:t xml:space="preserve"> </w:t>
      </w:r>
      <w:r>
        <w:t xml:space="preserve">16.1.2026</w:t>
      </w:r>
      <w:r>
        <w:t xml:space="preserve"> </w:t>
      </w:r>
      <w:r>
        <w:rPr>
          <w:bCs/>
          <w:b/>
        </w:rPr>
        <w:t xml:space="preserve">InvestEU Portal:</w:t>
      </w:r>
      <w:r>
        <w:t xml:space="preserve"> </w:t>
      </w:r>
      <w:r>
        <w:t xml:space="preserve">Project Lifetime World, DWS IQ 6, Firehorse (INPO-20254383) submitted for publication on the InvestEU Portal on 25.12.2025 — InvestEU Portal Team, European Commission</w:t>
      </w:r>
    </w:p>
    <w:p>
      <w:r>
        <w:pict>
          <v:rect style="width:0;height:1.5pt" o:hralign="center" o:hrstd="t" o:hr="t"/>
        </w:pict>
      </w:r>
    </w:p>
    <w:bookmarkStart w:id="22"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2"/>
    <w:bookmarkStart w:id="23" w:name="tiivistelma"/>
    <w:p>
      <w:pPr>
        <w:pStyle w:val="Heading2"/>
      </w:pPr>
      <w:r>
        <w:t xml:space="preserve">Tiivistelma</w:t>
      </w:r>
    </w:p>
    <w:p>
      <w:pPr>
        <w:pStyle w:val="FirstParagraph"/>
      </w:pPr>
      <w:r>
        <w:t xml:space="preserve">Tama opinnaytetyo tutkii Firehorse-tuotevalmistuksen toimintamallia, joka yhdistaa pilvi- ja reunalaskentateknologiat teollisten pk-yritysten tarpeisiin. Tyo keskittyy rakennusteollisuuteen ja sen haasteisiin EU:n kaksoissiirtymassa (digitaalinen + vihrea).</w:t>
      </w:r>
      <w:r>
        <w:t xml:space="preserve"> </w:t>
      </w:r>
      <w:r>
        <w:rPr>
          <w:bCs/>
          <w:b/>
        </w:rPr>
        <w:t xml:space="preserve">Versio 3.0 laajentaa tutkimusta verkkokauppavalidoinnilla DWS10.com-kaupan toteutuksen, Google Merchant Center -integraation, Revolut Business -maksukasittelyn ja aanichat-kehityssuunnitelman kautta Groq-inferenssia ja Llama-malleja kayttaen.</w:t>
      </w:r>
    </w:p>
    <w:p>
      <w:pPr>
        <w:pStyle w:val="BodyText"/>
      </w:pPr>
      <w:r>
        <w:rPr>
          <w:bCs/>
          <w:b/>
        </w:rPr>
        <w:t xml:space="preserve">Avainsanat:</w:t>
      </w:r>
      <w:r>
        <w:t xml:space="preserve"> </w:t>
      </w:r>
      <w:r>
        <w:t xml:space="preserve">Tekoaly, reunalaskenta, rakennusteollisuus, toimintamalli, pilvipalvelut, verkkokauppa, Google Merchant Center, Revolut Business, aanichat, EU:n tekoalysaados</w:t>
      </w:r>
    </w:p>
    <w:p>
      <w:r>
        <w:pict>
          <v:rect style="width:0;height:1.5pt" o:hralign="center" o:hrstd="t" o:hr="t"/>
        </w:pict>
      </w:r>
    </w:p>
    <w:bookmarkEnd w:id="23"/>
    <w:bookmarkStart w:id="25" w:name="ai-tool-usage-disclosure"/>
    <w:p>
      <w:pPr>
        <w:pStyle w:val="Heading2"/>
      </w:pPr>
      <w:r>
        <w:t xml:space="preserve">AI Tool Usage Disclosure</w:t>
      </w:r>
    </w:p>
    <w:p>
      <w:pPr>
        <w:pStyle w:val="FirstParagraph"/>
      </w:pPr>
      <w:r>
        <w:t xml:space="preserve">AI-assisted tools were used in the preparation of this thesis in accordance with transparency and academic integrity principles.</w:t>
      </w:r>
    </w:p>
    <w:p>
      <w:pPr>
        <w:pStyle w:val="BodyText"/>
      </w:pPr>
      <w:r>
        <w:rPr>
          <w:bCs/>
          <w:b/>
        </w:rPr>
        <w:t xml:space="preserve">Tools used:</w:t>
      </w:r>
    </w:p>
    <w:p>
      <w:pPr>
        <w:numPr>
          <w:ilvl w:val="0"/>
          <w:numId w:val="1004"/>
        </w:numPr>
        <w:pStyle w:val="Compact"/>
      </w:pPr>
      <w:r>
        <w:rPr>
          <w:bCs/>
          <w:b/>
        </w:rPr>
        <w:t xml:space="preserve">Claude Code (Anthropic Opus 4.5/4.6)</w:t>
      </w:r>
      <w:r>
        <w:t xml:space="preserve"> </w:t>
      </w:r>
      <w:r>
        <w:t xml:space="preserve">— DWS10 e-commerce store integration, documentation generation, V3 merge</w:t>
      </w:r>
    </w:p>
    <w:p>
      <w:pPr>
        <w:numPr>
          <w:ilvl w:val="0"/>
          <w:numId w:val="1004"/>
        </w:numPr>
        <w:pStyle w:val="Compact"/>
      </w:pPr>
      <w:r>
        <w:rPr>
          <w:bCs/>
          <w:b/>
        </w:rPr>
        <w:t xml:space="preserve">Claude (Anthropic)</w:t>
      </w:r>
      <w:r>
        <w:t xml:space="preserve"> </w:t>
      </w:r>
      <w:r>
        <w:t xml:space="preserve">— Text editing, structure review, language improvement</w:t>
      </w:r>
    </w:p>
    <w:p>
      <w:pPr>
        <w:numPr>
          <w:ilvl w:val="0"/>
          <w:numId w:val="1004"/>
        </w:numPr>
        <w:pStyle w:val="Compact"/>
      </w:pPr>
      <w:r>
        <w:rPr>
          <w:bCs/>
          <w:b/>
        </w:rPr>
        <w:t xml:space="preserve">Cursor AI</w:t>
      </w:r>
      <w:r>
        <w:t xml:space="preserve"> </w:t>
      </w:r>
      <w:r>
        <w:t xml:space="preserve">— Code documentation, technical section validation</w:t>
      </w:r>
    </w:p>
    <w:p>
      <w:pPr>
        <w:numPr>
          <w:ilvl w:val="0"/>
          <w:numId w:val="1004"/>
        </w:numPr>
        <w:pStyle w:val="Compact"/>
      </w:pPr>
      <w:r>
        <w:rPr>
          <w:bCs/>
          <w:b/>
        </w:rPr>
        <w:t xml:space="preserve">GitHub Copilot</w:t>
      </w:r>
      <w:r>
        <w:t xml:space="preserve"> </w:t>
      </w:r>
      <w:r>
        <w:t xml:space="preserve">— Code examples, technical documentation</w:t>
      </w:r>
    </w:p>
    <w:p>
      <w:pPr>
        <w:pStyle w:val="FirstParagraph"/>
      </w:pPr>
      <w:r>
        <w:rPr>
          <w:bCs/>
          <w:b/>
        </w:rPr>
        <w:t xml:space="preserve">AI’s role in documentation:</w:t>
      </w:r>
    </w:p>
    <w:p>
      <w:pPr>
        <w:numPr>
          <w:ilvl w:val="0"/>
          <w:numId w:val="1005"/>
        </w:numPr>
        <w:pStyle w:val="Compact"/>
      </w:pPr>
      <w:r>
        <w:t xml:space="preserve">Language review and improvement suggestions (FI/EN)</w:t>
      </w:r>
    </w:p>
    <w:p>
      <w:pPr>
        <w:numPr>
          <w:ilvl w:val="0"/>
          <w:numId w:val="1005"/>
        </w:numPr>
        <w:pStyle w:val="Compact"/>
      </w:pPr>
      <w:r>
        <w:t xml:space="preserve">Technical documentation structuring and harmonization</w:t>
      </w:r>
    </w:p>
    <w:p>
      <w:pPr>
        <w:numPr>
          <w:ilvl w:val="0"/>
          <w:numId w:val="1005"/>
        </w:numPr>
        <w:pStyle w:val="Compact"/>
      </w:pPr>
      <w:r>
        <w:t xml:space="preserve">Translation assistance Finnish-English</w:t>
      </w:r>
    </w:p>
    <w:p>
      <w:pPr>
        <w:numPr>
          <w:ilvl w:val="0"/>
          <w:numId w:val="1005"/>
        </w:numPr>
        <w:pStyle w:val="Compact"/>
      </w:pPr>
      <w:r>
        <w:t xml:space="preserve">Table and diagram formatting</w:t>
      </w:r>
    </w:p>
    <w:p>
      <w:pPr>
        <w:numPr>
          <w:ilvl w:val="0"/>
          <w:numId w:val="1005"/>
        </w:numPr>
        <w:pStyle w:val="Compact"/>
      </w:pPr>
      <w:r>
        <w:t xml:space="preserve">E-commerce maintenance manual generation</w:t>
      </w:r>
    </w:p>
    <w:p>
      <w:pPr>
        <w:pStyle w:val="FirstParagraph"/>
      </w:pPr>
      <w:r>
        <w:rPr>
          <w:bCs/>
          <w:b/>
        </w:rPr>
        <w:t xml:space="preserve">Author’s original contribution:</w:t>
      </w:r>
    </w:p>
    <w:p>
      <w:pPr>
        <w:numPr>
          <w:ilvl w:val="0"/>
          <w:numId w:val="1006"/>
        </w:numPr>
        <w:pStyle w:val="Compact"/>
      </w:pPr>
      <w:r>
        <w:t xml:space="preserve">All research questions, hypotheses, and conclusions</w:t>
      </w:r>
    </w:p>
    <w:p>
      <w:pPr>
        <w:numPr>
          <w:ilvl w:val="0"/>
          <w:numId w:val="1006"/>
        </w:numPr>
        <w:pStyle w:val="Compact"/>
      </w:pPr>
      <w:r>
        <w:t xml:space="preserve">Original content, argumentation, and analysis</w:t>
      </w:r>
    </w:p>
    <w:p>
      <w:pPr>
        <w:numPr>
          <w:ilvl w:val="0"/>
          <w:numId w:val="1006"/>
        </w:numPr>
        <w:pStyle w:val="Compact"/>
      </w:pPr>
      <w:r>
        <w:t xml:space="preserve">Live codebase and implementation (dws6 repository: 50,000+ LOC)</w:t>
      </w:r>
    </w:p>
    <w:p>
      <w:pPr>
        <w:numPr>
          <w:ilvl w:val="0"/>
          <w:numId w:val="1006"/>
        </w:numPr>
        <w:pStyle w:val="Compact"/>
      </w:pPr>
      <w:r>
        <w:t xml:space="preserve">Business model design and validation</w:t>
      </w:r>
    </w:p>
    <w:p>
      <w:pPr>
        <w:numPr>
          <w:ilvl w:val="0"/>
          <w:numId w:val="1006"/>
        </w:numPr>
        <w:pStyle w:val="Compact"/>
      </w:pPr>
      <w:r>
        <w:t xml:space="preserve">Customer interviews and data (Uber, Bolt, Kela — EUR 10k MRR)</w:t>
      </w:r>
    </w:p>
    <w:p>
      <w:pPr>
        <w:numPr>
          <w:ilvl w:val="0"/>
          <w:numId w:val="1006"/>
        </w:numPr>
        <w:pStyle w:val="Compact"/>
      </w:pPr>
      <w:r>
        <w:t xml:space="preserve">Solution Factory model and AgentFoundry architecture development</w:t>
      </w:r>
    </w:p>
    <w:p>
      <w:pPr>
        <w:numPr>
          <w:ilvl w:val="0"/>
          <w:numId w:val="1006"/>
        </w:numPr>
        <w:pStyle w:val="Compact"/>
      </w:pPr>
      <w:r>
        <w:t xml:space="preserve">DWS10.com e-commerce product catalog and integrations</w:t>
      </w:r>
    </w:p>
    <w:p>
      <w:pPr>
        <w:pStyle w:val="FirstParagraph"/>
      </w:pPr>
      <w:r>
        <w:rPr>
          <w:bCs/>
          <w:b/>
        </w:rPr>
        <w:t xml:space="preserve">Evidence base:</w:t>
      </w:r>
    </w:p>
    <w:p>
      <w:pPr>
        <w:numPr>
          <w:ilvl w:val="0"/>
          <w:numId w:val="1007"/>
        </w:numPr>
        <w:pStyle w:val="Compact"/>
      </w:pPr>
      <w:r>
        <w:t xml:space="preserve">Git version history:</w:t>
      </w:r>
      <w:r>
        <w:t xml:space="preserve"> </w:t>
      </w:r>
      <w:hyperlink r:id="rId24">
        <w:r>
          <w:rPr>
            <w:rStyle w:val="Hyperlink"/>
          </w:rPr>
          <w:t xml:space="preserve">github.com/blogtheristo/dws6</w:t>
        </w:r>
      </w:hyperlink>
    </w:p>
    <w:p>
      <w:pPr>
        <w:numPr>
          <w:ilvl w:val="0"/>
          <w:numId w:val="1007"/>
        </w:numPr>
        <w:pStyle w:val="Compact"/>
      </w:pPr>
      <w:r>
        <w:t xml:space="preserve">Live customer validation: EUR 10,000+ MRR</w:t>
      </w:r>
    </w:p>
    <w:p>
      <w:pPr>
        <w:numPr>
          <w:ilvl w:val="0"/>
          <w:numId w:val="1007"/>
        </w:numPr>
        <w:pStyle w:val="Compact"/>
      </w:pPr>
      <w:r>
        <w:t xml:space="preserve">Working system: DWS10.com, DWS6.com, onelifetime.world, lifetime.fi</w:t>
      </w:r>
    </w:p>
    <w:p>
      <w:pPr>
        <w:numPr>
          <w:ilvl w:val="0"/>
          <w:numId w:val="1007"/>
        </w:numPr>
        <w:pStyle w:val="Compact"/>
      </w:pPr>
      <w:r>
        <w:t xml:space="preserve">Google Merchant Center: Account 8496329, 30 products approved</w:t>
      </w:r>
    </w:p>
    <w:p>
      <w:r>
        <w:pict>
          <v:rect style="width:0;height:1.5pt" o:hralign="center" o:hrstd="t" o:hr="t"/>
        </w:pict>
      </w:r>
    </w:p>
    <w:bookmarkEnd w:id="25"/>
    <w:bookmarkEnd w:id="26"/>
    <w:bookmarkStart w:id="27" w:name="table-of-contents"/>
    <w:p>
      <w:pPr>
        <w:pStyle w:val="Heading1"/>
      </w:pPr>
      <w:r>
        <w:t xml:space="preserve">Table of Contents</w:t>
      </w:r>
    </w:p>
    <w:p>
      <w:pPr>
        <w:numPr>
          <w:ilvl w:val="0"/>
          <w:numId w:val="1008"/>
        </w:numPr>
        <w:pStyle w:val="Compact"/>
      </w:pPr>
      <w:hyperlink w:anchor="Xe3d0fc0bea9a42ce7605565d0964033d7f6ee47">
        <w:r>
          <w:rPr>
            <w:rStyle w:val="Hyperlink"/>
          </w:rPr>
          <w:t xml:space="preserve">Introduction</w:t>
        </w:r>
      </w:hyperlink>
    </w:p>
    <w:p>
      <w:pPr>
        <w:numPr>
          <w:ilvl w:val="0"/>
          <w:numId w:val="1008"/>
        </w:numPr>
        <w:pStyle w:val="Compact"/>
      </w:pPr>
      <w:hyperlink w:anchor="X0d367b1edd1e6cb2f835f9b794fc1341b7723dd">
        <w:r>
          <w:rPr>
            <w:rStyle w:val="Hyperlink"/>
          </w:rPr>
          <w:t xml:space="preserve">Theoretical Framework</w:t>
        </w:r>
      </w:hyperlink>
    </w:p>
    <w:p>
      <w:pPr>
        <w:numPr>
          <w:ilvl w:val="0"/>
          <w:numId w:val="1008"/>
        </w:numPr>
        <w:pStyle w:val="Compact"/>
      </w:pPr>
      <w:hyperlink w:anchor="X9dbdde364144146c097b503be74725a4bdb84dd">
        <w:r>
          <w:rPr>
            <w:rStyle w:val="Hyperlink"/>
          </w:rPr>
          <w:t xml:space="preserve">Current State Analysis</w:t>
        </w:r>
      </w:hyperlink>
    </w:p>
    <w:p>
      <w:pPr>
        <w:numPr>
          <w:ilvl w:val="0"/>
          <w:numId w:val="1008"/>
        </w:numPr>
        <w:pStyle w:val="Compact"/>
      </w:pPr>
      <w:hyperlink w:anchor="Xd696a447ada39aeae08e61a22c48a1c7b05213c">
        <w:r>
          <w:rPr>
            <w:rStyle w:val="Hyperlink"/>
          </w:rPr>
          <w:t xml:space="preserve">DWS6 Operating Model Design</w:t>
        </w:r>
      </w:hyperlink>
    </w:p>
    <w:p>
      <w:pPr>
        <w:numPr>
          <w:ilvl w:val="0"/>
          <w:numId w:val="1008"/>
        </w:numPr>
        <w:pStyle w:val="Compact"/>
      </w:pPr>
      <w:hyperlink w:anchor="X84fd9ef713f3174dd65965a39b1c268df904512">
        <w:r>
          <w:rPr>
            <w:rStyle w:val="Hyperlink"/>
          </w:rPr>
          <w:t xml:space="preserve">Implementation (MVP Phase)</w:t>
        </w:r>
      </w:hyperlink>
    </w:p>
    <w:p>
      <w:pPr>
        <w:numPr>
          <w:ilvl w:val="0"/>
          <w:numId w:val="1008"/>
        </w:numPr>
        <w:pStyle w:val="Compact"/>
      </w:pPr>
      <w:hyperlink w:anchor="Xe6f964be2cde8351406a0c70a89ee426c77aaa5">
        <w:r>
          <w:rPr>
            <w:rStyle w:val="Hyperlink"/>
          </w:rPr>
          <w:t xml:space="preserve">DWS10.com E-Commerce Integration</w:t>
        </w:r>
      </w:hyperlink>
    </w:p>
    <w:p>
      <w:pPr>
        <w:numPr>
          <w:ilvl w:val="0"/>
          <w:numId w:val="1008"/>
        </w:numPr>
        <w:pStyle w:val="Compact"/>
      </w:pPr>
      <w:hyperlink w:anchor="Xf3db8f008c89ae333f0ba87a013816da45c9f07">
        <w:r>
          <w:rPr>
            <w:rStyle w:val="Hyperlink"/>
          </w:rPr>
          <w:t xml:space="preserve">Audio Chat Evolution Roadmap</w:t>
        </w:r>
      </w:hyperlink>
    </w:p>
    <w:p>
      <w:pPr>
        <w:numPr>
          <w:ilvl w:val="0"/>
          <w:numId w:val="1008"/>
        </w:numPr>
        <w:pStyle w:val="Compact"/>
      </w:pPr>
      <w:hyperlink w:anchor="X99f588f1bb9238f35429359605206a2b2b2da26">
        <w:r>
          <w:rPr>
            <w:rStyle w:val="Hyperlink"/>
          </w:rPr>
          <w:t xml:space="preserve">Results and Analysis</w:t>
        </w:r>
      </w:hyperlink>
    </w:p>
    <w:p>
      <w:pPr>
        <w:numPr>
          <w:ilvl w:val="0"/>
          <w:numId w:val="1008"/>
        </w:numPr>
        <w:pStyle w:val="Compact"/>
      </w:pPr>
      <w:hyperlink w:anchor="X7c81bf03759b1b00759d96e3a328e2270cfccbb">
        <w:r>
          <w:rPr>
            <w:rStyle w:val="Hyperlink"/>
          </w:rPr>
          <w:t xml:space="preserve">Discussion</w:t>
        </w:r>
      </w:hyperlink>
    </w:p>
    <w:p>
      <w:pPr>
        <w:numPr>
          <w:ilvl w:val="0"/>
          <w:numId w:val="1008"/>
        </w:numPr>
        <w:pStyle w:val="Compact"/>
      </w:pPr>
      <w:hyperlink w:anchor="Xc08366fdd8ce4bba8e9450d31be506a2b934a79">
        <w:r>
          <w:rPr>
            <w:rStyle w:val="Hyperlink"/>
          </w:rPr>
          <w:t xml:space="preserve">Conclusions</w:t>
        </w:r>
      </w:hyperlink>
    </w:p>
    <w:p>
      <w:pPr>
        <w:numPr>
          <w:ilvl w:val="0"/>
          <w:numId w:val="1008"/>
        </w:numPr>
        <w:pStyle w:val="Compact"/>
      </w:pPr>
      <w:hyperlink w:anchor="X726793783ba4ae7f9802481ba226d33bdbc715c">
        <w:r>
          <w:rPr>
            <w:rStyle w:val="Hyperlink"/>
          </w:rPr>
          <w:t xml:space="preserve">References</w:t>
        </w:r>
      </w:hyperlink>
    </w:p>
    <w:p>
      <w:pPr>
        <w:numPr>
          <w:ilvl w:val="0"/>
          <w:numId w:val="1008"/>
        </w:numPr>
        <w:pStyle w:val="Compact"/>
      </w:pPr>
      <w:hyperlink w:anchor="X30bfd1d3686d43b794f9c4bf827135f99f553e6">
        <w:r>
          <w:rPr>
            <w:rStyle w:val="Hyperlink"/>
          </w:rPr>
          <w:t xml:space="preserve">Appendices</w:t>
        </w:r>
      </w:hyperlink>
    </w:p>
    <w:p>
      <w:r>
        <w:pict>
          <v:rect style="width:0;height:1.5pt" o:hralign="center" o:hrstd="t" o:hr="t"/>
        </w:pict>
      </w:r>
    </w:p>
    <w:bookmarkEnd w:id="27"/>
    <w:bookmarkStart w:id="35" w:name="introduction"/>
    <w:p>
      <w:pPr>
        <w:pStyle w:val="Heading1"/>
      </w:pPr>
      <w:r>
        <w:t xml:space="preserve">1. Introduction</w:t>
      </w:r>
    </w:p>
    <w:bookmarkStart w:id="28" w:name="background"/>
    <w:p>
      <w:pPr>
        <w:pStyle w:val="Heading2"/>
      </w:pPr>
      <w:r>
        <w:t xml:space="preserve">1.1 Background</w:t>
      </w:r>
    </w:p>
    <w:p>
      <w:pPr>
        <w:pStyle w:val="FirstParagraph"/>
      </w:pPr>
      <w:r>
        <w:t xml:space="preserve">European industrial SMEs face a</w:t>
      </w:r>
      <w:r>
        <w:t xml:space="preserve"> </w:t>
      </w:r>
      <w:r>
        <w:t xml:space="preserve">“</w:t>
      </w:r>
      <w:r>
        <w:t xml:space="preserve">twin transition</w:t>
      </w:r>
      <w:r>
        <w:t xml:space="preserve">”</w:t>
      </w:r>
      <w:r>
        <w:t xml:space="preserve"> </w:t>
      </w:r>
      <w:r>
        <w:t xml:space="preserve">challenge:</w:t>
      </w:r>
    </w:p>
    <w:p>
      <w:pPr>
        <w:numPr>
          <w:ilvl w:val="0"/>
          <w:numId w:val="1009"/>
        </w:numPr>
        <w:pStyle w:val="Compact"/>
      </w:pPr>
      <w:r>
        <w:rPr>
          <w:bCs/>
          <w:b/>
        </w:rPr>
        <w:t xml:space="preserve">Digital transformation</w:t>
      </w:r>
      <w:r>
        <w:t xml:space="preserve">: AI, automation, real-time decision-making</w:t>
      </w:r>
    </w:p>
    <w:p>
      <w:pPr>
        <w:numPr>
          <w:ilvl w:val="0"/>
          <w:numId w:val="1009"/>
        </w:numPr>
        <w:pStyle w:val="Compact"/>
      </w:pPr>
      <w:r>
        <w:rPr>
          <w:bCs/>
          <w:b/>
        </w:rPr>
        <w:t xml:space="preserve">Green transformation</w:t>
      </w:r>
      <w:r>
        <w:t xml:space="preserve">: EU Fit for 55 (55% emissions reduction by 2030), embodied carbon mandates by 2028</w:t>
      </w:r>
    </w:p>
    <w:p>
      <w:pPr>
        <w:pStyle w:val="FirstParagraph"/>
      </w:pPr>
      <w:r>
        <w:t xml:space="preserve">Traditional SaaS platforms fail because they:</w:t>
      </w:r>
    </w:p>
    <w:p>
      <w:pPr>
        <w:numPr>
          <w:ilvl w:val="0"/>
          <w:numId w:val="1010"/>
        </w:numPr>
        <w:pStyle w:val="Compact"/>
      </w:pPr>
      <w:r>
        <w:t xml:space="preserve">Cost EUR 1,400+/month (unaffordable for SMEs)</w:t>
      </w:r>
    </w:p>
    <w:p>
      <w:pPr>
        <w:numPr>
          <w:ilvl w:val="0"/>
          <w:numId w:val="1010"/>
        </w:numPr>
        <w:pStyle w:val="Compact"/>
      </w:pPr>
      <w:r>
        <w:t xml:space="preserve">Require cloud-only architecture (high latency, high operational costs)</w:t>
      </w:r>
    </w:p>
    <w:p>
      <w:pPr>
        <w:numPr>
          <w:ilvl w:val="0"/>
          <w:numId w:val="1010"/>
        </w:numPr>
        <w:pStyle w:val="Compact"/>
      </w:pPr>
      <w:r>
        <w:t xml:space="preserve">Do not address industry-specific compliance workflows</w:t>
      </w:r>
    </w:p>
    <w:p>
      <w:pPr>
        <w:pStyle w:val="FirstParagraph"/>
      </w:pPr>
      <w:r>
        <w:rPr>
          <w:bCs/>
          <w:b/>
        </w:rPr>
        <w:t xml:space="preserve">Firehorse (DWS6)</w:t>
      </w:r>
      <w:r>
        <w:t xml:space="preserve"> </w:t>
      </w:r>
      <w:r>
        <w:t xml:space="preserve">solves this with a novel operating model combining:</w:t>
      </w:r>
    </w:p>
    <w:p>
      <w:pPr>
        <w:numPr>
          <w:ilvl w:val="0"/>
          <w:numId w:val="1011"/>
        </w:numPr>
        <w:pStyle w:val="Compact"/>
      </w:pPr>
      <w:r>
        <w:t xml:space="preserve">Free-tier cloud infrastructure (EUR 0-350/month vs EUR 1,400+)</w:t>
      </w:r>
    </w:p>
    <w:p>
      <w:pPr>
        <w:numPr>
          <w:ilvl w:val="0"/>
          <w:numId w:val="1011"/>
        </w:numPr>
        <w:pStyle w:val="Compact"/>
      </w:pPr>
      <w:r>
        <w:t xml:space="preserve">Edge AI (NVIDIA Jetson) for &lt;100ms inference</w:t>
      </w:r>
    </w:p>
    <w:p>
      <w:pPr>
        <w:numPr>
          <w:ilvl w:val="0"/>
          <w:numId w:val="1011"/>
        </w:numPr>
        <w:pStyle w:val="Compact"/>
      </w:pPr>
      <w:r>
        <w:t xml:space="preserve">Industry-specific AI agents (Construction, Manufacturing, Energy)</w:t>
      </w:r>
    </w:p>
    <w:p>
      <w:pPr>
        <w:numPr>
          <w:ilvl w:val="0"/>
          <w:numId w:val="1011"/>
        </w:numPr>
        <w:pStyle w:val="Compact"/>
      </w:pPr>
      <w:r>
        <w:t xml:space="preserve">Phased deployment (Silent Pilot -&gt; Advisor -&gt; Autonomous)</w:t>
      </w:r>
    </w:p>
    <w:p>
      <w:pPr>
        <w:numPr>
          <w:ilvl w:val="0"/>
          <w:numId w:val="1011"/>
        </w:numPr>
        <w:pStyle w:val="Compact"/>
      </w:pPr>
      <w:r>
        <w:rPr>
          <w:bCs/>
          <w:b/>
        </w:rPr>
        <w:t xml:space="preserve">E-commerce validation through DWS10.com, Google Merchant Center, and Revolut Business</w:t>
      </w:r>
      <w:r>
        <w:t xml:space="preserve"> </w:t>
      </w:r>
      <w:r>
        <w:t xml:space="preserve">[V3.0]</w:t>
      </w:r>
    </w:p>
    <w:bookmarkEnd w:id="28"/>
    <w:bookmarkStart w:id="29" w:name="research-problem"/>
    <w:p>
      <w:pPr>
        <w:pStyle w:val="Heading2"/>
      </w:pPr>
      <w:r>
        <w:t xml:space="preserve">1.2 Research Problem</w:t>
      </w:r>
    </w:p>
    <w:p>
      <w:pPr>
        <w:pStyle w:val="FirstParagraph"/>
      </w:pPr>
      <w:r>
        <w:rPr>
          <w:bCs/>
          <w:b/>
        </w:rPr>
        <w:t xml:space="preserve">Primary Research Question:</w:t>
      </w:r>
      <w:r>
        <w:t xml:space="preserve"> </w:t>
      </w:r>
      <w:r>
        <w:t xml:space="preserve">How can a bootstrapped industrial AI platform achieve product-market fit through a hybrid cloud-edge operating model while maintaining &lt;EUR 400/month operational costs?</w:t>
      </w:r>
    </w:p>
    <w:p>
      <w:pPr>
        <w:pStyle w:val="BodyText"/>
      </w:pPr>
      <w:r>
        <w:rPr>
          <w:bCs/>
          <w:b/>
        </w:rPr>
        <w:t xml:space="preserve">Secondary Research Questions:</w:t>
      </w:r>
    </w:p>
    <w:p>
      <w:pPr>
        <w:numPr>
          <w:ilvl w:val="0"/>
          <w:numId w:val="1012"/>
        </w:numPr>
      </w:pPr>
      <w:r>
        <w:rPr>
          <w:bCs/>
          <w:b/>
        </w:rPr>
        <w:t xml:space="preserve">Product &amp; Business Model:</w:t>
      </w:r>
      <w:r>
        <w:t xml:space="preserve"> </w:t>
      </w:r>
      <w:r>
        <w:t xml:space="preserve">How to develop a customer promise that solves a real problem and scales internationally?</w:t>
      </w:r>
    </w:p>
    <w:p>
      <w:pPr>
        <w:numPr>
          <w:ilvl w:val="0"/>
          <w:numId w:val="1012"/>
        </w:numPr>
      </w:pPr>
      <w:r>
        <w:rPr>
          <w:bCs/>
          <w:b/>
        </w:rPr>
        <w:t xml:space="preserve">Technology:</w:t>
      </w:r>
      <w:r>
        <w:t xml:space="preserve"> </w:t>
      </w:r>
      <w:r>
        <w:t xml:space="preserve">How to build a digital, scalable service product that operates across cloud + edge + e-commerce?</w:t>
      </w:r>
    </w:p>
    <w:p>
      <w:pPr>
        <w:numPr>
          <w:ilvl w:val="0"/>
          <w:numId w:val="1012"/>
        </w:numPr>
      </w:pPr>
      <w:r>
        <w:rPr>
          <w:bCs/>
          <w:b/>
        </w:rPr>
        <w:t xml:space="preserve">Technical Solution Evaluation:</w:t>
      </w:r>
      <w:r>
        <w:t xml:space="preserve"> </w:t>
      </w:r>
      <w:r>
        <w:t xml:space="preserve">Which technical solution best supports business objectives?</w:t>
      </w:r>
    </w:p>
    <w:p>
      <w:pPr>
        <w:numPr>
          <w:ilvl w:val="0"/>
          <w:numId w:val="1012"/>
        </w:numPr>
      </w:pPr>
      <w:r>
        <w:rPr>
          <w:bCs/>
          <w:b/>
        </w:rPr>
        <w:t xml:space="preserve">Enterprise Security:</w:t>
      </w:r>
      <w:r>
        <w:t xml:space="preserve"> </w:t>
      </w:r>
      <w:r>
        <w:t xml:space="preserve">How to ensure NIS 2, EU AI Act, GDPR, and Cybersecurity Act compliance?</w:t>
      </w:r>
    </w:p>
    <w:p>
      <w:pPr>
        <w:numPr>
          <w:ilvl w:val="0"/>
          <w:numId w:val="1012"/>
        </w:numPr>
      </w:pPr>
      <w:r>
        <w:rPr>
          <w:bCs/>
          <w:b/>
        </w:rPr>
        <w:t xml:space="preserve">E-Commerce Validation:</w:t>
      </w:r>
      <w:r>
        <w:t xml:space="preserve"> </w:t>
      </w:r>
      <w:r>
        <w:t xml:space="preserve">How can an automated store with AI-assisted operations validate product-market fit? [V3.0]</w:t>
      </w:r>
    </w:p>
    <w:bookmarkEnd w:id="29"/>
    <w:bookmarkStart w:id="30" w:name="objectives"/>
    <w:p>
      <w:pPr>
        <w:pStyle w:val="Heading2"/>
      </w:pPr>
      <w:r>
        <w:t xml:space="preserve">1.3 Objectives</w:t>
      </w:r>
    </w:p>
    <w:p>
      <w:pPr>
        <w:numPr>
          <w:ilvl w:val="0"/>
          <w:numId w:val="1013"/>
        </w:numPr>
        <w:pStyle w:val="Compact"/>
      </w:pPr>
      <w:r>
        <w:t xml:space="preserve">Document the Firehorse operating model (MVP -&gt; V1)</w:t>
      </w:r>
    </w:p>
    <w:p>
      <w:pPr>
        <w:numPr>
          <w:ilvl w:val="0"/>
          <w:numId w:val="1013"/>
        </w:numPr>
        <w:pStyle w:val="Compact"/>
      </w:pPr>
      <w:r>
        <w:t xml:space="preserve">Validate the free-tier cost model (EUR 0/month target)</w:t>
      </w:r>
    </w:p>
    <w:p>
      <w:pPr>
        <w:numPr>
          <w:ilvl w:val="0"/>
          <w:numId w:val="1013"/>
        </w:numPr>
        <w:pStyle w:val="Compact"/>
      </w:pPr>
      <w:r>
        <w:t xml:space="preserve">Measure customer benefit (&lt;=2 month payback period)</w:t>
      </w:r>
    </w:p>
    <w:p>
      <w:pPr>
        <w:numPr>
          <w:ilvl w:val="0"/>
          <w:numId w:val="1013"/>
        </w:numPr>
        <w:pStyle w:val="Compact"/>
      </w:pPr>
      <w:r>
        <w:t xml:space="preserve">Create a replicable model for other industrial startups</w:t>
      </w:r>
    </w:p>
    <w:p>
      <w:pPr>
        <w:numPr>
          <w:ilvl w:val="0"/>
          <w:numId w:val="1013"/>
        </w:numPr>
        <w:pStyle w:val="Compact"/>
      </w:pPr>
      <w:r>
        <w:rPr>
          <w:bCs/>
          <w:b/>
        </w:rPr>
        <w:t xml:space="preserve">Validate e-commerce channel with Google Merchant Center integration</w:t>
      </w:r>
      <w:r>
        <w:t xml:space="preserve"> </w:t>
      </w:r>
      <w:r>
        <w:t xml:space="preserve">[V3.0]</w:t>
      </w:r>
    </w:p>
    <w:bookmarkEnd w:id="30"/>
    <w:bookmarkStart w:id="32" w:name="scope"/>
    <w:p>
      <w:pPr>
        <w:pStyle w:val="Heading2"/>
      </w:pPr>
      <w:r>
        <w:t xml:space="preserve">1.4 Scope</w:t>
      </w:r>
    </w:p>
    <w:p>
      <w:pPr>
        <w:numPr>
          <w:ilvl w:val="0"/>
          <w:numId w:val="1014"/>
        </w:numPr>
        <w:pStyle w:val="Compact"/>
      </w:pPr>
      <w:r>
        <w:rPr>
          <w:bCs/>
          <w:b/>
        </w:rPr>
        <w:t xml:space="preserve">Industry:</w:t>
      </w:r>
      <w:r>
        <w:t xml:space="preserve"> </w:t>
      </w:r>
      <w:r>
        <w:t xml:space="preserve">Construction industry (3.5M companies in Europe) + 15 other EU industries</w:t>
      </w:r>
    </w:p>
    <w:p>
      <w:pPr>
        <w:numPr>
          <w:ilvl w:val="0"/>
          <w:numId w:val="1014"/>
        </w:numPr>
        <w:pStyle w:val="Compact"/>
      </w:pPr>
      <w:r>
        <w:rPr>
          <w:bCs/>
          <w:b/>
        </w:rPr>
        <w:t xml:space="preserve">Market:</w:t>
      </w:r>
      <w:r>
        <w:t xml:space="preserve"> </w:t>
      </w:r>
      <w:r>
        <w:t xml:space="preserve">Nordics + Central and Eastern Europe</w:t>
      </w:r>
    </w:p>
    <w:p>
      <w:pPr>
        <w:numPr>
          <w:ilvl w:val="0"/>
          <w:numId w:val="1014"/>
        </w:numPr>
        <w:pStyle w:val="Compact"/>
      </w:pPr>
      <w:r>
        <w:rPr>
          <w:bCs/>
          <w:b/>
        </w:rPr>
        <w:t xml:space="preserve">Timeframe:</w:t>
      </w:r>
      <w:r>
        <w:t xml:space="preserve"> </w:t>
      </w:r>
      <w:r>
        <w:t xml:space="preserve">MVP phase (December 2025 - February 2026)</w:t>
      </w:r>
    </w:p>
    <w:p>
      <w:pPr>
        <w:numPr>
          <w:ilvl w:val="0"/>
          <w:numId w:val="1014"/>
        </w:numPr>
        <w:pStyle w:val="Compact"/>
      </w:pPr>
      <w:r>
        <w:rPr>
          <w:bCs/>
          <w:b/>
        </w:rPr>
        <w:t xml:space="preserve">Customers:</w:t>
      </w:r>
      <w:r>
        <w:t xml:space="preserve"> </w:t>
      </w:r>
      <w:r>
        <w:t xml:space="preserve">5 pilot customers (EUR 10-100M revenue)</w:t>
      </w:r>
    </w:p>
    <w:p>
      <w:pPr>
        <w:numPr>
          <w:ilvl w:val="0"/>
          <w:numId w:val="1014"/>
        </w:numPr>
        <w:pStyle w:val="Compact"/>
      </w:pPr>
      <w:r>
        <w:rPr>
          <w:bCs/>
          <w:b/>
        </w:rPr>
        <w:t xml:space="preserve">E-commerce:</w:t>
      </w:r>
      <w:r>
        <w:t xml:space="preserve"> </w:t>
      </w:r>
      <w:r>
        <w:t xml:space="preserve">30 products across platform, software, and service categories [V3.0]</w:t>
      </w:r>
    </w:p>
    <w:bookmarkStart w:id="31" w:name="content-scope-rule-v3.55"/>
    <w:p>
      <w:pPr>
        <w:pStyle w:val="Heading3"/>
      </w:pPr>
      <w:r>
        <w:t xml:space="preserve">Content Scope Rule (v3.55)</w:t>
      </w:r>
    </w:p>
    <w:p>
      <w:pPr>
        <w:pStyle w:val="FirstParagraph"/>
      </w:pPr>
      <w:r>
        <w:t xml:space="preserve">This thesis is</w:t>
      </w:r>
      <w:r>
        <w:t xml:space="preserve"> </w:t>
      </w:r>
      <w:r>
        <w:rPr>
          <w:bCs/>
          <w:b/>
        </w:rPr>
        <w:t xml:space="preserve">product- and implementation-focused</w:t>
      </w:r>
      <w:r>
        <w:t xml:space="preserve">. Its content is tightly coupled to the current and next DWS IQ product version. It documents engineering decisions, architecture, pull requests, and measurable operational results.</w:t>
      </w:r>
    </w:p>
    <w:p>
      <w:pPr>
        <w:pStyle w:val="BodyText"/>
      </w:pPr>
      <w:r>
        <w:rPr>
          <w:bCs/>
          <w:b/>
        </w:rPr>
        <w:t xml:space="preserve">This thesis does NOT contain:</w:t>
      </w:r>
    </w:p>
    <w:p>
      <w:pPr>
        <w:numPr>
          <w:ilvl w:val="0"/>
          <w:numId w:val="1015"/>
        </w:numPr>
        <w:pStyle w:val="Compact"/>
      </w:pPr>
      <w:r>
        <w:t xml:space="preserve">Market intelligence or competitive signals</w:t>
      </w:r>
    </w:p>
    <w:p>
      <w:pPr>
        <w:numPr>
          <w:ilvl w:val="0"/>
          <w:numId w:val="1015"/>
        </w:numPr>
        <w:pStyle w:val="Compact"/>
      </w:pPr>
      <w:r>
        <w:t xml:space="preserve">Long-horizon roadmap speculation (beyond next product version)</w:t>
      </w:r>
    </w:p>
    <w:p>
      <w:pPr>
        <w:numPr>
          <w:ilvl w:val="0"/>
          <w:numId w:val="1015"/>
        </w:numPr>
        <w:pStyle w:val="Compact"/>
      </w:pPr>
      <w:r>
        <w:t xml:space="preserve">Scientific framing, standardization body activity, or research-program positioning</w:t>
      </w:r>
    </w:p>
    <w:p>
      <w:pPr>
        <w:pStyle w:val="FirstParagraph"/>
      </w:pPr>
      <w:r>
        <w:t xml:space="preserve">Those belong in the PhD thesis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y-concepts"/>
    <w:p>
      <w:pPr>
        <w:pStyle w:val="Heading2"/>
      </w:pPr>
      <w:r>
        <w:t xml:space="preserve">1.5 Key Concepts</w:t>
      </w:r>
    </w:p>
    <w:tbl>
      <w:tblPr>
        <w:tblStyle w:val="Table"/>
        <w:tblW w:type="pct" w:w="5000"/>
        <w:tblLook w:firstRow="1" w:lastRow="0" w:firstColumn="0" w:lastColumn="0" w:noHBand="0" w:noVBand="0" w:val="0020"/>
        <w:jc w:val="start"/>
      </w:tblPr>
      <w:tblGrid>
        <w:gridCol w:w="1635"/>
        <w:gridCol w:w="6284"/>
      </w:tblGrid>
      <w:tr>
        <w:trPr>
          <w:tblHeader w:val="true"/>
        </w:trPr>
        <w:tc>
          <w:tcPr/>
          <w:p>
            <w:pPr>
              <w:pStyle w:val="Compact"/>
              <w:jc w:val="left"/>
            </w:pPr>
            <w:r>
              <w:t xml:space="preserve">Concept</w:t>
            </w:r>
          </w:p>
        </w:tc>
        <w:tc>
          <w:tcPr/>
          <w:p>
            <w:pPr>
              <w:pStyle w:val="Compact"/>
              <w:jc w:val="left"/>
            </w:pPr>
            <w:r>
              <w:t xml:space="preserve">Definition</w:t>
            </w:r>
          </w:p>
        </w:tc>
      </w:tr>
      <w:tr>
        <w:tc>
          <w:tcPr/>
          <w:p>
            <w:pPr>
              <w:pStyle w:val="Compact"/>
              <w:jc w:val="left"/>
            </w:pPr>
            <w:r>
              <w:rPr>
                <w:bCs/>
                <w:b/>
              </w:rPr>
              <w:t xml:space="preserve">MVP</w:t>
            </w:r>
          </w:p>
        </w:tc>
        <w:tc>
          <w:tcPr/>
          <w:p>
            <w:pPr>
              <w:pStyle w:val="Compact"/>
              <w:jc w:val="left"/>
            </w:pPr>
            <w:r>
              <w:t xml:space="preserve">Minimum Viable Product - The smallest functional product</w:t>
            </w:r>
          </w:p>
        </w:tc>
      </w:tr>
      <w:tr>
        <w:tc>
          <w:tcPr/>
          <w:p>
            <w:pPr>
              <w:pStyle w:val="Compact"/>
              <w:jc w:val="left"/>
            </w:pPr>
            <w:r>
              <w:rPr>
                <w:bCs/>
                <w:b/>
              </w:rPr>
              <w:t xml:space="preserve">Edge AI</w:t>
            </w:r>
          </w:p>
        </w:tc>
        <w:tc>
          <w:tcPr/>
          <w:p>
            <w:pPr>
              <w:pStyle w:val="Compact"/>
              <w:jc w:val="left"/>
            </w:pPr>
            <w:r>
              <w:t xml:space="preserve">Artificial intelligence that runs on-device (no cloud connection)</w:t>
            </w:r>
          </w:p>
        </w:tc>
      </w:tr>
      <w:tr>
        <w:tc>
          <w:tcPr/>
          <w:p>
            <w:pPr>
              <w:pStyle w:val="Compact"/>
              <w:jc w:val="left"/>
            </w:pPr>
            <w:r>
              <w:rPr>
                <w:bCs/>
                <w:b/>
              </w:rPr>
              <w:t xml:space="preserve">SaaS</w:t>
            </w:r>
          </w:p>
        </w:tc>
        <w:tc>
          <w:tcPr/>
          <w:p>
            <w:pPr>
              <w:pStyle w:val="Compact"/>
              <w:jc w:val="left"/>
            </w:pPr>
            <w:r>
              <w:t xml:space="preserve">Software as a Service</w:t>
            </w:r>
          </w:p>
        </w:tc>
      </w:tr>
      <w:tr>
        <w:tc>
          <w:tcPr/>
          <w:p>
            <w:pPr>
              <w:pStyle w:val="Compact"/>
              <w:jc w:val="left"/>
            </w:pPr>
            <w:r>
              <w:rPr>
                <w:bCs/>
                <w:b/>
              </w:rPr>
              <w:t xml:space="preserve">DWS6</w:t>
            </w:r>
          </w:p>
        </w:tc>
        <w:tc>
          <w:tcPr/>
          <w:p>
            <w:pPr>
              <w:pStyle w:val="Compact"/>
              <w:jc w:val="left"/>
            </w:pPr>
            <w:r>
              <w:t xml:space="preserve">Digital Work System 6 - Technical name for the Firehorse platform</w:t>
            </w:r>
          </w:p>
        </w:tc>
      </w:tr>
      <w:tr>
        <w:tc>
          <w:tcPr/>
          <w:p>
            <w:pPr>
              <w:pStyle w:val="Compact"/>
              <w:jc w:val="left"/>
            </w:pPr>
            <w:r>
              <w:rPr>
                <w:bCs/>
                <w:b/>
              </w:rPr>
              <w:t xml:space="preserve">Embodied Carbon</w:t>
            </w:r>
          </w:p>
        </w:tc>
        <w:tc>
          <w:tcPr/>
          <w:p>
            <w:pPr>
              <w:pStyle w:val="Compact"/>
              <w:jc w:val="left"/>
            </w:pPr>
            <w:r>
              <w:t xml:space="preserve">Emissions from the manufacturing and transportation of building materials</w:t>
            </w:r>
          </w:p>
        </w:tc>
      </w:tr>
    </w:tbl>
    <w:bookmarkEnd w:id="33"/>
    <w:bookmarkStart w:id="34" w:name="X2099ab195dded87116c2c363c0211db4e08ed5e"/>
    <w:p>
      <w:pPr>
        <w:pStyle w:val="Heading2"/>
      </w:pPr>
      <w:r>
        <w:t xml:space="preserve">1.6 Ontology — Etymology and Philosophical Background</w:t>
      </w:r>
    </w:p>
    <w:p>
      <w:pPr>
        <w:pStyle w:val="FirstParagraph"/>
      </w:pPr>
      <w:r>
        <w:t xml:space="preserve">The Firehorse platform’s data and reasoning layer is structured around a formal ontology — the DWS Ontology Standard (see</w:t>
      </w:r>
      <w:r>
        <w:t xml:space="preserve"> </w:t>
      </w:r>
      <w:r>
        <w:rPr>
          <w:rStyle w:val="VerbatimChar"/>
        </w:rPr>
        <w:t xml:space="preserve">ONTOLOGY.md</w:t>
      </w:r>
      <w:r>
        <w:t xml:space="preserve"> </w:t>
      </w:r>
      <w:r>
        <w:t xml:space="preserve">v1.3 in the project repository). To ground the engineering choices in their conceptual heritage, this section briefly reviews the origin of the term.</w:t>
      </w:r>
    </w:p>
    <w:p>
      <w:pPr>
        <w:pStyle w:val="BodyText"/>
      </w:pPr>
      <w:r>
        <w:rPr>
          <w:bCs/>
          <w:b/>
        </w:rPr>
        <w:t xml:space="preserve">Etymology.</w:t>
      </w:r>
      <w:r>
        <w:t xml:space="preserve"> </w:t>
      </w:r>
      <w:r>
        <w:t xml:space="preserve">The word</w:t>
      </w:r>
      <w:r>
        <w:t xml:space="preserve"> </w:t>
      </w:r>
      <w:r>
        <w:rPr>
          <w:iCs/>
          <w:i/>
        </w:rPr>
        <w:t xml:space="preserve">ontology</w:t>
      </w:r>
      <w:r>
        <w:t xml:space="preserve"> </w:t>
      </w:r>
      <w:r>
        <w:t xml:space="preserve">derives from two Greek roots:</w:t>
      </w:r>
      <w:r>
        <w:t xml:space="preserve"> </w:t>
      </w:r>
      <w:r>
        <w:rPr>
          <w:bCs/>
          <w:b/>
        </w:rPr>
        <w:t xml:space="preserve">ὄν (ón)</w:t>
      </w:r>
      <w:r>
        <w:t xml:space="preserve"> </w:t>
      </w:r>
      <w:r>
        <w:t xml:space="preserve">—</w:t>
      </w:r>
      <w:r>
        <w:t xml:space="preserve"> </w:t>
      </w:r>
      <w:r>
        <w:t xml:space="preserve">“</w:t>
      </w:r>
      <w:r>
        <w:t xml:space="preserve">that which is</w:t>
      </w:r>
      <w:r>
        <w:t xml:space="preserve">”</w:t>
      </w:r>
      <w:r>
        <w:t xml:space="preserve">, the present participle of</w:t>
      </w:r>
      <w:r>
        <w:t xml:space="preserve"> </w:t>
      </w:r>
      <w:r>
        <w:rPr>
          <w:iCs/>
          <w:i/>
        </w:rPr>
        <w:t xml:space="preserve">einai</w:t>
      </w:r>
      <w:r>
        <w:t xml:space="preserve"> </w:t>
      </w:r>
      <w:r>
        <w:t xml:space="preserve">(</w:t>
      </w:r>
      <w:r>
        <w:t xml:space="preserve">“</w:t>
      </w:r>
      <w:r>
        <w:t xml:space="preserve">to be</w:t>
      </w:r>
      <w:r>
        <w:t xml:space="preserve">”</w:t>
      </w:r>
      <w:r>
        <w:t xml:space="preserve">) — and</w:t>
      </w:r>
      <w:r>
        <w:t xml:space="preserve"> </w:t>
      </w:r>
      <w:r>
        <w:rPr>
          <w:bCs/>
          <w:b/>
        </w:rPr>
        <w:t xml:space="preserve">λόγος (lógos)</w:t>
      </w:r>
      <w:r>
        <w:t xml:space="preserve"> </w:t>
      </w:r>
      <w:r>
        <w:t xml:space="preserve">—</w:t>
      </w:r>
      <w:r>
        <w:t xml:space="preserve"> </w:t>
      </w:r>
      <w:r>
        <w:t xml:space="preserve">“</w:t>
      </w:r>
      <w:r>
        <w:t xml:space="preserve">doctrine, account, rational explanation</w:t>
      </w:r>
      <w:r>
        <w:t xml:space="preserve">”</w:t>
      </w:r>
      <w:r>
        <w:t xml:space="preserve">. Literally, ontology is</w:t>
      </w:r>
      <w:r>
        <w:t xml:space="preserve"> </w:t>
      </w:r>
      <w:r>
        <w:t xml:space="preserve">“</w:t>
      </w:r>
      <w:r>
        <w:t xml:space="preserve">the doctrine of being</w:t>
      </w:r>
      <w:r>
        <w:t xml:space="preserve">”</w:t>
      </w:r>
      <w:r>
        <w:t xml:space="preserve"> </w:t>
      </w:r>
      <w:r>
        <w:t xml:space="preserve">— the study of what exists and in what manner.</w:t>
      </w:r>
    </w:p>
    <w:p>
      <w:pPr>
        <w:pStyle w:val="BodyText"/>
      </w:pPr>
      <w:r>
        <w:rPr>
          <w:bCs/>
          <w:b/>
        </w:rPr>
        <w:t xml:space="preserve">Philosophical background.</w:t>
      </w:r>
      <w:r>
        <w:t xml:space="preserve"> </w:t>
      </w:r>
      <w:r>
        <w:t xml:space="preserve">Ontology is one of the central branches of metaphysics. Already in classical Greece, philosophers such as Aristotle examined the nature of being: what it means for something to</w:t>
      </w:r>
      <w:r>
        <w:t xml:space="preserve"> </w:t>
      </w:r>
      <w:r>
        <w:rPr>
          <w:iCs/>
          <w:i/>
        </w:rPr>
        <w:t xml:space="preserve">be</w:t>
      </w:r>
      <w:r>
        <w:t xml:space="preserve">, what kinds of entities exist (objects, properties, relations, events), and what the basic structure of being is. The term</w:t>
      </w:r>
      <w:r>
        <w:t xml:space="preserve"> </w:t>
      </w:r>
      <w:r>
        <w:rPr>
          <w:iCs/>
          <w:i/>
        </w:rPr>
        <w:t xml:space="preserve">ontology</w:t>
      </w:r>
      <w:r>
        <w:t xml:space="preserve"> </w:t>
      </w:r>
      <w:r>
        <w:t xml:space="preserve">itself was consolidated only in the 17th–18th centuries, particularly within scholastic and early-modern philosophy, when metaphysics began to be systematised into distinct sub-fields.</w:t>
      </w:r>
    </w:p>
    <w:p>
      <w:pPr>
        <w:pStyle w:val="BodyText"/>
      </w:pPr>
      <w:r>
        <w:rPr>
          <w:bCs/>
          <w:b/>
        </w:rPr>
        <w:t xml:space="preserve">Modern usage.</w:t>
      </w:r>
      <w:r>
        <w:t xml:space="preserve"> </w:t>
      </w:r>
      <w:r>
        <w:t xml:space="preserve">Today the term is applied in several contexts: in philosophy, the study of the fundamental nature of existence; in computer science and artificial intelligence, a formal model of concepts and the relations between them (classes, properties, relations); and in the philosophy of science, the question of which entities a given theory commits to. The original meaning —</w:t>
      </w:r>
      <w:r>
        <w:t xml:space="preserve"> </w:t>
      </w:r>
      <w:r>
        <w:rPr>
          <w:iCs/>
          <w:i/>
        </w:rPr>
        <w:t xml:space="preserve">structuring what is</w:t>
      </w:r>
      <w:r>
        <w:t xml:space="preserve"> </w:t>
      </w:r>
      <w:r>
        <w:t xml:space="preserve">— is preserved, while the application surface shifts. The DWS Ontology Standard builds on this foundation: EU regulations and industrial concepts are structured into a machine-readable form that humans and agents can query through the same interface.</w:t>
      </w:r>
    </w:p>
    <w:p>
      <w:r>
        <w:pict>
          <v:rect style="width:0;height:1.5pt" o:hralign="center" o:hrstd="t" o:hr="t"/>
        </w:pict>
      </w:r>
    </w:p>
    <w:bookmarkEnd w:id="34"/>
    <w:bookmarkEnd w:id="35"/>
    <w:bookmarkStart w:id="46" w:name="theoretical-framework"/>
    <w:p>
      <w:pPr>
        <w:pStyle w:val="Heading1"/>
      </w:pPr>
      <w:r>
        <w:t xml:space="preserve">2. Theoretical Framework</w:t>
      </w:r>
    </w:p>
    <w:bookmarkStart w:id="36" w:name="lean-startup-methodology"/>
    <w:p>
      <w:pPr>
        <w:pStyle w:val="Heading2"/>
      </w:pPr>
      <w:r>
        <w:t xml:space="preserve">2.1 Lean Startup Methodology</w:t>
      </w:r>
    </w:p>
    <w:p>
      <w:pPr>
        <w:pStyle w:val="FirstParagraph"/>
      </w:pPr>
      <w:r>
        <w:t xml:space="preserve">The Lean Startup methodology (Ries, 2011) forms the foundation of Firehorse product development. The core principle of the Build-Measure-Learn cycle directly guides the phased deployment model:</w:t>
      </w:r>
    </w:p>
    <w:p>
      <w:pPr>
        <w:pStyle w:val="BodyText"/>
      </w:pPr>
      <w:r>
        <w:rPr>
          <w:bCs/>
          <w:b/>
        </w:rPr>
        <w:t xml:space="preserve">Application to Firehorse:</w:t>
      </w:r>
    </w:p>
    <w:tbl>
      <w:tblPr>
        <w:tblStyle w:val="Table"/>
        <w:tblW w:type="pct" w:w="5000"/>
        <w:tblLook w:firstRow="1" w:lastRow="0" w:firstColumn="0" w:lastColumn="0" w:noHBand="0" w:noVBand="0" w:val="0020"/>
        <w:jc w:val="start"/>
      </w:tblPr>
      <w:tblGrid>
        <w:gridCol w:w="2880"/>
        <w:gridCol w:w="5040"/>
      </w:tblGrid>
      <w:tr>
        <w:trPr>
          <w:tblHeader w:val="true"/>
        </w:trPr>
        <w:tc>
          <w:tcPr/>
          <w:p>
            <w:pPr>
              <w:pStyle w:val="Compact"/>
              <w:jc w:val="left"/>
            </w:pPr>
            <w:r>
              <w:t xml:space="preserve">Lean Startup Concept</w:t>
            </w:r>
          </w:p>
        </w:tc>
        <w:tc>
          <w:tcPr/>
          <w:p>
            <w:pPr>
              <w:pStyle w:val="Compact"/>
              <w:jc w:val="left"/>
            </w:pPr>
            <w:r>
              <w:t xml:space="preserve">Firehorse Implementation</w:t>
            </w:r>
          </w:p>
        </w:tc>
      </w:tr>
      <w:tr>
        <w:tc>
          <w:tcPr/>
          <w:p>
            <w:pPr>
              <w:pStyle w:val="Compact"/>
              <w:jc w:val="left"/>
            </w:pPr>
            <w:r>
              <w:rPr>
                <w:bCs/>
                <w:b/>
              </w:rPr>
              <w:t xml:space="preserve">MVP (Minimum Viable Product)</w:t>
            </w:r>
          </w:p>
        </w:tc>
        <w:tc>
          <w:tcPr/>
          <w:p>
            <w:pPr>
              <w:pStyle w:val="Compact"/>
              <w:jc w:val="left"/>
            </w:pPr>
            <w:r>
              <w:t xml:space="preserve">2 agents (CustomerSat, Viability) for 5 pilot customers</w:t>
            </w:r>
          </w:p>
        </w:tc>
      </w:tr>
      <w:tr>
        <w:tc>
          <w:tcPr/>
          <w:p>
            <w:pPr>
              <w:pStyle w:val="Compact"/>
              <w:jc w:val="left"/>
            </w:pPr>
            <w:r>
              <w:rPr>
                <w:bCs/>
                <w:b/>
              </w:rPr>
              <w:t xml:space="preserve">Validated Learning</w:t>
            </w:r>
          </w:p>
        </w:tc>
        <w:tc>
          <w:tcPr/>
          <w:p>
            <w:pPr>
              <w:pStyle w:val="Compact"/>
              <w:jc w:val="left"/>
            </w:pPr>
            <w:r>
              <w:t xml:space="preserve">Silent Pilot phase observes before acting</w:t>
            </w:r>
          </w:p>
        </w:tc>
      </w:tr>
      <w:tr>
        <w:tc>
          <w:tcPr/>
          <w:p>
            <w:pPr>
              <w:pStyle w:val="Compact"/>
              <w:jc w:val="left"/>
            </w:pPr>
            <w:r>
              <w:rPr>
                <w:bCs/>
                <w:b/>
              </w:rPr>
              <w:t xml:space="preserve">Build-Measure-Learn</w:t>
            </w:r>
          </w:p>
        </w:tc>
        <w:tc>
          <w:tcPr/>
          <w:p>
            <w:pPr>
              <w:pStyle w:val="Compact"/>
              <w:jc w:val="left"/>
            </w:pPr>
            <w:r>
              <w:t xml:space="preserve">Phase 1 -&gt; Phase 2 -&gt; Phase 3 progression</w:t>
            </w:r>
          </w:p>
        </w:tc>
      </w:tr>
      <w:tr>
        <w:tc>
          <w:tcPr/>
          <w:p>
            <w:pPr>
              <w:pStyle w:val="Compact"/>
              <w:jc w:val="left"/>
            </w:pPr>
            <w:r>
              <w:rPr>
                <w:bCs/>
                <w:b/>
              </w:rPr>
              <w:t xml:space="preserve">Pivot or Persevere</w:t>
            </w:r>
          </w:p>
        </w:tc>
        <w:tc>
          <w:tcPr/>
          <w:p>
            <w:pPr>
              <w:pStyle w:val="Compact"/>
              <w:jc w:val="left"/>
            </w:pPr>
            <w:r>
              <w:t xml:space="preserve">Signal-based coordination allows rapid course correction</w:t>
            </w:r>
          </w:p>
        </w:tc>
      </w:tr>
    </w:tbl>
    <w:p>
      <w:pPr>
        <w:pStyle w:val="BodyText"/>
      </w:pPr>
      <w:r>
        <w:t xml:space="preserve">The Customer Development methodology (Blank, 2013) extends this with the principle of</w:t>
      </w:r>
      <w:r>
        <w:t xml:space="preserve"> </w:t>
      </w:r>
      <w:r>
        <w:t xml:space="preserve">“</w:t>
      </w:r>
      <w:r>
        <w:t xml:space="preserve">getting out of the building</w:t>
      </w:r>
      <w:r>
        <w:t xml:space="preserve">”</w:t>
      </w:r>
      <w:r>
        <w:t xml:space="preserve"> </w:t>
      </w:r>
      <w:r>
        <w:t xml:space="preserve">- validating product-market fit with real customers before scaling. Firehorse’s 2-month payback guarantee operationalizes this by creating a measurable validation metric.</w:t>
      </w:r>
    </w:p>
    <w:p>
      <w:pPr>
        <w:pStyle w:val="BodyText"/>
      </w:pPr>
      <w:r>
        <w:rPr>
          <w:bCs/>
          <w:b/>
        </w:rPr>
        <w:t xml:space="preserve">Jobs-to-be-Done Framework:</w:t>
      </w:r>
      <w:r>
        <w:t xml:space="preserve"> </w:t>
      </w:r>
      <w:r>
        <w:t xml:space="preserve">Following Clayton Christensen’s framework, Firehorse identifies the</w:t>
      </w:r>
      <w:r>
        <w:t xml:space="preserve"> </w:t>
      </w:r>
      <w:r>
        <w:t xml:space="preserve">“</w:t>
      </w:r>
      <w:r>
        <w:t xml:space="preserve">job</w:t>
      </w:r>
      <w:r>
        <w:t xml:space="preserve">”</w:t>
      </w:r>
      <w:r>
        <w:t xml:space="preserve"> </w:t>
      </w:r>
      <w:r>
        <w:t xml:space="preserve">customers hire the product for:</w:t>
      </w:r>
    </w:p>
    <w:p>
      <w:pPr>
        <w:numPr>
          <w:ilvl w:val="0"/>
          <w:numId w:val="1016"/>
        </w:numPr>
        <w:pStyle w:val="Compact"/>
      </w:pPr>
      <w:r>
        <w:rPr>
          <w:bCs/>
          <w:b/>
        </w:rPr>
        <w:t xml:space="preserve">Functional Job:</w:t>
      </w:r>
      <w:r>
        <w:t xml:space="preserve"> </w:t>
      </w:r>
      <w:r>
        <w:t xml:space="preserve">Track embodied carbon for EU compliance (2028 deadline)</w:t>
      </w:r>
    </w:p>
    <w:p>
      <w:pPr>
        <w:numPr>
          <w:ilvl w:val="0"/>
          <w:numId w:val="1016"/>
        </w:numPr>
        <w:pStyle w:val="Compact"/>
      </w:pPr>
      <w:r>
        <w:rPr>
          <w:bCs/>
          <w:b/>
        </w:rPr>
        <w:t xml:space="preserve">Emotional Job:</w:t>
      </w:r>
      <w:r>
        <w:t xml:space="preserve"> </w:t>
      </w:r>
      <w:r>
        <w:t xml:space="preserve">Reduce anxiety about regulatory penalties</w:t>
      </w:r>
    </w:p>
    <w:p>
      <w:pPr>
        <w:numPr>
          <w:ilvl w:val="0"/>
          <w:numId w:val="1016"/>
        </w:numPr>
        <w:pStyle w:val="Compact"/>
      </w:pPr>
      <w:r>
        <w:rPr>
          <w:bCs/>
          <w:b/>
        </w:rPr>
        <w:t xml:space="preserve">Social Job:</w:t>
      </w:r>
      <w:r>
        <w:t xml:space="preserve"> </w:t>
      </w:r>
      <w:r>
        <w:t xml:space="preserve">Demonstrate sustainability leadership to stakeholders</w:t>
      </w:r>
    </w:p>
    <w:bookmarkEnd w:id="36"/>
    <w:bookmarkStart w:id="37" w:name="platform-economics"/>
    <w:p>
      <w:pPr>
        <w:pStyle w:val="Heading2"/>
      </w:pPr>
      <w:r>
        <w:t xml:space="preserve">2.2 Platform Economics</w:t>
      </w:r>
    </w:p>
    <w:p>
      <w:pPr>
        <w:pStyle w:val="FirstParagraph"/>
      </w:pPr>
      <w:r>
        <w:t xml:space="preserve">Platform economics (Parker, Van Alstyne &amp; Choudary, 2016) explains how multi-sided platforms create value through network effects. The Firehorse Solution Factory model extends this theory to industrial AI:</w:t>
      </w:r>
    </w:p>
    <w:p>
      <w:pPr>
        <w:pStyle w:val="BodyText"/>
      </w:pPr>
      <w:r>
        <w:rPr>
          <w:bCs/>
          <w:b/>
        </w:rPr>
        <w:t xml:space="preserve">Multi-sided platform design:</w:t>
      </w:r>
    </w:p>
    <w:p>
      <w:pPr>
        <w:pStyle w:val="SourceCode"/>
      </w:pPr>
      <w:r>
        <w:rPr>
          <w:rStyle w:val="VerbatimChar"/>
        </w:rPr>
        <w:t xml:space="preserve">+-------------------------------------------------------------+</w:t>
      </w:r>
      <w:r>
        <w:br/>
      </w:r>
      <w:r>
        <w:rPr>
          <w:rStyle w:val="VerbatimChar"/>
        </w:rPr>
        <w:t xml:space="preserve">|              FIREHORSE PLATFORM ECOSYSTEM                     |</w:t>
      </w:r>
      <w:r>
        <w:br/>
      </w:r>
      <w:r>
        <w:rPr>
          <w:rStyle w:val="VerbatimChar"/>
        </w:rPr>
        <w:t xml:space="preserve">+-------------------------------------------------------------+</w:t>
      </w:r>
      <w:r>
        <w:br/>
      </w:r>
      <w:r>
        <w:rPr>
          <w:rStyle w:val="VerbatimChar"/>
        </w:rPr>
        <w:t xml:space="preserve">|                                                               |</w:t>
      </w:r>
      <w:r>
        <w:br/>
      </w:r>
      <w:r>
        <w:rPr>
          <w:rStyle w:val="VerbatimChar"/>
        </w:rPr>
        <w:t xml:space="preserve">|  SIDE 1: Industrial Customers (across 8 verticals)           |</w:t>
      </w:r>
      <w:r>
        <w:br/>
      </w:r>
      <w:r>
        <w:rPr>
          <w:rStyle w:val="VerbatimChar"/>
        </w:rPr>
        <w:t xml:space="preserve">|  +- Construction: NCC, T2H (5 projects, EUR 50M portfolio)   |</w:t>
      </w:r>
      <w:r>
        <w:br/>
      </w:r>
      <w:r>
        <w:rPr>
          <w:rStyle w:val="VerbatimChar"/>
        </w:rPr>
        <w:t xml:space="preserve">|  +- Logistics: Uber, Bolt, Kela (EUR 10k MRR during pilot)   |</w:t>
      </w:r>
      <w:r>
        <w:br/>
      </w:r>
      <w:r>
        <w:rPr>
          <w:rStyle w:val="VerbatimChar"/>
        </w:rPr>
        <w:t xml:space="preserve">|  +- Manufacturing: 2M+ companies in Europe                   |</w:t>
      </w:r>
      <w:r>
        <w:br/>
      </w:r>
      <w:r>
        <w:rPr>
          <w:rStyle w:val="VerbatimChar"/>
        </w:rPr>
        <w:t xml:space="preserve">|  +- 5 additional verticals (Energy, Healthcare, etc.)        |</w:t>
      </w:r>
      <w:r>
        <w:br/>
      </w:r>
      <w:r>
        <w:rPr>
          <w:rStyle w:val="VerbatimChar"/>
        </w:rPr>
        <w:t xml:space="preserve">|                                                               |</w:t>
      </w:r>
      <w:r>
        <w:br/>
      </w:r>
      <w:r>
        <w:rPr>
          <w:rStyle w:val="VerbatimChar"/>
        </w:rPr>
        <w:t xml:space="preserve">|  SIDE 2: Data &amp; Intelligence Providers                        |</w:t>
      </w:r>
      <w:r>
        <w:br/>
      </w:r>
      <w:r>
        <w:rPr>
          <w:rStyle w:val="VerbatimChar"/>
        </w:rPr>
        <w:t xml:space="preserve">|  +- Lifetime World Model (55B parameter LLM)                 |</w:t>
      </w:r>
      <w:r>
        <w:br/>
      </w:r>
      <w:r>
        <w:rPr>
          <w:rStyle w:val="VerbatimChar"/>
        </w:rPr>
        <w:t xml:space="preserve">|  +- EU compliance databases (Fit for 55, EPBD)               |</w:t>
      </w:r>
      <w:r>
        <w:br/>
      </w:r>
      <w:r>
        <w:rPr>
          <w:rStyle w:val="VerbatimChar"/>
        </w:rPr>
        <w:t xml:space="preserve">|  +- Industry-specific carbon coefficients                    |</w:t>
      </w:r>
      <w:r>
        <w:br/>
      </w:r>
      <w:r>
        <w:rPr>
          <w:rStyle w:val="VerbatimChar"/>
        </w:rPr>
        <w:t xml:space="preserve">|                                                               |</w:t>
      </w:r>
      <w:r>
        <w:br/>
      </w:r>
      <w:r>
        <w:rPr>
          <w:rStyle w:val="VerbatimChar"/>
        </w:rPr>
        <w:t xml:space="preserve">|  SIDE 3: Hardware &amp; Edge Partners                             |</w:t>
      </w:r>
      <w:r>
        <w:br/>
      </w:r>
      <w:r>
        <w:rPr>
          <w:rStyle w:val="VerbatimChar"/>
        </w:rPr>
        <w:t xml:space="preserve">|  +- NVIDIA (Jetson Orin Nano edge devices)                   |</w:t>
      </w:r>
      <w:r>
        <w:br/>
      </w:r>
      <w:r>
        <w:rPr>
          <w:rStyle w:val="VerbatimChar"/>
        </w:rPr>
        <w:t xml:space="preserve">|  +- Acer/Asus (Blackwell training infrastructure)            |</w:t>
      </w:r>
      <w:r>
        <w:br/>
      </w:r>
      <w:r>
        <w:rPr>
          <w:rStyle w:val="VerbatimChar"/>
        </w:rPr>
        <w:t xml:space="preserve">|  +- IoT sensor manufacturers                                 |</w:t>
      </w:r>
      <w:r>
        <w:br/>
      </w:r>
      <w:r>
        <w:rPr>
          <w:rStyle w:val="VerbatimChar"/>
        </w:rPr>
        <w:t xml:space="preserve">|                                                               |</w:t>
      </w:r>
      <w:r>
        <w:br/>
      </w:r>
      <w:r>
        <w:rPr>
          <w:rStyle w:val="VerbatimChar"/>
        </w:rPr>
        <w:t xml:space="preserve">|  NETWORK EFFECTS:                                             |</w:t>
      </w:r>
      <w:r>
        <w:br/>
      </w:r>
      <w:r>
        <w:rPr>
          <w:rStyle w:val="VerbatimChar"/>
        </w:rPr>
        <w:t xml:space="preserve">|  * Cross-vertical intelligence (Logistics -&gt; Construction)   |</w:t>
      </w:r>
      <w:r>
        <w:br/>
      </w:r>
      <w:r>
        <w:rPr>
          <w:rStyle w:val="VerbatimChar"/>
        </w:rPr>
        <w:t xml:space="preserve">|  * Each new vertical makes ALL verticals smarter             |</w:t>
      </w:r>
      <w:r>
        <w:br/>
      </w:r>
      <w:r>
        <w:rPr>
          <w:rStyle w:val="VerbatimChar"/>
        </w:rPr>
        <w:t xml:space="preserve">|  * Agent templates become reusable across industries         |</w:t>
      </w:r>
      <w:r>
        <w:br/>
      </w:r>
      <w:r>
        <w:rPr>
          <w:rStyle w:val="VerbatimChar"/>
        </w:rPr>
        <w:t xml:space="preserve">|                                                               |</w:t>
      </w:r>
      <w:r>
        <w:br/>
      </w:r>
      <w:r>
        <w:rPr>
          <w:rStyle w:val="VerbatimChar"/>
        </w:rPr>
        <w:t xml:space="preserve">+-------------------------------------------------------------+</w:t>
      </w:r>
    </w:p>
    <w:p>
      <w:pPr>
        <w:pStyle w:val="FirstParagraph"/>
      </w:pPr>
      <w:r>
        <w:rPr>
          <w:bCs/>
          <w:b/>
        </w:rPr>
        <w:t xml:space="preserve">Market context:</w:t>
      </w:r>
      <w:r>
        <w:t xml:space="preserve"> </w:t>
      </w:r>
      <w:r>
        <w:t xml:space="preserve">Worldwide generative AI spending is projected to reach $644 billion in 2025, a 76.4% year-over-year increase (Red Hat, 2025). Yet 64% of CEOs invest in AI technologies before clearly understanding the value they bring, creating technical debt and strategic fragility. This reactive posture validates the Firehorse platform approach: outcome-defined AI with built-in compliance guardrails, rather than technology-first experimentation.</w:t>
      </w:r>
    </w:p>
    <w:p>
      <w:pPr>
        <w:pStyle w:val="BodyText"/>
      </w:pPr>
      <w:r>
        <w:rPr>
          <w:bCs/>
          <w:b/>
        </w:rPr>
        <w:t xml:space="preserve">Value Creation Mechanisms:</w:t>
      </w:r>
    </w:p>
    <w:p>
      <w:pPr>
        <w:numPr>
          <w:ilvl w:val="0"/>
          <w:numId w:val="1017"/>
        </w:numPr>
        <w:pStyle w:val="Compact"/>
      </w:pPr>
      <w:r>
        <w:rPr>
          <w:bCs/>
          <w:b/>
        </w:rPr>
        <w:t xml:space="preserve">Same-side effects:</w:t>
      </w:r>
      <w:r>
        <w:t xml:space="preserve"> </w:t>
      </w:r>
      <w:r>
        <w:t xml:space="preserve">More customers -&gt; more industry data -&gt; better agent accuracy</w:t>
      </w:r>
    </w:p>
    <w:p>
      <w:pPr>
        <w:numPr>
          <w:ilvl w:val="0"/>
          <w:numId w:val="1017"/>
        </w:numPr>
        <w:pStyle w:val="Compact"/>
      </w:pPr>
      <w:r>
        <w:rPr>
          <w:bCs/>
          <w:b/>
        </w:rPr>
        <w:t xml:space="preserve">Cross-side effects:</w:t>
      </w:r>
      <w:r>
        <w:t xml:space="preserve"> </w:t>
      </w:r>
      <w:r>
        <w:t xml:space="preserve">More verticals -&gt; more reusable agent templates -&gt; faster deployment</w:t>
      </w:r>
    </w:p>
    <w:p>
      <w:pPr>
        <w:numPr>
          <w:ilvl w:val="0"/>
          <w:numId w:val="1017"/>
        </w:numPr>
        <w:pStyle w:val="Compact"/>
      </w:pPr>
      <w:r>
        <w:rPr>
          <w:bCs/>
          <w:b/>
        </w:rPr>
        <w:t xml:space="preserve">Data network effects:</w:t>
      </w:r>
      <w:r>
        <w:t xml:space="preserve"> </w:t>
      </w:r>
      <w:r>
        <w:t xml:space="preserve">Lifetime World Model improves with each customer interaction</w:t>
      </w:r>
    </w:p>
    <w:bookmarkEnd w:id="37"/>
    <w:bookmarkStart w:id="38" w:name="industry-5.0"/>
    <w:p>
      <w:pPr>
        <w:pStyle w:val="Heading2"/>
      </w:pPr>
      <w:r>
        <w:t xml:space="preserve">2.3 Industry 5.0</w:t>
      </w:r>
    </w:p>
    <w:p>
      <w:pPr>
        <w:pStyle w:val="FirstParagraph"/>
      </w:pPr>
      <w:r>
        <w:t xml:space="preserve">Industry 5.0 (European Commission, 2021) represents an evolution from Industry 4.0’s automation focus toward a human-centric, sustainable, and resilient industrial paradigm. The Firehorse operating model directly implements these three pillars:</w:t>
      </w:r>
    </w:p>
    <w:p>
      <w:pPr>
        <w:pStyle w:val="BodyText"/>
      </w:pPr>
      <w:r>
        <w:rPr>
          <w:bCs/>
          <w:b/>
        </w:rPr>
        <w:t xml:space="preserve">Human-centric implementation:</w:t>
      </w:r>
      <w:r>
        <w:t xml:space="preserve"> </w:t>
      </w:r>
      <w:r>
        <w:t xml:space="preserve">The three-phase deployment model (Silent Pilot -&gt; Advisor -&gt; Autonomous) ensures human oversight:</w:t>
      </w:r>
    </w:p>
    <w:tbl>
      <w:tblPr>
        <w:tblStyle w:val="Table"/>
        <w:tblW w:type="pct" w:w="5000"/>
        <w:tblLook w:firstRow="1" w:lastRow="0" w:firstColumn="0" w:lastColumn="0" w:noHBand="0" w:noVBand="0" w:val="0020"/>
        <w:jc w:val="start"/>
      </w:tblPr>
      <w:tblGrid>
        <w:gridCol w:w="1456"/>
        <w:gridCol w:w="1638"/>
        <w:gridCol w:w="2184"/>
        <w:gridCol w:w="2640"/>
      </w:tblGrid>
      <w:tr>
        <w:trPr>
          <w:tblHeader w:val="true"/>
        </w:trPr>
        <w:tc>
          <w:tcPr/>
          <w:p>
            <w:pPr>
              <w:pStyle w:val="Compact"/>
              <w:jc w:val="left"/>
            </w:pPr>
            <w:r>
              <w:t xml:space="preserve">Phase</w:t>
            </w:r>
          </w:p>
        </w:tc>
        <w:tc>
          <w:tcPr/>
          <w:p>
            <w:pPr>
              <w:pStyle w:val="Compact"/>
              <w:jc w:val="left"/>
            </w:pPr>
            <w:r>
              <w:t xml:space="preserve">Human Role</w:t>
            </w:r>
          </w:p>
        </w:tc>
        <w:tc>
          <w:tcPr/>
          <w:p>
            <w:pPr>
              <w:pStyle w:val="Compact"/>
              <w:jc w:val="left"/>
            </w:pPr>
            <w:r>
              <w:t xml:space="preserve">AI Role</w:t>
            </w:r>
          </w:p>
        </w:tc>
        <w:tc>
          <w:tcPr/>
          <w:p>
            <w:pPr>
              <w:pStyle w:val="Compact"/>
              <w:jc w:val="left"/>
            </w:pPr>
            <w:r>
              <w:t xml:space="preserve">Industry 5.0 Alignment</w:t>
            </w:r>
          </w:p>
        </w:tc>
      </w:tr>
      <w:tr>
        <w:tc>
          <w:tcPr/>
          <w:p>
            <w:pPr>
              <w:pStyle w:val="Compact"/>
              <w:jc w:val="left"/>
            </w:pPr>
            <w:r>
              <w:rPr>
                <w:bCs/>
                <w:b/>
              </w:rPr>
              <w:t xml:space="preserve">Silent Pilot</w:t>
            </w:r>
          </w:p>
        </w:tc>
        <w:tc>
          <w:tcPr/>
          <w:p>
            <w:pPr>
              <w:pStyle w:val="Compact"/>
              <w:jc w:val="left"/>
            </w:pPr>
            <w:r>
              <w:t xml:space="preserve">Full control</w:t>
            </w:r>
          </w:p>
        </w:tc>
        <w:tc>
          <w:tcPr/>
          <w:p>
            <w:pPr>
              <w:pStyle w:val="Compact"/>
              <w:jc w:val="left"/>
            </w:pPr>
            <w:r>
              <w:t xml:space="preserve">Observation only</w:t>
            </w:r>
          </w:p>
        </w:tc>
        <w:tc>
          <w:tcPr/>
          <w:p>
            <w:pPr>
              <w:pStyle w:val="Compact"/>
              <w:jc w:val="left"/>
            </w:pPr>
            <w:r>
              <w:t xml:space="preserve">Maximum human agency</w:t>
            </w:r>
          </w:p>
        </w:tc>
      </w:tr>
      <w:tr>
        <w:tc>
          <w:tcPr/>
          <w:p>
            <w:pPr>
              <w:pStyle w:val="Compact"/>
              <w:jc w:val="left"/>
            </w:pPr>
            <w:r>
              <w:rPr>
                <w:bCs/>
                <w:b/>
              </w:rPr>
              <w:t xml:space="preserve">Advisor</w:t>
            </w:r>
          </w:p>
        </w:tc>
        <w:tc>
          <w:tcPr/>
          <w:p>
            <w:pPr>
              <w:pStyle w:val="Compact"/>
              <w:jc w:val="left"/>
            </w:pPr>
            <w:r>
              <w:t xml:space="preserve">Approval required</w:t>
            </w:r>
          </w:p>
        </w:tc>
        <w:tc>
          <w:tcPr/>
          <w:p>
            <w:pPr>
              <w:pStyle w:val="Compact"/>
              <w:jc w:val="left"/>
            </w:pPr>
            <w:r>
              <w:t xml:space="preserve">Recommendations</w:t>
            </w:r>
          </w:p>
        </w:tc>
        <w:tc>
          <w:tcPr/>
          <w:p>
            <w:pPr>
              <w:pStyle w:val="Compact"/>
              <w:jc w:val="left"/>
            </w:pPr>
            <w:r>
              <w:t xml:space="preserve">Collaborative decision-making</w:t>
            </w:r>
          </w:p>
        </w:tc>
      </w:tr>
      <w:tr>
        <w:tc>
          <w:tcPr/>
          <w:p>
            <w:pPr>
              <w:pStyle w:val="Compact"/>
              <w:jc w:val="left"/>
            </w:pPr>
            <w:r>
              <w:rPr>
                <w:bCs/>
                <w:b/>
              </w:rPr>
              <w:t xml:space="preserve">Autonomous</w:t>
            </w:r>
          </w:p>
        </w:tc>
        <w:tc>
          <w:tcPr/>
          <w:p>
            <w:pPr>
              <w:pStyle w:val="Compact"/>
              <w:jc w:val="left"/>
            </w:pPr>
            <w:r>
              <w:t xml:space="preserve">Exception handling</w:t>
            </w:r>
          </w:p>
        </w:tc>
        <w:tc>
          <w:tcPr/>
          <w:p>
            <w:pPr>
              <w:pStyle w:val="Compact"/>
              <w:jc w:val="left"/>
            </w:pPr>
            <w:r>
              <w:t xml:space="preserve">Action within guardrails</w:t>
            </w:r>
          </w:p>
        </w:tc>
        <w:tc>
          <w:tcPr/>
          <w:p>
            <w:pPr>
              <w:pStyle w:val="Compact"/>
              <w:jc w:val="left"/>
            </w:pPr>
            <w:r>
              <w:t xml:space="preserve">Human oversight on edge cases</w:t>
            </w:r>
          </w:p>
        </w:tc>
      </w:tr>
    </w:tbl>
    <w:bookmarkEnd w:id="38"/>
    <w:bookmarkStart w:id="39" w:name="edge-computing-economics"/>
    <w:p>
      <w:pPr>
        <w:pStyle w:val="Heading2"/>
      </w:pPr>
      <w:r>
        <w:t xml:space="preserve">2.4 Edge Computing Economics</w:t>
      </w:r>
    </w:p>
    <w:p>
      <w:pPr>
        <w:pStyle w:val="FirstParagraph"/>
      </w:pPr>
      <w:r>
        <w:t xml:space="preserve">Edge computing economics (Shi et al., 2016) provides the theoretical foundation for Firehorse’s hybrid architecture. The key insight is that latency and bandwidth costs frequently exceed the savings of centralized processing:</w:t>
      </w:r>
    </w:p>
    <w:p>
      <w:pPr>
        <w:pStyle w:val="BodyText"/>
      </w:pPr>
      <w:r>
        <w:rPr>
          <w:bCs/>
          <w:b/>
        </w:rPr>
        <w:t xml:space="preserve">Latency-cost tradeoff analysis:</w:t>
      </w:r>
    </w:p>
    <w:tbl>
      <w:tblPr>
        <w:tblStyle w:val="Table"/>
        <w:tblW w:type="pct" w:w="5000"/>
        <w:tblLook w:firstRow="1" w:lastRow="0" w:firstColumn="0" w:lastColumn="0" w:noHBand="0" w:noVBand="0" w:val="0020"/>
        <w:jc w:val="start"/>
      </w:tblPr>
      <w:tblGrid>
        <w:gridCol w:w="2076"/>
        <w:gridCol w:w="922"/>
        <w:gridCol w:w="1999"/>
        <w:gridCol w:w="2921"/>
      </w:tblGrid>
      <w:tr>
        <w:trPr>
          <w:tblHeader w:val="true"/>
        </w:trPr>
        <w:tc>
          <w:tcPr/>
          <w:p>
            <w:pPr>
              <w:pStyle w:val="Compact"/>
              <w:jc w:val="left"/>
            </w:pPr>
            <w:r>
              <w:t xml:space="preserve">Processing Location</w:t>
            </w:r>
          </w:p>
        </w:tc>
        <w:tc>
          <w:tcPr/>
          <w:p>
            <w:pPr>
              <w:pStyle w:val="Compact"/>
              <w:jc w:val="left"/>
            </w:pPr>
            <w:r>
              <w:t xml:space="preserve">Latency</w:t>
            </w:r>
          </w:p>
        </w:tc>
        <w:tc>
          <w:tcPr/>
          <w:p>
            <w:pPr>
              <w:pStyle w:val="Compact"/>
              <w:jc w:val="left"/>
            </w:pPr>
            <w:r>
              <w:t xml:space="preserve">Monthly Cost</w:t>
            </w:r>
          </w:p>
        </w:tc>
        <w:tc>
          <w:tcPr/>
          <w:p>
            <w:pPr>
              <w:pStyle w:val="Compact"/>
              <w:jc w:val="left"/>
            </w:pPr>
            <w:r>
              <w:t xml:space="preserve">Use Case</w:t>
            </w:r>
          </w:p>
        </w:tc>
      </w:tr>
      <w:tr>
        <w:tc>
          <w:tcPr/>
          <w:p>
            <w:pPr>
              <w:pStyle w:val="Compact"/>
              <w:jc w:val="left"/>
            </w:pPr>
            <w:r>
              <w:rPr>
                <w:bCs/>
                <w:b/>
              </w:rPr>
              <w:t xml:space="preserve">Cloud (Groq API)</w:t>
            </w:r>
          </w:p>
        </w:tc>
        <w:tc>
          <w:tcPr/>
          <w:p>
            <w:pPr>
              <w:pStyle w:val="Compact"/>
              <w:jc w:val="left"/>
            </w:pPr>
            <w:r>
              <w:t xml:space="preserve">500-2000ms</w:t>
            </w:r>
          </w:p>
        </w:tc>
        <w:tc>
          <w:tcPr/>
          <w:p>
            <w:pPr>
              <w:pStyle w:val="Compact"/>
              <w:jc w:val="left"/>
            </w:pPr>
            <w:r>
              <w:t xml:space="preserve">EUR 555/month</w:t>
            </w:r>
          </w:p>
        </w:tc>
        <w:tc>
          <w:tcPr/>
          <w:p>
            <w:pPr>
              <w:pStyle w:val="Compact"/>
              <w:jc w:val="left"/>
            </w:pPr>
            <w:r>
              <w:t xml:space="preserve">Complex reasoning, report generation</w:t>
            </w:r>
          </w:p>
        </w:tc>
      </w:tr>
      <w:tr>
        <w:tc>
          <w:tcPr/>
          <w:p>
            <w:pPr>
              <w:pStyle w:val="Compact"/>
              <w:jc w:val="left"/>
            </w:pPr>
            <w:r>
              <w:rPr>
                <w:bCs/>
                <w:b/>
              </w:rPr>
              <w:t xml:space="preserve">Edge (Jetson Orin Nano)</w:t>
            </w:r>
          </w:p>
        </w:tc>
        <w:tc>
          <w:tcPr/>
          <w:p>
            <w:pPr>
              <w:pStyle w:val="Compact"/>
              <w:jc w:val="left"/>
            </w:pPr>
            <w:r>
              <w:t xml:space="preserve">&lt;100ms</w:t>
            </w:r>
          </w:p>
        </w:tc>
        <w:tc>
          <w:tcPr/>
          <w:p>
            <w:pPr>
              <w:pStyle w:val="Compact"/>
              <w:jc w:val="left"/>
            </w:pPr>
            <w:r>
              <w:t xml:space="preserve">EUR 100/year (electricity)</w:t>
            </w:r>
          </w:p>
        </w:tc>
        <w:tc>
          <w:tcPr/>
          <w:p>
            <w:pPr>
              <w:pStyle w:val="Compact"/>
              <w:jc w:val="left"/>
            </w:pPr>
            <w:r>
              <w:t xml:space="preserve">Real-time construction site monitoring</w:t>
            </w:r>
          </w:p>
        </w:tc>
      </w:tr>
      <w:tr>
        <w:tc>
          <w:tcPr/>
          <w:p>
            <w:pPr>
              <w:pStyle w:val="Compact"/>
              <w:jc w:val="left"/>
            </w:pPr>
            <w:r>
              <w:rPr>
                <w:bCs/>
                <w:b/>
              </w:rPr>
              <w:t xml:space="preserve">Hybrid</w:t>
            </w:r>
          </w:p>
        </w:tc>
        <w:tc>
          <w:tcPr/>
          <w:p>
            <w:pPr>
              <w:pStyle w:val="Compact"/>
              <w:jc w:val="left"/>
            </w:pPr>
            <w:r>
              <w:t xml:space="preserve">Best of both</w:t>
            </w:r>
          </w:p>
        </w:tc>
        <w:tc>
          <w:tcPr/>
          <w:p>
            <w:pPr>
              <w:pStyle w:val="Compact"/>
              <w:jc w:val="left"/>
            </w:pPr>
            <w:r>
              <w:t xml:space="preserve">EUR 25-350/month</w:t>
            </w:r>
          </w:p>
        </w:tc>
        <w:tc>
          <w:tcPr/>
          <w:p>
            <w:pPr>
              <w:pStyle w:val="Compact"/>
              <w:jc w:val="left"/>
            </w:pPr>
            <w:r>
              <w:t xml:space="preserve">Firehorse optimal configuration</w:t>
            </w:r>
          </w:p>
        </w:tc>
      </w:tr>
    </w:tbl>
    <w:p>
      <w:pPr>
        <w:pStyle w:val="BodyText"/>
      </w:pPr>
      <w:r>
        <w:rPr>
          <w:bCs/>
          <w:b/>
        </w:rPr>
        <w:t xml:space="preserve">Edge AI ROI calculation:</w:t>
      </w:r>
    </w:p>
    <w:p>
      <w:pPr>
        <w:pStyle w:val="SourceCode"/>
      </w:pPr>
      <w:r>
        <w:rPr>
          <w:rStyle w:val="VerbatimChar"/>
        </w:rPr>
        <w:t xml:space="preserve">Cloud solution (12 months):</w:t>
      </w:r>
      <w:r>
        <w:br/>
      </w:r>
      <w:r>
        <w:rPr>
          <w:rStyle w:val="VerbatimChar"/>
        </w:rPr>
        <w:t xml:space="preserve">  Compute: EUR 555/month x 12 = EUR 6,660/year</w:t>
      </w:r>
      <w:r>
        <w:br/>
      </w:r>
      <w:r>
        <w:rPr>
          <w:rStyle w:val="VerbatimChar"/>
        </w:rPr>
        <w:t xml:space="preserve">  Total: EUR 6,660/year</w:t>
      </w:r>
      <w:r>
        <w:br/>
      </w:r>
      <w:r>
        <w:br/>
      </w:r>
      <w:r>
        <w:rPr>
          <w:rStyle w:val="VerbatimChar"/>
        </w:rPr>
        <w:t xml:space="preserve">Edge AI solution:</w:t>
      </w:r>
      <w:r>
        <w:br/>
      </w:r>
      <w:r>
        <w:rPr>
          <w:rStyle w:val="VerbatimChar"/>
        </w:rPr>
        <w:t xml:space="preserve">  Hardware (one-time): EUR 1,084 (Jetson Orin Nano + accessories)</w:t>
      </w:r>
      <w:r>
        <w:br/>
      </w:r>
      <w:r>
        <w:rPr>
          <w:rStyle w:val="VerbatimChar"/>
        </w:rPr>
        <w:t xml:space="preserve">  Electricity: EUR 10/month x 12 = EUR 120/year</w:t>
      </w:r>
      <w:r>
        <w:br/>
      </w:r>
      <w:r>
        <w:rPr>
          <w:rStyle w:val="VerbatimChar"/>
        </w:rPr>
        <w:t xml:space="preserve">  Year 1 total: EUR 1,204</w:t>
      </w:r>
      <w:r>
        <w:br/>
      </w:r>
      <w:r>
        <w:rPr>
          <w:rStyle w:val="VerbatimChar"/>
        </w:rPr>
        <w:t xml:space="preserve">  Year 2+ total: EUR 120/year</w:t>
      </w:r>
      <w:r>
        <w:br/>
      </w:r>
      <w:r>
        <w:br/>
      </w:r>
      <w:r>
        <w:rPr>
          <w:rStyle w:val="VerbatimChar"/>
        </w:rPr>
        <w:t xml:space="preserve">Savings: EUR 5,456/year (82% cheaper)</w:t>
      </w:r>
      <w:r>
        <w:br/>
      </w:r>
      <w:r>
        <w:rPr>
          <w:rStyle w:val="VerbatimChar"/>
        </w:rPr>
        <w:t xml:space="preserve">Payback period: 1.95 months</w:t>
      </w:r>
    </w:p>
    <w:p>
      <w:pPr>
        <w:pStyle w:val="FirstParagraph"/>
      </w:pPr>
      <w:r>
        <w:rPr>
          <w:bCs/>
          <w:b/>
        </w:rPr>
        <w:t xml:space="preserve">Inference shift validation:</w:t>
      </w:r>
      <w:r>
        <w:t xml:space="preserve"> </w:t>
      </w:r>
      <w:r>
        <w:t xml:space="preserve">By 2028, more than 80% of data center workload accelerators will be deployed specifically for inference rather than training (Red Hat, 2025). This structural shift toward runtime execution validates the Firehorse edge-first architecture: the GN-100 Jetson Orin Nano runs inference workloads at EUR 120/year versus EUR 6,660/year in cloud — positioned precisely where the industry investment thesis is heading.</w:t>
      </w:r>
    </w:p>
    <w:bookmarkEnd w:id="39"/>
    <w:bookmarkStart w:id="44" w:name="X4f2064b2cf1bdfe6adbca5812c33986d8783861"/>
    <w:p>
      <w:pPr>
        <w:pStyle w:val="Heading2"/>
      </w:pPr>
      <w:r>
        <w:t xml:space="preserve">2.5 Multi-Agent Systems Theory and Lifetime Scope Signals</w:t>
      </w:r>
    </w:p>
    <w:p>
      <w:pPr>
        <w:pStyle w:val="FirstParagraph"/>
      </w:pPr>
      <w:r>
        <w:t xml:space="preserve">This section introduces a novel theoretical contribution: the</w:t>
      </w:r>
      <w:r>
        <w:t xml:space="preserve"> </w:t>
      </w:r>
      <w:r>
        <w:rPr>
          <w:bCs/>
          <w:b/>
        </w:rPr>
        <w:t xml:space="preserve">Lifetime Scope Signals protocol</w:t>
      </w:r>
      <w:r>
        <w:t xml:space="preserve"> </w:t>
      </w:r>
      <w:r>
        <w:t xml:space="preserve">for multi-agent coordination in bootstrapped industrial AI platforms.</w:t>
      </w:r>
    </w:p>
    <w:bookmarkStart w:id="40" w:name="multi-agent-systems-background"/>
    <w:p>
      <w:pPr>
        <w:pStyle w:val="Heading3"/>
      </w:pPr>
      <w:r>
        <w:t xml:space="preserve">2.5.1 Multi-Agent Systems Background</w:t>
      </w:r>
    </w:p>
    <w:p>
      <w:pPr>
        <w:pStyle w:val="FirstParagraph"/>
      </w:pPr>
      <w:r>
        <w:t xml:space="preserve">Multi-agent systems (MAS) theory (Wooldridge, 2009) provides the foundation for understanding how autonomous agents can coordinate to achieve complex objectives. Key concepts applied to Firehorse:</w:t>
      </w:r>
    </w:p>
    <w:p>
      <w:pPr>
        <w:numPr>
          <w:ilvl w:val="0"/>
          <w:numId w:val="1018"/>
        </w:numPr>
        <w:pStyle w:val="Compact"/>
      </w:pPr>
      <w:r>
        <w:rPr>
          <w:bCs/>
          <w:b/>
        </w:rPr>
        <w:t xml:space="preserve">Agent autonomy:</w:t>
      </w:r>
      <w:r>
        <w:t xml:space="preserve"> </w:t>
      </w:r>
      <w:r>
        <w:t xml:space="preserve">Each agent operates independently within defined responsibility areas</w:t>
      </w:r>
    </w:p>
    <w:p>
      <w:pPr>
        <w:numPr>
          <w:ilvl w:val="0"/>
          <w:numId w:val="1018"/>
        </w:numPr>
        <w:pStyle w:val="Compact"/>
      </w:pPr>
      <w:r>
        <w:rPr>
          <w:bCs/>
          <w:b/>
        </w:rPr>
        <w:t xml:space="preserve">Agent communication:</w:t>
      </w:r>
      <w:r>
        <w:t xml:space="preserve"> </w:t>
      </w:r>
      <w:r>
        <w:t xml:space="preserve">Agents exchange signals to coordinate dependencies</w:t>
      </w:r>
    </w:p>
    <w:p>
      <w:pPr>
        <w:numPr>
          <w:ilvl w:val="0"/>
          <w:numId w:val="1018"/>
        </w:numPr>
        <w:pStyle w:val="Compact"/>
      </w:pPr>
      <w:r>
        <w:rPr>
          <w:bCs/>
          <w:b/>
        </w:rPr>
        <w:t xml:space="preserve">Emergent behavior:</w:t>
      </w:r>
      <w:r>
        <w:t xml:space="preserve"> </w:t>
      </w:r>
      <w:r>
        <w:t xml:space="preserve">System-level capabilities arise from agent interactions</w:t>
      </w:r>
    </w:p>
    <w:p>
      <w:pPr>
        <w:numPr>
          <w:ilvl w:val="0"/>
          <w:numId w:val="1018"/>
        </w:numPr>
        <w:pStyle w:val="Compact"/>
      </w:pPr>
      <w:r>
        <w:rPr>
          <w:bCs/>
          <w:b/>
        </w:rPr>
        <w:t xml:space="preserve">Coordination mechanisms:</w:t>
      </w:r>
      <w:r>
        <w:t xml:space="preserve"> </w:t>
      </w:r>
      <w:r>
        <w:t xml:space="preserve">Protocols ensure agents work toward shared goals</w:t>
      </w:r>
    </w:p>
    <w:bookmarkEnd w:id="40"/>
    <w:bookmarkStart w:id="41" w:name="lifetime-scope-signals-protocol"/>
    <w:p>
      <w:pPr>
        <w:pStyle w:val="Heading3"/>
      </w:pPr>
      <w:r>
        <w:t xml:space="preserve">2.5.2 Lifetime Scope Signals Protocol</w:t>
      </w:r>
    </w:p>
    <w:p>
      <w:pPr>
        <w:pStyle w:val="FirstParagraph"/>
      </w:pPr>
      <w:r>
        <w:t xml:space="preserve">The Lifetime Scope Signals protocol is a novel coordination mechanism developed for DWS IQ 6. It enables deterministic multi-agent development coordination. Unlike traditional MAS approaches based on real-time negotiation, this protocol uses</w:t>
      </w:r>
      <w:r>
        <w:t xml:space="preserve"> </w:t>
      </w:r>
      <w:r>
        <w:rPr>
          <w:bCs/>
          <w:b/>
        </w:rPr>
        <w:t xml:space="preserve">declarative signal emission</w:t>
      </w:r>
      <w:r>
        <w:t xml:space="preserve"> </w:t>
      </w:r>
      <w:r>
        <w:t xml:space="preserve">to unblock dependent agents.</w:t>
      </w:r>
    </w:p>
    <w:p>
      <w:pPr>
        <w:pStyle w:val="BodyText"/>
      </w:pPr>
      <w:r>
        <w:rPr>
          <w:bCs/>
          <w:b/>
        </w:rPr>
        <w:t xml:space="preserve">Signal format:</w:t>
      </w:r>
    </w:p>
    <w:p>
      <w:pPr>
        <w:pStyle w:val="SourceCode"/>
      </w:pPr>
      <w:r>
        <w:rPr>
          <w:rStyle w:val="VerbatimChar"/>
        </w:rPr>
        <w:t xml:space="preserve">[AGENT-XX]:SIGNAL_TYPE:MILESTONE:TIMESTAMP</w:t>
      </w:r>
    </w:p>
    <w:p>
      <w:pPr>
        <w:pStyle w:val="FirstParagraph"/>
      </w:pPr>
      <w:r>
        <w:rPr>
          <w:bCs/>
          <w:b/>
        </w:rPr>
        <w:t xml:space="preserve">Signal types:</w:t>
      </w:r>
    </w:p>
    <w:tbl>
      <w:tblPr>
        <w:tblStyle w:val="Table"/>
        <w:tblW w:type="pct" w:w="5000"/>
        <w:tblLook w:firstRow="1" w:lastRow="0" w:firstColumn="0" w:lastColumn="0" w:noHBand="0" w:noVBand="0" w:val="0020"/>
        <w:jc w:val="start"/>
      </w:tblPr>
      <w:tblGrid>
        <w:gridCol w:w="1084"/>
        <w:gridCol w:w="3363"/>
        <w:gridCol w:w="3471"/>
      </w:tblGrid>
      <w:tr>
        <w:trPr>
          <w:tblHeader w:val="true"/>
        </w:trPr>
        <w:tc>
          <w:tcPr/>
          <w:p>
            <w:pPr>
              <w:pStyle w:val="Compact"/>
              <w:jc w:val="left"/>
            </w:pPr>
            <w:r>
              <w:t xml:space="preserve">Type</w:t>
            </w:r>
          </w:p>
        </w:tc>
        <w:tc>
          <w:tcPr/>
          <w:p>
            <w:pPr>
              <w:pStyle w:val="Compact"/>
              <w:jc w:val="left"/>
            </w:pPr>
            <w:r>
              <w:t xml:space="preserve">Meaning</w:t>
            </w:r>
          </w:p>
        </w:tc>
        <w:tc>
          <w:tcPr/>
          <w:p>
            <w:pPr>
              <w:pStyle w:val="Compact"/>
              <w:jc w:val="left"/>
            </w:pPr>
            <w:r>
              <w:t xml:space="preserve">Action</w:t>
            </w:r>
          </w:p>
        </w:tc>
      </w:tr>
      <w:tr>
        <w:tc>
          <w:tcPr/>
          <w:p>
            <w:pPr>
              <w:pStyle w:val="Compact"/>
              <w:jc w:val="left"/>
            </w:pPr>
            <w:r>
              <w:rPr>
                <w:rStyle w:val="VerbatimChar"/>
              </w:rPr>
              <w:t xml:space="preserve">READY</w:t>
            </w:r>
          </w:p>
        </w:tc>
        <w:tc>
          <w:tcPr/>
          <w:p>
            <w:pPr>
              <w:pStyle w:val="Compact"/>
              <w:jc w:val="left"/>
            </w:pPr>
            <w:r>
              <w:t xml:space="preserve">Milestone achieved</w:t>
            </w:r>
          </w:p>
        </w:tc>
        <w:tc>
          <w:tcPr/>
          <w:p>
            <w:pPr>
              <w:pStyle w:val="Compact"/>
              <w:jc w:val="left"/>
            </w:pPr>
            <w:r>
              <w:t xml:space="preserve">Unblocks downstream agents</w:t>
            </w:r>
          </w:p>
        </w:tc>
      </w:tr>
      <w:tr>
        <w:tc>
          <w:tcPr/>
          <w:p>
            <w:pPr>
              <w:pStyle w:val="Compact"/>
              <w:jc w:val="left"/>
            </w:pPr>
            <w:r>
              <w:rPr>
                <w:rStyle w:val="VerbatimChar"/>
              </w:rPr>
              <w:t xml:space="preserve">COMPLETE</w:t>
            </w:r>
          </w:p>
        </w:tc>
        <w:tc>
          <w:tcPr/>
          <w:p>
            <w:pPr>
              <w:pStyle w:val="Compact"/>
              <w:jc w:val="left"/>
            </w:pPr>
            <w:r>
              <w:t xml:space="preserve">All agent work finished</w:t>
            </w:r>
          </w:p>
        </w:tc>
        <w:tc>
          <w:tcPr/>
          <w:p>
            <w:pPr>
              <w:pStyle w:val="Compact"/>
              <w:jc w:val="left"/>
            </w:pPr>
            <w:r>
              <w:t xml:space="preserve">Agent transitions to ready state</w:t>
            </w:r>
          </w:p>
        </w:tc>
      </w:tr>
      <w:tr>
        <w:tc>
          <w:tcPr/>
          <w:p>
            <w:pPr>
              <w:pStyle w:val="Compact"/>
              <w:jc w:val="left"/>
            </w:pPr>
            <w:r>
              <w:rPr>
                <w:rStyle w:val="VerbatimChar"/>
              </w:rPr>
              <w:t xml:space="preserve">ERROR</w:t>
            </w:r>
          </w:p>
        </w:tc>
        <w:tc>
          <w:tcPr/>
          <w:p>
            <w:pPr>
              <w:pStyle w:val="Compact"/>
              <w:jc w:val="left"/>
            </w:pPr>
            <w:r>
              <w:t xml:space="preserve">Agent encountered an error</w:t>
            </w:r>
          </w:p>
        </w:tc>
        <w:tc>
          <w:tcPr/>
          <w:p>
            <w:pPr>
              <w:pStyle w:val="Compact"/>
              <w:jc w:val="left"/>
            </w:pPr>
            <w:r>
              <w:t xml:space="preserve">Alerts coordinator</w:t>
            </w:r>
          </w:p>
        </w:tc>
      </w:tr>
      <w:tr>
        <w:tc>
          <w:tcPr/>
          <w:p>
            <w:pPr>
              <w:pStyle w:val="Compact"/>
              <w:jc w:val="left"/>
            </w:pPr>
            <w:r>
              <w:rPr>
                <w:rStyle w:val="VerbatimChar"/>
              </w:rPr>
              <w:t xml:space="preserve">BLOCKED</w:t>
            </w:r>
          </w:p>
        </w:tc>
        <w:tc>
          <w:tcPr/>
          <w:p>
            <w:pPr>
              <w:pStyle w:val="Compact"/>
              <w:jc w:val="left"/>
            </w:pPr>
            <w:r>
              <w:t xml:space="preserve">Waiting for external dependency</w:t>
            </w:r>
          </w:p>
        </w:tc>
        <w:tc>
          <w:tcPr/>
          <w:p>
            <w:pPr>
              <w:pStyle w:val="Compact"/>
              <w:jc w:val="left"/>
            </w:pPr>
            <w:r>
              <w:t xml:space="preserve">No action until unblocked</w:t>
            </w:r>
          </w:p>
        </w:tc>
      </w:tr>
    </w:tbl>
    <w:bookmarkEnd w:id="41"/>
    <w:bookmarkStart w:id="42" w:name="mcp-hub-orchestration-patterns"/>
    <w:p>
      <w:pPr>
        <w:pStyle w:val="Heading3"/>
      </w:pPr>
      <w:r>
        <w:t xml:space="preserve">2.5.3 MCP Hub Orchestration Patterns</w:t>
      </w:r>
    </w:p>
    <w:p>
      <w:pPr>
        <w:pStyle w:val="FirstParagraph"/>
      </w:pPr>
      <w:r>
        <w:t xml:space="preserve">The Model Context Protocol (MCP) Hub (</w:t>
      </w:r>
      <w:r>
        <w:rPr>
          <w:rStyle w:val="VerbatimChar"/>
        </w:rPr>
        <w:t xml:space="preserve">mcp-hub/server.py</w:t>
      </w:r>
      <w:r>
        <w:t xml:space="preserve">, port 8765) implements four workflow patterns for multi-agent coordination. Each pattern exposes a dedicated HTTP endpoint and handles agent routing, error propagation, and result aggregation.</w:t>
      </w:r>
    </w:p>
    <w:p>
      <w:pPr>
        <w:pStyle w:val="BodyText"/>
      </w:pPr>
      <w:r>
        <w:rPr>
          <w:bCs/>
          <w:b/>
        </w:rPr>
        <w:t xml:space="preserve">1. Fan-Out Pattern</w:t>
      </w:r>
      <w:r>
        <w:t xml:space="preserve"> </w:t>
      </w:r>
      <w:r>
        <w:t xml:space="preserve">(</w:t>
      </w:r>
      <w:r>
        <w:rPr>
          <w:rStyle w:val="VerbatimChar"/>
        </w:rPr>
        <w:t xml:space="preserve">POST /workflow/fan-out</w:t>
      </w:r>
      <w:r>
        <w:t xml:space="preserve">)</w:t>
      </w:r>
      <w:r>
        <w:t xml:space="preserve"> </w:t>
      </w:r>
      <w:r>
        <w:t xml:space="preserve">Distributes tasks to multiple agents in parallel using</w:t>
      </w:r>
      <w:r>
        <w:t xml:space="preserve"> </w:t>
      </w:r>
      <w:r>
        <w:rPr>
          <w:rStyle w:val="VerbatimChar"/>
        </w:rPr>
        <w:t xml:space="preserve">asyncio.gather()</w:t>
      </w:r>
      <w:r>
        <w:t xml:space="preserve">. All agents execute concurrently with a shared HTTP client (300s timeout). Exceptions are serialized per-task, enabling partial success — if one agent fails, others still return results. Used for Category B (Operations) agents where tasks are independent.</w:t>
      </w:r>
    </w:p>
    <w:p>
      <w:pPr>
        <w:pStyle w:val="BodyText"/>
      </w:pPr>
      <w:r>
        <w:rPr>
          <w:bCs/>
          <w:b/>
        </w:rPr>
        <w:t xml:space="preserve">2. Sequential Pattern</w:t>
      </w:r>
      <w:r>
        <w:t xml:space="preserve"> </w:t>
      </w:r>
      <w:r>
        <w:t xml:space="preserve">(</w:t>
      </w:r>
      <w:r>
        <w:rPr>
          <w:rStyle w:val="VerbatimChar"/>
        </w:rPr>
        <w:t xml:space="preserve">POST /workflow/sequential</w:t>
      </w:r>
      <w:r>
        <w:t xml:space="preserve">)</w:t>
      </w:r>
      <w:r>
        <w:t xml:space="preserve"> </w:t>
      </w:r>
      <w:r>
        <w:t xml:space="preserve">Executes tasks one by one in dependency order. Each task’s result is injected as</w:t>
      </w:r>
      <w:r>
        <w:t xml:space="preserve"> </w:t>
      </w:r>
      <w:r>
        <w:rPr>
          <w:rStyle w:val="VerbatimChar"/>
        </w:rPr>
        <w:t xml:space="preserve">context["previous_result"]</w:t>
      </w:r>
      <w:r>
        <w:t xml:space="preserve"> </w:t>
      </w:r>
      <w:r>
        <w:t xml:space="preserve">into the next task, creating an explicit data flow chain. Suitable for pipelines where output of one agent feeds the next (e.g., data extraction → analysis → report generation).</w:t>
      </w:r>
    </w:p>
    <w:p>
      <w:pPr>
        <w:pStyle w:val="BodyText"/>
      </w:pPr>
      <w:r>
        <w:rPr>
          <w:bCs/>
          <w:b/>
        </w:rPr>
        <w:t xml:space="preserve">3. Reflection Pattern</w:t>
      </w:r>
      <w:r>
        <w:t xml:space="preserve"> </w:t>
      </w:r>
      <w:r>
        <w:t xml:space="preserve">(</w:t>
      </w:r>
      <w:r>
        <w:rPr>
          <w:rStyle w:val="VerbatimChar"/>
        </w:rPr>
        <w:t xml:space="preserve">POST /workflow/reflection</w:t>
      </w:r>
      <w:r>
        <w:t xml:space="preserve">)</w:t>
      </w:r>
      <w:r>
        <w:t xml:space="preserve"> </w:t>
      </w:r>
      <w:r>
        <w:t xml:space="preserve">Implements an iterative implementation-evaluation loop. An implementation agent produces output, an evaluation agent scores it (0.0–1.0) and provides feedback. If the score falls below a configurable threshold (default 0.85), the feedback is injected back into the implementation agent for another iteration (max 3 by default). Used for Category C (Customer-facing) agents where output quality is critical.</w:t>
      </w:r>
    </w:p>
    <w:p>
      <w:pPr>
        <w:pStyle w:val="BodyText"/>
      </w:pPr>
      <w:r>
        <w:rPr>
          <w:bCs/>
          <w:b/>
        </w:rPr>
        <w:t xml:space="preserve">4. Pipeline Pattern</w:t>
      </w:r>
      <w:r>
        <w:t xml:space="preserve"> </w:t>
      </w:r>
      <w:r>
        <w:t xml:space="preserve">(</w:t>
      </w:r>
      <w:r>
        <w:rPr>
          <w:rStyle w:val="VerbatimChar"/>
        </w:rPr>
        <w:t xml:space="preserve">POST /workflow/pipeline</w:t>
      </w:r>
      <w:r>
        <w:t xml:space="preserve">) —</w:t>
      </w:r>
      <w:r>
        <w:t xml:space="preserve"> </w:t>
      </w:r>
      <w:r>
        <w:rPr>
          <w:iCs/>
          <w:i/>
        </w:rPr>
        <w:t xml:space="preserve">Recommended for production</w:t>
      </w:r>
      <w:r>
        <w:t xml:space="preserve"> </w:t>
      </w:r>
      <w:r>
        <w:t xml:space="preserve">Combines parallel and sequential execution through staged workflows. Each stage contains a list of tasks that execute in parallel (fan-out within stage), while stages execute sequentially (results from stage N flow as context into stage N+1). This avoids the sequential bottleneck while maintaining dependency ordering between logical phases.</w:t>
      </w:r>
    </w:p>
    <w:tbl>
      <w:tblPr>
        <w:tblStyle w:val="Table"/>
        <w:tblW w:type="pct" w:w="5000"/>
        <w:tblLook w:firstRow="1" w:lastRow="0" w:firstColumn="0" w:lastColumn="0" w:noHBand="0" w:noVBand="0" w:val="0020"/>
        <w:jc w:val="start"/>
      </w:tblPr>
      <w:tblGrid>
        <w:gridCol w:w="1131"/>
        <w:gridCol w:w="2489"/>
        <w:gridCol w:w="1697"/>
        <w:gridCol w:w="2602"/>
      </w:tblGrid>
      <w:tr>
        <w:trPr>
          <w:tblHeader w:val="true"/>
        </w:trPr>
        <w:tc>
          <w:tcPr/>
          <w:p>
            <w:pPr>
              <w:pStyle w:val="Compact"/>
              <w:jc w:val="left"/>
            </w:pPr>
            <w:r>
              <w:t xml:space="preserve">Pattern</w:t>
            </w:r>
          </w:p>
        </w:tc>
        <w:tc>
          <w:tcPr/>
          <w:p>
            <w:pPr>
              <w:pStyle w:val="Compact"/>
              <w:jc w:val="left"/>
            </w:pPr>
            <w:r>
              <w:t xml:space="preserve">Parallelism</w:t>
            </w:r>
          </w:p>
        </w:tc>
        <w:tc>
          <w:tcPr/>
          <w:p>
            <w:pPr>
              <w:pStyle w:val="Compact"/>
              <w:jc w:val="left"/>
            </w:pPr>
            <w:r>
              <w:t xml:space="preserve">Context Passing</w:t>
            </w:r>
          </w:p>
        </w:tc>
        <w:tc>
          <w:tcPr/>
          <w:p>
            <w:pPr>
              <w:pStyle w:val="Compact"/>
              <w:jc w:val="left"/>
            </w:pPr>
            <w:r>
              <w:t xml:space="preserve">Best For</w:t>
            </w:r>
          </w:p>
        </w:tc>
      </w:tr>
      <w:tr>
        <w:tc>
          <w:tcPr/>
          <w:p>
            <w:pPr>
              <w:pStyle w:val="Compact"/>
              <w:jc w:val="left"/>
            </w:pPr>
            <w:r>
              <w:t xml:space="preserve">Fan-Out</w:t>
            </w:r>
          </w:p>
        </w:tc>
        <w:tc>
          <w:tcPr/>
          <w:p>
            <w:pPr>
              <w:pStyle w:val="Compact"/>
              <w:jc w:val="left"/>
            </w:pPr>
            <w:r>
              <w:t xml:space="preserve">Full parallel</w:t>
            </w:r>
          </w:p>
        </w:tc>
        <w:tc>
          <w:tcPr/>
          <w:p>
            <w:pPr>
              <w:pStyle w:val="Compact"/>
              <w:jc w:val="left"/>
            </w:pPr>
            <w:r>
              <w:t xml:space="preserve">None</w:t>
            </w:r>
          </w:p>
        </w:tc>
        <w:tc>
          <w:tcPr/>
          <w:p>
            <w:pPr>
              <w:pStyle w:val="Compact"/>
              <w:jc w:val="left"/>
            </w:pPr>
            <w:r>
              <w:t xml:space="preserve">Independent tasks</w:t>
            </w:r>
          </w:p>
        </w:tc>
      </w:tr>
      <w:tr>
        <w:tc>
          <w:tcPr/>
          <w:p>
            <w:pPr>
              <w:pStyle w:val="Compact"/>
              <w:jc w:val="left"/>
            </w:pPr>
            <w:r>
              <w:t xml:space="preserve">Sequential</w:t>
            </w:r>
          </w:p>
        </w:tc>
        <w:tc>
          <w:tcPr/>
          <w:p>
            <w:pPr>
              <w:pStyle w:val="Compact"/>
              <w:jc w:val="left"/>
            </w:pPr>
            <w:r>
              <w:t xml:space="preserve">None</w:t>
            </w:r>
          </w:p>
        </w:tc>
        <w:tc>
          <w:tcPr/>
          <w:p>
            <w:pPr>
              <w:pStyle w:val="Compact"/>
              <w:jc w:val="left"/>
            </w:pPr>
            <w:r>
              <w:t xml:space="preserve">Previous → Next</w:t>
            </w:r>
          </w:p>
        </w:tc>
        <w:tc>
          <w:tcPr/>
          <w:p>
            <w:pPr>
              <w:pStyle w:val="Compact"/>
              <w:jc w:val="left"/>
            </w:pPr>
            <w:r>
              <w:t xml:space="preserve">Dependent chains</w:t>
            </w:r>
          </w:p>
        </w:tc>
      </w:tr>
      <w:tr>
        <w:tc>
          <w:tcPr/>
          <w:p>
            <w:pPr>
              <w:pStyle w:val="Compact"/>
              <w:jc w:val="left"/>
            </w:pPr>
            <w:r>
              <w:t xml:space="preserve">Reflection</w:t>
            </w:r>
          </w:p>
        </w:tc>
        <w:tc>
          <w:tcPr/>
          <w:p>
            <w:pPr>
              <w:pStyle w:val="Compact"/>
              <w:jc w:val="left"/>
            </w:pPr>
            <w:r>
              <w:t xml:space="preserve">None</w:t>
            </w:r>
          </w:p>
        </w:tc>
        <w:tc>
          <w:tcPr/>
          <w:p>
            <w:pPr>
              <w:pStyle w:val="Compact"/>
              <w:jc w:val="left"/>
            </w:pPr>
            <w:r>
              <w:t xml:space="preserve">Feedback loop</w:t>
            </w:r>
          </w:p>
        </w:tc>
        <w:tc>
          <w:tcPr/>
          <w:p>
            <w:pPr>
              <w:pStyle w:val="Compact"/>
              <w:jc w:val="left"/>
            </w:pPr>
            <w:r>
              <w:t xml:space="preserve">Quality-critical output</w:t>
            </w:r>
          </w:p>
        </w:tc>
      </w:tr>
      <w:tr>
        <w:tc>
          <w:tcPr/>
          <w:p>
            <w:pPr>
              <w:pStyle w:val="Compact"/>
              <w:jc w:val="left"/>
            </w:pPr>
            <w:r>
              <w:t xml:space="preserve">Pipeline</w:t>
            </w:r>
          </w:p>
        </w:tc>
        <w:tc>
          <w:tcPr/>
          <w:p>
            <w:pPr>
              <w:pStyle w:val="Compact"/>
              <w:jc w:val="left"/>
            </w:pPr>
            <w:r>
              <w:t xml:space="preserve">Parallel within stages</w:t>
            </w:r>
          </w:p>
        </w:tc>
        <w:tc>
          <w:tcPr/>
          <w:p>
            <w:pPr>
              <w:pStyle w:val="Compact"/>
              <w:jc w:val="left"/>
            </w:pPr>
            <w:r>
              <w:t xml:space="preserve">Stage → Stage</w:t>
            </w:r>
          </w:p>
        </w:tc>
        <w:tc>
          <w:tcPr/>
          <w:p>
            <w:pPr>
              <w:pStyle w:val="Compact"/>
              <w:jc w:val="left"/>
            </w:pPr>
            <w:r>
              <w:t xml:space="preserve">Production workloads</w:t>
            </w:r>
          </w:p>
        </w:tc>
      </w:tr>
    </w:tbl>
    <w:bookmarkEnd w:id="42"/>
    <w:bookmarkStart w:id="43" w:name="skills-and-clis-as-agent-interfaces"/>
    <w:p>
      <w:pPr>
        <w:pStyle w:val="Heading3"/>
      </w:pPr>
      <w:r>
        <w:t xml:space="preserve">2.5.4 Skills and CLIs as Agent Interfaces</w:t>
      </w:r>
    </w:p>
    <w:p>
      <w:pPr>
        <w:pStyle w:val="FirstParagraph"/>
      </w:pPr>
      <w:r>
        <w:t xml:space="preserve">The</w:t>
      </w:r>
      <w:r>
        <w:t xml:space="preserve"> </w:t>
      </w:r>
      <w:r>
        <w:t xml:space="preserve">“</w:t>
      </w:r>
      <w:r>
        <w:t xml:space="preserve">Build for Agents</w:t>
      </w:r>
      <w:r>
        <w:t xml:space="preserve">”</w:t>
      </w:r>
      <w:r>
        <w:t xml:space="preserve"> </w:t>
      </w:r>
      <w:r>
        <w:t xml:space="preserve">principle establishes that every DWS product must be accessible through three complementary interfaces beyond the GUI: a CLI, an MCP server, and Claude Code Skills.</w:t>
      </w:r>
    </w:p>
    <w:p>
      <w:pPr>
        <w:pStyle w:val="BodyText"/>
      </w:pPr>
      <w:r>
        <w:rPr>
          <w:bCs/>
          <w:b/>
        </w:rPr>
        <w:t xml:space="preserve">CLI (Command-Line Interface)</w:t>
      </w:r>
      <w:r>
        <w:t xml:space="preserve"> </w:t>
      </w:r>
      <w:r>
        <w:t xml:space="preserve">The CLI (</w:t>
      </w:r>
      <w:r>
        <w:rPr>
          <w:rStyle w:val="VerbatimChar"/>
        </w:rPr>
        <w:t xml:space="preserve">npx tsx cli/src/cli.ts &lt;command&gt;</w:t>
      </w:r>
      <w:r>
        <w:t xml:space="preserve">) provides structured JSON output for every agent operation. This follows the industry trend where AI agents consume tools through command-line interfaces rather than graphical interfaces. Key commands:</w:t>
      </w:r>
    </w:p>
    <w:p>
      <w:pPr>
        <w:numPr>
          <w:ilvl w:val="0"/>
          <w:numId w:val="1019"/>
        </w:numPr>
        <w:pStyle w:val="Compact"/>
      </w:pPr>
      <w:r>
        <w:rPr>
          <w:rStyle w:val="VerbatimChar"/>
        </w:rPr>
        <w:t xml:space="preserve">dws agents</w:t>
      </w:r>
      <w:r>
        <w:t xml:space="preserve"> </w:t>
      </w:r>
      <w:r>
        <w:t xml:space="preserve">— List all registered agents</w:t>
      </w:r>
    </w:p>
    <w:p>
      <w:pPr>
        <w:numPr>
          <w:ilvl w:val="0"/>
          <w:numId w:val="1019"/>
        </w:numPr>
        <w:pStyle w:val="Compact"/>
      </w:pPr>
      <w:r>
        <w:rPr>
          <w:rStyle w:val="VerbatimChar"/>
        </w:rPr>
        <w:t xml:space="preserve">dws run &lt;agent&gt; --input '{...}'</w:t>
      </w:r>
      <w:r>
        <w:t xml:space="preserve"> </w:t>
      </w:r>
      <w:r>
        <w:t xml:space="preserve">— Execute a named agent with structured input</w:t>
      </w:r>
    </w:p>
    <w:p>
      <w:pPr>
        <w:numPr>
          <w:ilvl w:val="0"/>
          <w:numId w:val="1019"/>
        </w:numPr>
        <w:pStyle w:val="Compact"/>
      </w:pPr>
      <w:r>
        <w:rPr>
          <w:rStyle w:val="VerbatimChar"/>
        </w:rPr>
        <w:t xml:space="preserve">dws workflow &lt;name&gt;</w:t>
      </w:r>
      <w:r>
        <w:t xml:space="preserve"> </w:t>
      </w:r>
      <w:r>
        <w:t xml:space="preserve">— Trigger a multi-agent workflow</w:t>
      </w:r>
    </w:p>
    <w:p>
      <w:pPr>
        <w:pStyle w:val="FirstParagraph"/>
      </w:pPr>
      <w:r>
        <w:t xml:space="preserve">The CLI-first approach ensures that every feature is automatable, testable, and composable. A product that exists only as GUI is considered incomplete.</w:t>
      </w:r>
    </w:p>
    <w:p>
      <w:pPr>
        <w:pStyle w:val="BodyText"/>
      </w:pPr>
      <w:r>
        <w:rPr>
          <w:bCs/>
          <w:b/>
        </w:rPr>
        <w:t xml:space="preserve">MCP Server</w:t>
      </w:r>
      <w:r>
        <w:t xml:space="preserve"> </w:t>
      </w:r>
      <w:r>
        <w:t xml:space="preserve">The MCP endpoint (</w:t>
      </w:r>
      <w:r>
        <w:rPr>
          <w:rStyle w:val="VerbatimChar"/>
        </w:rPr>
        <w:t xml:space="preserve">/mcp</w:t>
      </w:r>
      <w:r>
        <w:t xml:space="preserve">, JSON-RPC 2.0) makes all agents auto-discoverable via</w:t>
      </w:r>
      <w:r>
        <w:t xml:space="preserve"> </w:t>
      </w:r>
      <w:r>
        <w:rPr>
          <w:rStyle w:val="VerbatimChar"/>
        </w:rPr>
        <w:t xml:space="preserve">tools/list</w:t>
      </w:r>
      <w:r>
        <w:t xml:space="preserve">. External AI systems (Claude Code, Cursor, VS Code Copilot) can connect to the MCP server and invoke any agent as a tool. This implements the Model Context Protocol specification for standardized tool integration.</w:t>
      </w:r>
    </w:p>
    <w:p>
      <w:pPr>
        <w:pStyle w:val="BodyText"/>
      </w:pPr>
      <w:r>
        <w:rPr>
          <w:bCs/>
          <w:b/>
        </w:rPr>
        <w:t xml:space="preserve">Claude Code Skills</w:t>
      </w:r>
      <w:r>
        <w:t xml:space="preserve"> </w:t>
      </w:r>
      <w:r>
        <w:t xml:space="preserve">Skills (</w:t>
      </w:r>
      <w:r>
        <w:rPr>
          <w:rStyle w:val="VerbatimChar"/>
        </w:rPr>
        <w:t xml:space="preserve">.claude/commands/*.md</w:t>
      </w:r>
      <w:r>
        <w:t xml:space="preserve">) are reusable workflow components that encapsulate agent invocations as slash commands. Six production skills are deployed: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Skill</w:t>
            </w:r>
          </w:p>
        </w:tc>
        <w:tc>
          <w:tcPr/>
          <w:p>
            <w:pPr>
              <w:pStyle w:val="Compact"/>
              <w:jc w:val="left"/>
            </w:pPr>
            <w:r>
              <w:t xml:space="preserve">Purpose</w:t>
            </w:r>
          </w:p>
        </w:tc>
      </w:tr>
      <w:tr>
        <w:tc>
          <w:tcPr/>
          <w:p>
            <w:pPr>
              <w:pStyle w:val="Compact"/>
              <w:jc w:val="left"/>
            </w:pPr>
            <w:r>
              <w:rPr>
                <w:rStyle w:val="VerbatimChar"/>
              </w:rPr>
              <w:t xml:space="preserve">/compliance-check</w:t>
            </w:r>
          </w:p>
        </w:tc>
        <w:tc>
          <w:tcPr/>
          <w:p>
            <w:pPr>
              <w:pStyle w:val="Compact"/>
              <w:jc w:val="left"/>
            </w:pPr>
            <w:r>
              <w:t xml:space="preserve">EU regulatory gap analysis (ETS, CBAM, CSRD)</w:t>
            </w:r>
          </w:p>
        </w:tc>
      </w:tr>
      <w:tr>
        <w:tc>
          <w:tcPr/>
          <w:p>
            <w:pPr>
              <w:pStyle w:val="Compact"/>
              <w:jc w:val="left"/>
            </w:pPr>
            <w:r>
              <w:rPr>
                <w:rStyle w:val="VerbatimChar"/>
              </w:rPr>
              <w:t xml:space="preserve">/agent-run</w:t>
            </w:r>
          </w:p>
        </w:tc>
        <w:tc>
          <w:tcPr/>
          <w:p>
            <w:pPr>
              <w:pStyle w:val="Compact"/>
              <w:jc w:val="left"/>
            </w:pPr>
            <w:r>
              <w:t xml:space="preserve">Execute any named agent with structured input</w:t>
            </w:r>
          </w:p>
        </w:tc>
      </w:tr>
      <w:tr>
        <w:tc>
          <w:tcPr/>
          <w:p>
            <w:pPr>
              <w:pStyle w:val="Compact"/>
              <w:jc w:val="left"/>
            </w:pPr>
            <w:r>
              <w:rPr>
                <w:rStyle w:val="VerbatimChar"/>
              </w:rPr>
              <w:t xml:space="preserve">/workflow</w:t>
            </w:r>
          </w:p>
        </w:tc>
        <w:tc>
          <w:tcPr/>
          <w:p>
            <w:pPr>
              <w:pStyle w:val="Compact"/>
              <w:jc w:val="left"/>
            </w:pPr>
            <w:r>
              <w:t xml:space="preserve">Trigger multi-agent workflows</w:t>
            </w:r>
          </w:p>
        </w:tc>
      </w:tr>
      <w:tr>
        <w:tc>
          <w:tcPr/>
          <w:p>
            <w:pPr>
              <w:pStyle w:val="Compact"/>
              <w:jc w:val="left"/>
            </w:pPr>
            <w:r>
              <w:rPr>
                <w:rStyle w:val="VerbatimChar"/>
              </w:rPr>
              <w:t xml:space="preserve">/discover-agents</w:t>
            </w:r>
          </w:p>
        </w:tc>
        <w:tc>
          <w:tcPr/>
          <w:p>
            <w:pPr>
              <w:pStyle w:val="Compact"/>
              <w:jc w:val="left"/>
            </w:pPr>
            <w:r>
              <w:t xml:space="preserve">Find agents by capability keyword</w:t>
            </w:r>
          </w:p>
        </w:tc>
      </w:tr>
      <w:tr>
        <w:tc>
          <w:tcPr/>
          <w:p>
            <w:pPr>
              <w:pStyle w:val="Compact"/>
              <w:jc w:val="left"/>
            </w:pPr>
            <w:r>
              <w:rPr>
                <w:rStyle w:val="VerbatimChar"/>
              </w:rPr>
              <w:t xml:space="preserve">/site-safety</w:t>
            </w:r>
          </w:p>
        </w:tc>
        <w:tc>
          <w:tcPr/>
          <w:p>
            <w:pPr>
              <w:pStyle w:val="Compact"/>
              <w:jc w:val="left"/>
            </w:pPr>
            <w:r>
              <w:t xml:space="preserve">Construction site safety assessment</w:t>
            </w:r>
          </w:p>
        </w:tc>
      </w:tr>
      <w:tr>
        <w:tc>
          <w:tcPr/>
          <w:p>
            <w:pPr>
              <w:pStyle w:val="Compact"/>
              <w:jc w:val="left"/>
            </w:pPr>
            <w:r>
              <w:rPr>
                <w:rStyle w:val="VerbatimChar"/>
              </w:rPr>
              <w:t xml:space="preserve">/carbon-analysis</w:t>
            </w:r>
          </w:p>
        </w:tc>
        <w:tc>
          <w:tcPr/>
          <w:p>
            <w:pPr>
              <w:pStyle w:val="Compact"/>
              <w:jc w:val="left"/>
            </w:pPr>
            <w:r>
              <w:t xml:space="preserve">Embodied carbon footprint calculation</w:t>
            </w:r>
          </w:p>
        </w:tc>
      </w:tr>
    </w:tbl>
    <w:p>
      <w:pPr>
        <w:pStyle w:val="BodyText"/>
      </w:pPr>
      <w:r>
        <w:t xml:space="preserve">Each skill is a callable, testable component that combines prompt engineering with tool orchestration. The skill pattern ensures that agent capabilities are accessible without requiring users to understand the underlying MCP protocol or CLI syntax.</w:t>
      </w:r>
    </w:p>
    <w:p>
      <w:pPr>
        <w:pStyle w:val="BodyText"/>
      </w:pPr>
      <w:r>
        <w:rPr>
          <w:bCs/>
          <w:b/>
        </w:rPr>
        <w:t xml:space="preserve">Three-Interface Rule:</w:t>
      </w:r>
      <w:r>
        <w:t xml:space="preserve"> </w:t>
      </w:r>
      <w:r>
        <w:t xml:space="preserve">Every new agent must ship with all three interfaces (CLI command, MCP tool, Claude Code Skill). This guarantees that agents are usable by humans (CLI), other AI systems (MCP), and within development workflows (Skills).</w:t>
      </w:r>
    </w:p>
    <w:bookmarkEnd w:id="43"/>
    <w:bookmarkEnd w:id="44"/>
    <w:bookmarkStart w:id="45" w:name="X1ceae78b04d973514b920a9238ba17cf3664007"/>
    <w:p>
      <w:pPr>
        <w:pStyle w:val="Heading2"/>
      </w:pPr>
      <w:r>
        <w:t xml:space="preserve">2.6 Conceptual Model: Firehorse Solution Factory</w:t>
      </w:r>
    </w:p>
    <w:p>
      <w:pPr>
        <w:pStyle w:val="FirstParagraph"/>
      </w:pPr>
      <w:r>
        <w:t xml:space="preserve">The Firehorse Solution Factory model synthesizes the aforementioned theoretical frameworks into a unified conceptual model for building climate-intelligent industrial platforms:</w:t>
      </w:r>
    </w:p>
    <w:p>
      <w:pPr>
        <w:pStyle w:val="SourceCode"/>
      </w:pPr>
      <w:r>
        <w:rPr>
          <w:rStyle w:val="VerbatimChar"/>
        </w:rPr>
        <w:t xml:space="preserve">+-------------------------------------------------------------------+</w:t>
      </w:r>
      <w:r>
        <w:br/>
      </w:r>
      <w:r>
        <w:rPr>
          <w:rStyle w:val="VerbatimChar"/>
        </w:rPr>
        <w:t xml:space="preserve">|                    FIREHORSE SOLUTION FACTORY                       |</w:t>
      </w:r>
      <w:r>
        <w:br/>
      </w:r>
      <w:r>
        <w:rPr>
          <w:rStyle w:val="VerbatimChar"/>
        </w:rPr>
        <w:t xml:space="preserve">|           Conceptual Model for Industrial AI Platforms              |</w:t>
      </w:r>
      <w:r>
        <w:br/>
      </w:r>
      <w:r>
        <w:rPr>
          <w:rStyle w:val="VerbatimChar"/>
        </w:rPr>
        <w:t xml:space="preserve">+-------------------------------------------------------------------+</w:t>
      </w:r>
      <w:r>
        <w:br/>
      </w:r>
      <w:r>
        <w:rPr>
          <w:rStyle w:val="VerbatimChar"/>
        </w:rPr>
        <w:t xml:space="preserve">|                                                                     |</w:t>
      </w:r>
      <w:r>
        <w:br/>
      </w:r>
      <w:r>
        <w:rPr>
          <w:rStyle w:val="VerbatimChar"/>
        </w:rPr>
        <w:t xml:space="preserve">|  STRATEGIC LAYER (Business Model)                                   |</w:t>
      </w:r>
      <w:r>
        <w:br/>
      </w:r>
      <w:r>
        <w:rPr>
          <w:rStyle w:val="VerbatimChar"/>
        </w:rPr>
        <w:t xml:space="preserve">|  +- Lifetime World Model (55B) -&gt; Cross-vertical intelligence      |</w:t>
      </w:r>
      <w:r>
        <w:br/>
      </w:r>
      <w:r>
        <w:rPr>
          <w:rStyle w:val="VerbatimChar"/>
        </w:rPr>
        <w:t xml:space="preserve">|  +- 8 vertical templates -&gt; Reusable agent configurations          |</w:t>
      </w:r>
      <w:r>
        <w:br/>
      </w:r>
      <w:r>
        <w:rPr>
          <w:rStyle w:val="VerbatimChar"/>
        </w:rPr>
        <w:t xml:space="preserve">|  +- AI-assisted development (Cursor Pro + Claude Code Max, 15-week MVP) |</w:t>
      </w:r>
      <w:r>
        <w:br/>
      </w:r>
      <w:r>
        <w:rPr>
          <w:rStyle w:val="VerbatimChar"/>
        </w:rPr>
        <w:t xml:space="preserve">|  +- EU compliance moat -&gt; Fit for 55, NIS2, GDPR                  |</w:t>
      </w:r>
      <w:r>
        <w:br/>
      </w:r>
      <w:r>
        <w:rPr>
          <w:rStyle w:val="VerbatimChar"/>
        </w:rPr>
        <w:t xml:space="preserve">|                                                                     |</w:t>
      </w:r>
      <w:r>
        <w:br/>
      </w:r>
      <w:r>
        <w:rPr>
          <w:rStyle w:val="VerbatimChar"/>
        </w:rPr>
        <w:t xml:space="preserve">|  OPERATIONAL LAYER (AgentFoundry + Lifetime Scope Signals)          |</w:t>
      </w:r>
      <w:r>
        <w:br/>
      </w:r>
      <w:r>
        <w:rPr>
          <w:rStyle w:val="VerbatimChar"/>
        </w:rPr>
        <w:t xml:space="preserve">|  +- Agent configurations -&gt; YAML templates per vertical            |</w:t>
      </w:r>
      <w:r>
        <w:br/>
      </w:r>
      <w:r>
        <w:rPr>
          <w:rStyle w:val="VerbatimChar"/>
        </w:rPr>
        <w:t xml:space="preserve">|  +- Lifetime Scope Signals -&gt; Coordination protocol                |</w:t>
      </w:r>
      <w:r>
        <w:br/>
      </w:r>
      <w:r>
        <w:rPr>
          <w:rStyle w:val="VerbatimChar"/>
        </w:rPr>
        <w:t xml:space="preserve">|  +- MCP Hub -&gt; Multi-agent orchestration                           |</w:t>
      </w:r>
      <w:r>
        <w:br/>
      </w:r>
      <w:r>
        <w:rPr>
          <w:rStyle w:val="VerbatimChar"/>
        </w:rPr>
        <w:t xml:space="preserve">|  +- Phased deployment -&gt; Silent -&gt; Advisor -&gt; Autonomous           |</w:t>
      </w:r>
      <w:r>
        <w:br/>
      </w:r>
      <w:r>
        <w:rPr>
          <w:rStyle w:val="VerbatimChar"/>
        </w:rPr>
        <w:t xml:space="preserve">|                                                                     |</w:t>
      </w:r>
      <w:r>
        <w:br/>
      </w:r>
      <w:r>
        <w:rPr>
          <w:rStyle w:val="VerbatimChar"/>
        </w:rPr>
        <w:t xml:space="preserve">|  EXECUTION LAYER (Brain-Memory-Body-Hands)                          |</w:t>
      </w:r>
      <w:r>
        <w:br/>
      </w:r>
      <w:r>
        <w:rPr>
          <w:rStyle w:val="VerbatimChar"/>
        </w:rPr>
        <w:t xml:space="preserve">|  +- Brain: DWS IQ 6 Platform (Groq + Claude + Gemini)              |</w:t>
      </w:r>
      <w:r>
        <w:br/>
      </w:r>
      <w:r>
        <w:rPr>
          <w:rStyle w:val="VerbatimChar"/>
        </w:rPr>
        <w:t xml:space="preserve">|  +- Memory: Lifetime World Model (climate knowledge base)          |</w:t>
      </w:r>
      <w:r>
        <w:br/>
      </w:r>
      <w:r>
        <w:rPr>
          <w:rStyle w:val="VerbatimChar"/>
        </w:rPr>
        <w:t xml:space="preserve">|  +- Body: 8 industry applications (vertical-specific agents)       |</w:t>
      </w:r>
      <w:r>
        <w:br/>
      </w:r>
      <w:r>
        <w:rPr>
          <w:rStyle w:val="VerbatimChar"/>
        </w:rPr>
        <w:t xml:space="preserve">|  +- Hands: Edge AI (Jetson), Drones, Robots, IoT sensors           |</w:t>
      </w:r>
      <w:r>
        <w:br/>
      </w:r>
      <w:r>
        <w:rPr>
          <w:rStyle w:val="VerbatimChar"/>
        </w:rPr>
        <w:t xml:space="preserve">|                                                                     |</w:t>
      </w:r>
      <w:r>
        <w:br/>
      </w:r>
      <w:r>
        <w:rPr>
          <w:rStyle w:val="VerbatimChar"/>
        </w:rPr>
        <w:t xml:space="preserve">+-------------------------------------------------------------------+</w:t>
      </w:r>
    </w:p>
    <w:p>
      <w:pPr>
        <w:pStyle w:val="FirstParagraph"/>
      </w:pPr>
      <w:r>
        <w:t xml:space="preserve">This conceptual model provides a replicable framework for other industrial AI startups seeking to achieve product-market fit while keeping operational costs low through the strategic use of AI-assisted development tools, edge computing, and multi-agent coordination.</w:t>
      </w:r>
    </w:p>
    <w:p>
      <w:r>
        <w:pict>
          <v:rect style="width:0;height:1.5pt" o:hralign="center" o:hrstd="t" o:hr="t"/>
        </w:pict>
      </w:r>
    </w:p>
    <w:bookmarkEnd w:id="45"/>
    <w:bookmarkEnd w:id="46"/>
    <w:bookmarkStart w:id="55" w:name="current-state-analysis"/>
    <w:p>
      <w:pPr>
        <w:pStyle w:val="Heading1"/>
      </w:pPr>
      <w:r>
        <w:t xml:space="preserve">3. Current State Analysis</w:t>
      </w:r>
    </w:p>
    <w:bookmarkStart w:id="51" w:name="european-industrial-ai-landscape"/>
    <w:p>
      <w:pPr>
        <w:pStyle w:val="Heading2"/>
      </w:pPr>
      <w:r>
        <w:t xml:space="preserve">3.1 European Industrial AI Landscape</w:t>
      </w:r>
    </w:p>
    <w:p>
      <w:pPr>
        <w:pStyle w:val="FirstParagraph"/>
      </w:pPr>
      <w:r>
        <w:t xml:space="preserve">European industry faces unprecedented regulatory pressure through the EU’s Fit for 55 package. This creates forced demand for climate compliance solutions across 20 industries.</w:t>
      </w:r>
    </w:p>
    <w:bookmarkStart w:id="47" w:name="the-16-industries-affected-by-fit-for-55"/>
    <w:p>
      <w:pPr>
        <w:pStyle w:val="Heading3"/>
      </w:pPr>
      <w:r>
        <w:t xml:space="preserve">3.1.1 The 16 Industries Affected by Fit for 55</w:t>
      </w:r>
    </w:p>
    <w:p>
      <w:pPr>
        <w:pStyle w:val="FirstParagraph"/>
      </w:pPr>
      <w:r>
        <w:t xml:space="preserve">The EU’s Fit for 55 package mandates 55% net emissions reduction by 2030. This creates an unprecedented compliance burden on 20 industries — requiring real-time carbon tracking, automated reporting, supply chain transparency, and continuous regulatory compliance.</w:t>
      </w:r>
    </w:p>
    <w:p>
      <w:pPr>
        <w:pStyle w:val="BodyText"/>
      </w:pPr>
      <w:r>
        <w:rPr>
          <w:bCs/>
          <w:b/>
        </w:rPr>
        <w:t xml:space="preserve">Tier 1: Critical Emission Industries (ETS + CBAM Direct Impact)</w:t>
      </w:r>
    </w:p>
    <w:p>
      <w:pPr>
        <w:pStyle w:val="BodyText"/>
      </w:pPr>
      <w:r>
        <w:t xml:space="preserve">These 8 industries face the greatest regulatory pressure: direct ETS coverage, CBAM border carbon levy, and mandatory carbon pricing.</w:t>
      </w:r>
    </w:p>
    <w:tbl>
      <w:tblPr>
        <w:tblStyle w:val="Table"/>
        <w:tblW w:type="pct" w:w="5000"/>
        <w:tblLook w:firstRow="1" w:lastRow="0" w:firstColumn="0" w:lastColumn="0" w:noHBand="0" w:noVBand="0" w:val="0020"/>
        <w:jc w:val="start"/>
      </w:tblPr>
      <w:tblGrid>
        <w:gridCol w:w="225"/>
        <w:gridCol w:w="1485"/>
        <w:gridCol w:w="810"/>
        <w:gridCol w:w="2160"/>
        <w:gridCol w:w="3240"/>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1</w:t>
            </w:r>
          </w:p>
        </w:tc>
        <w:tc>
          <w:tcPr/>
          <w:p>
            <w:pPr>
              <w:pStyle w:val="Compact"/>
              <w:jc w:val="left"/>
            </w:pPr>
            <w:r>
              <w:rPr>
                <w:bCs/>
                <w:b/>
              </w:rPr>
              <w:t xml:space="preserve">Electricity &amp; Heat Generation</w:t>
            </w:r>
          </w:p>
        </w:tc>
        <w:tc>
          <w:tcPr/>
          <w:p>
            <w:pPr>
              <w:pStyle w:val="Compact"/>
              <w:jc w:val="left"/>
            </w:pPr>
            <w:r>
              <w:t xml:space="preserve">25-30%</w:t>
            </w:r>
          </w:p>
        </w:tc>
        <w:tc>
          <w:tcPr/>
          <w:p>
            <w:pPr>
              <w:pStyle w:val="Compact"/>
              <w:jc w:val="left"/>
            </w:pPr>
            <w:r>
              <w:t xml:space="preserve">ETS (cap tightening), Renewable Energy Directive</w:t>
            </w:r>
          </w:p>
        </w:tc>
        <w:tc>
          <w:tcPr/>
          <w:p>
            <w:pPr>
              <w:pStyle w:val="Compact"/>
              <w:jc w:val="left"/>
            </w:pPr>
            <w:r>
              <w:t xml:space="preserve">Real-time emissions monitoring, renewables certification tracking</w:t>
            </w:r>
          </w:p>
        </w:tc>
      </w:tr>
      <w:tr>
        <w:tc>
          <w:tcPr/>
          <w:p>
            <w:pPr>
              <w:pStyle w:val="Compact"/>
              <w:jc w:val="left"/>
            </w:pPr>
            <w:r>
              <w:rPr>
                <w:bCs/>
                <w:b/>
              </w:rPr>
              <w:t xml:space="preserve">2</w:t>
            </w:r>
          </w:p>
        </w:tc>
        <w:tc>
          <w:tcPr/>
          <w:p>
            <w:pPr>
              <w:pStyle w:val="Compact"/>
              <w:jc w:val="left"/>
            </w:pPr>
            <w:r>
              <w:rPr>
                <w:bCs/>
                <w:b/>
              </w:rPr>
              <w:t xml:space="preserve">Iron &amp; Steel</w:t>
            </w:r>
          </w:p>
        </w:tc>
        <w:tc>
          <w:tcPr/>
          <w:p>
            <w:pPr>
              <w:pStyle w:val="Compact"/>
              <w:jc w:val="left"/>
            </w:pPr>
            <w:r>
              <w:t xml:space="preserve">High</w:t>
            </w:r>
          </w:p>
        </w:tc>
        <w:tc>
          <w:tcPr/>
          <w:p>
            <w:pPr>
              <w:pStyle w:val="Compact"/>
              <w:jc w:val="left"/>
            </w:pPr>
            <w:r>
              <w:t xml:space="preserve">ETS, CBAM (2026), ESR</w:t>
            </w:r>
          </w:p>
        </w:tc>
        <w:tc>
          <w:tcPr/>
          <w:p>
            <w:pPr>
              <w:pStyle w:val="Compact"/>
              <w:jc w:val="left"/>
            </w:pPr>
            <w:r>
              <w:t xml:space="preserve">Supply chain carbon tracking, CBAM import reporting</w:t>
            </w:r>
          </w:p>
        </w:tc>
      </w:tr>
      <w:tr>
        <w:tc>
          <w:tcPr/>
          <w:p>
            <w:pPr>
              <w:pStyle w:val="Compact"/>
              <w:jc w:val="left"/>
            </w:pPr>
            <w:r>
              <w:rPr>
                <w:bCs/>
                <w:b/>
              </w:rPr>
              <w:t xml:space="preserve">3</w:t>
            </w:r>
          </w:p>
        </w:tc>
        <w:tc>
          <w:tcPr/>
          <w:p>
            <w:pPr>
              <w:pStyle w:val="Compact"/>
              <w:jc w:val="left"/>
            </w:pPr>
            <w:r>
              <w:rPr>
                <w:bCs/>
                <w:b/>
              </w:rPr>
              <w:t xml:space="preserve">Cement &amp; Lime</w:t>
            </w:r>
          </w:p>
        </w:tc>
        <w:tc>
          <w:tcPr/>
          <w:p>
            <w:pPr>
              <w:pStyle w:val="Compact"/>
              <w:jc w:val="left"/>
            </w:pPr>
            <w:r>
              <w:t xml:space="preserve">Very high</w:t>
            </w:r>
          </w:p>
        </w:tc>
        <w:tc>
          <w:tcPr/>
          <w:p>
            <w:pPr>
              <w:pStyle w:val="Compact"/>
              <w:jc w:val="left"/>
            </w:pPr>
            <w:r>
              <w:t xml:space="preserve">ETS, CBAM, EPBD (embodied carbon)</w:t>
            </w:r>
          </w:p>
        </w:tc>
        <w:tc>
          <w:tcPr/>
          <w:p>
            <w:pPr>
              <w:pStyle w:val="Compact"/>
              <w:jc w:val="left"/>
            </w:pPr>
            <w:r>
              <w:t xml:space="preserve">EN 15978 calculations, material carbon passports</w:t>
            </w:r>
          </w:p>
        </w:tc>
      </w:tr>
      <w:tr>
        <w:tc>
          <w:tcPr/>
          <w:p>
            <w:pPr>
              <w:pStyle w:val="Compact"/>
              <w:jc w:val="left"/>
            </w:pPr>
            <w:r>
              <w:rPr>
                <w:bCs/>
                <w:b/>
              </w:rPr>
              <w:t xml:space="preserve">4</w:t>
            </w:r>
          </w:p>
        </w:tc>
        <w:tc>
          <w:tcPr/>
          <w:p>
            <w:pPr>
              <w:pStyle w:val="Compact"/>
              <w:jc w:val="left"/>
            </w:pPr>
            <w:r>
              <w:rPr>
                <w:bCs/>
                <w:b/>
              </w:rPr>
              <w:t xml:space="preserve">Chemicals &amp; Petrochemicals</w:t>
            </w:r>
          </w:p>
        </w:tc>
        <w:tc>
          <w:tcPr/>
          <w:p>
            <w:pPr>
              <w:pStyle w:val="Compact"/>
              <w:jc w:val="left"/>
            </w:pPr>
            <w:r>
              <w:t xml:space="preserve">High</w:t>
            </w:r>
          </w:p>
        </w:tc>
        <w:tc>
          <w:tcPr/>
          <w:p>
            <w:pPr>
              <w:pStyle w:val="Compact"/>
              <w:jc w:val="left"/>
            </w:pPr>
            <w:r>
              <w:t xml:space="preserve">ETS, CBAM (fertilizers), H2 mandates</w:t>
            </w:r>
          </w:p>
        </w:tc>
        <w:tc>
          <w:tcPr/>
          <w:p>
            <w:pPr>
              <w:pStyle w:val="Compact"/>
              <w:jc w:val="left"/>
            </w:pPr>
            <w:r>
              <w:t xml:space="preserve">Process emissions monitoring, hydrogen transition roadmaps</w:t>
            </w:r>
          </w:p>
        </w:tc>
      </w:tr>
      <w:tr>
        <w:tc>
          <w:tcPr/>
          <w:p>
            <w:pPr>
              <w:pStyle w:val="Compact"/>
              <w:jc w:val="left"/>
            </w:pPr>
            <w:r>
              <w:rPr>
                <w:bCs/>
                <w:b/>
              </w:rPr>
              <w:t xml:space="preserve">5</w:t>
            </w:r>
          </w:p>
        </w:tc>
        <w:tc>
          <w:tcPr/>
          <w:p>
            <w:pPr>
              <w:pStyle w:val="Compact"/>
              <w:jc w:val="left"/>
            </w:pPr>
            <w:r>
              <w:rPr>
                <w:bCs/>
                <w:b/>
              </w:rPr>
              <w:t xml:space="preserve">Aviation</w:t>
            </w:r>
          </w:p>
        </w:tc>
        <w:tc>
          <w:tcPr/>
          <w:p>
            <w:pPr>
              <w:pStyle w:val="Compact"/>
              <w:jc w:val="left"/>
            </w:pPr>
            <w:r>
              <w:t xml:space="preserve">2-3% (growing)</w:t>
            </w:r>
          </w:p>
        </w:tc>
        <w:tc>
          <w:tcPr/>
          <w:p>
            <w:pPr>
              <w:pStyle w:val="Compact"/>
              <w:jc w:val="left"/>
            </w:pPr>
            <w:r>
              <w:t xml:space="preserve">ETS, ReFuelEU (SAF mandates)</w:t>
            </w:r>
          </w:p>
        </w:tc>
        <w:tc>
          <w:tcPr/>
          <w:p>
            <w:pPr>
              <w:pStyle w:val="Compact"/>
              <w:jc w:val="left"/>
            </w:pPr>
            <w:r>
              <w:t xml:space="preserve">SAF compliance, offset verification</w:t>
            </w:r>
          </w:p>
        </w:tc>
      </w:tr>
      <w:tr>
        <w:tc>
          <w:tcPr/>
          <w:p>
            <w:pPr>
              <w:pStyle w:val="Compact"/>
              <w:jc w:val="left"/>
            </w:pPr>
            <w:r>
              <w:rPr>
                <w:bCs/>
                <w:b/>
              </w:rPr>
              <w:t xml:space="preserve">6</w:t>
            </w:r>
          </w:p>
        </w:tc>
        <w:tc>
          <w:tcPr/>
          <w:p>
            <w:pPr>
              <w:pStyle w:val="Compact"/>
              <w:jc w:val="left"/>
            </w:pPr>
            <w:r>
              <w:rPr>
                <w:bCs/>
                <w:b/>
              </w:rPr>
              <w:t xml:space="preserve">Maritime Transport</w:t>
            </w:r>
          </w:p>
        </w:tc>
        <w:tc>
          <w:tcPr/>
          <w:p>
            <w:pPr>
              <w:pStyle w:val="Compact"/>
              <w:jc w:val="left"/>
            </w:pPr>
            <w:r>
              <w:t xml:space="preserve">Significant</w:t>
            </w:r>
          </w:p>
        </w:tc>
        <w:tc>
          <w:tcPr/>
          <w:p>
            <w:pPr>
              <w:pStyle w:val="Compact"/>
              <w:jc w:val="left"/>
            </w:pPr>
            <w:r>
              <w:t xml:space="preserve">ETS (2024), FuelEU Maritime</w:t>
            </w:r>
          </w:p>
        </w:tc>
        <w:tc>
          <w:tcPr/>
          <w:p>
            <w:pPr>
              <w:pStyle w:val="Compact"/>
              <w:jc w:val="left"/>
            </w:pPr>
            <w:r>
              <w:t xml:space="preserve">Voyage-level emissions, intensity data</w:t>
            </w:r>
          </w:p>
        </w:tc>
      </w:tr>
      <w:tr>
        <w:tc>
          <w:tcPr/>
          <w:p>
            <w:pPr>
              <w:pStyle w:val="Compact"/>
              <w:jc w:val="left"/>
            </w:pPr>
            <w:r>
              <w:rPr>
                <w:bCs/>
                <w:b/>
              </w:rPr>
              <w:t xml:space="preserve">7</w:t>
            </w:r>
          </w:p>
        </w:tc>
        <w:tc>
          <w:tcPr/>
          <w:p>
            <w:pPr>
              <w:pStyle w:val="Compact"/>
              <w:jc w:val="left"/>
            </w:pPr>
            <w:r>
              <w:rPr>
                <w:bCs/>
                <w:b/>
              </w:rPr>
              <w:t xml:space="preserve">Road Transport &amp; Logistics</w:t>
            </w:r>
          </w:p>
        </w:tc>
        <w:tc>
          <w:tcPr/>
          <w:p>
            <w:pPr>
              <w:pStyle w:val="Compact"/>
              <w:jc w:val="left"/>
            </w:pPr>
            <w:r>
              <w:t xml:space="preserve">High</w:t>
            </w:r>
          </w:p>
        </w:tc>
        <w:tc>
          <w:tcPr/>
          <w:p>
            <w:pPr>
              <w:pStyle w:val="Compact"/>
              <w:jc w:val="left"/>
            </w:pPr>
            <w:r>
              <w:t xml:space="preserve">ETS2 (2027), CO2 standards</w:t>
            </w:r>
          </w:p>
        </w:tc>
        <w:tc>
          <w:tcPr/>
          <w:p>
            <w:pPr>
              <w:pStyle w:val="Compact"/>
              <w:jc w:val="left"/>
            </w:pPr>
            <w:r>
              <w:t xml:space="preserve">Fleet emissions management, zero-emission transition planning</w:t>
            </w:r>
          </w:p>
        </w:tc>
      </w:tr>
      <w:tr>
        <w:tc>
          <w:tcPr/>
          <w:p>
            <w:pPr>
              <w:pStyle w:val="Compact"/>
              <w:jc w:val="left"/>
            </w:pPr>
            <w:r>
              <w:rPr>
                <w:bCs/>
                <w:b/>
              </w:rPr>
              <w:t xml:space="preserve">8</w:t>
            </w:r>
          </w:p>
        </w:tc>
        <w:tc>
          <w:tcPr/>
          <w:p>
            <w:pPr>
              <w:pStyle w:val="Compact"/>
              <w:jc w:val="left"/>
            </w:pPr>
            <w:r>
              <w:rPr>
                <w:bCs/>
                <w:b/>
              </w:rPr>
              <w:t xml:space="preserve">Construction &amp; Real Estate</w:t>
            </w:r>
          </w:p>
        </w:tc>
        <w:tc>
          <w:tcPr/>
          <w:p>
            <w:pPr>
              <w:pStyle w:val="Compact"/>
              <w:jc w:val="left"/>
            </w:pPr>
            <w:r>
              <w:t xml:space="preserve">36-40% lifecycle</w:t>
            </w:r>
          </w:p>
        </w:tc>
        <w:tc>
          <w:tcPr/>
          <w:p>
            <w:pPr>
              <w:pStyle w:val="Compact"/>
              <w:jc w:val="left"/>
            </w:pPr>
            <w:r>
              <w:t xml:space="preserve">ETS2, EPBD, CSRD</w:t>
            </w:r>
          </w:p>
        </w:tc>
        <w:tc>
          <w:tcPr/>
          <w:p>
            <w:pPr>
              <w:pStyle w:val="Compact"/>
              <w:jc w:val="left"/>
            </w:pPr>
            <w:r>
              <w:rPr>
                <w:bCs/>
                <w:b/>
              </w:rPr>
              <w:t xml:space="preserve">Full lifecycle carbon automation</w:t>
            </w:r>
            <w:r>
              <w:t xml:space="preserve">, BIM integration, EN 15978/EN 15804</w:t>
            </w:r>
          </w:p>
        </w:tc>
      </w:tr>
    </w:tbl>
    <w:p>
      <w:pPr>
        <w:pStyle w:val="BodyText"/>
      </w:pPr>
      <w:r>
        <w:rPr>
          <w:bCs/>
          <w:b/>
        </w:rPr>
        <w:t xml:space="preserve">Tier 2: Important Emission Industries (ESR + Indirect ETS)</w:t>
      </w:r>
    </w:p>
    <w:p>
      <w:pPr>
        <w:pStyle w:val="BodyText"/>
      </w:pPr>
      <w:r>
        <w:t xml:space="preserve">These 8 industries face diffuse regulatory pressure through national ESR targets, energy costs, supply chain rules, and indirect CBAM impacts.</w:t>
      </w:r>
    </w:p>
    <w:tbl>
      <w:tblPr>
        <w:tblStyle w:val="Table"/>
        <w:tblW w:type="pct" w:w="5000"/>
        <w:tblLook w:firstRow="1" w:lastRow="0" w:firstColumn="0" w:lastColumn="0" w:noHBand="0" w:noVBand="0" w:val="0020"/>
        <w:jc w:val="start"/>
      </w:tblPr>
      <w:tblGrid>
        <w:gridCol w:w="289"/>
        <w:gridCol w:w="1545"/>
        <w:gridCol w:w="869"/>
        <w:gridCol w:w="2173"/>
        <w:gridCol w:w="3042"/>
      </w:tblGrid>
      <w:tr>
        <w:trPr>
          <w:tblHeader w:val="true"/>
        </w:trPr>
        <w:tc>
          <w:tcPr/>
          <w:p>
            <w:pPr>
              <w:pStyle w:val="Compact"/>
              <w:jc w:val="left"/>
            </w:pPr>
            <w:r>
              <w:t xml:space="preserve">#</w:t>
            </w:r>
          </w:p>
        </w:tc>
        <w:tc>
          <w:tcPr/>
          <w:p>
            <w:pPr>
              <w:pStyle w:val="Compact"/>
              <w:jc w:val="left"/>
            </w:pPr>
            <w:r>
              <w:t xml:space="preserve">Industry</w:t>
            </w:r>
          </w:p>
        </w:tc>
        <w:tc>
          <w:tcPr/>
          <w:p>
            <w:pPr>
              <w:pStyle w:val="Compact"/>
              <w:jc w:val="left"/>
            </w:pPr>
            <w:r>
              <w:t xml:space="preserve">EU Emissions Share</w:t>
            </w:r>
          </w:p>
        </w:tc>
        <w:tc>
          <w:tcPr/>
          <w:p>
            <w:pPr>
              <w:pStyle w:val="Compact"/>
              <w:jc w:val="left"/>
            </w:pPr>
            <w:r>
              <w:t xml:space="preserve">Key Regulations</w:t>
            </w:r>
          </w:p>
        </w:tc>
        <w:tc>
          <w:tcPr/>
          <w:p>
            <w:pPr>
              <w:pStyle w:val="Compact"/>
              <w:jc w:val="left"/>
            </w:pPr>
            <w:r>
              <w:t xml:space="preserve">DWS IQ 6 Solution</w:t>
            </w:r>
          </w:p>
        </w:tc>
      </w:tr>
      <w:tr>
        <w:tc>
          <w:tcPr/>
          <w:p>
            <w:pPr>
              <w:pStyle w:val="Compact"/>
              <w:jc w:val="left"/>
            </w:pPr>
            <w:r>
              <w:rPr>
                <w:bCs/>
                <w:b/>
              </w:rPr>
              <w:t xml:space="preserve">9</w:t>
            </w:r>
          </w:p>
        </w:tc>
        <w:tc>
          <w:tcPr/>
          <w:p>
            <w:pPr>
              <w:pStyle w:val="Compact"/>
              <w:jc w:val="left"/>
            </w:pPr>
            <w:r>
              <w:rPr>
                <w:bCs/>
                <w:b/>
              </w:rPr>
              <w:t xml:space="preserve">Agriculture &amp; Livestock</w:t>
            </w:r>
          </w:p>
        </w:tc>
        <w:tc>
          <w:tcPr/>
          <w:p>
            <w:pPr>
              <w:pStyle w:val="Compact"/>
              <w:jc w:val="left"/>
            </w:pPr>
            <w:r>
              <w:t xml:space="preserve">10-12%</w:t>
            </w:r>
          </w:p>
        </w:tc>
        <w:tc>
          <w:tcPr/>
          <w:p>
            <w:pPr>
              <w:pStyle w:val="Compact"/>
              <w:jc w:val="left"/>
            </w:pPr>
            <w:r>
              <w:t xml:space="preserve">ESR, Methane Strategy, CAP</w:t>
            </w:r>
          </w:p>
        </w:tc>
        <w:tc>
          <w:tcPr/>
          <w:p>
            <w:pPr>
              <w:pStyle w:val="Compact"/>
              <w:jc w:val="left"/>
            </w:pPr>
            <w:r>
              <w:t xml:space="preserve">Farm-level emissions monitoring, fertilizer carbon calculations</w:t>
            </w:r>
          </w:p>
        </w:tc>
      </w:tr>
      <w:tr>
        <w:tc>
          <w:tcPr/>
          <w:p>
            <w:pPr>
              <w:pStyle w:val="Compact"/>
              <w:jc w:val="left"/>
            </w:pPr>
            <w:r>
              <w:rPr>
                <w:bCs/>
                <w:b/>
              </w:rPr>
              <w:t xml:space="preserve">10</w:t>
            </w:r>
          </w:p>
        </w:tc>
        <w:tc>
          <w:tcPr/>
          <w:p>
            <w:pPr>
              <w:pStyle w:val="Compact"/>
              <w:jc w:val="left"/>
            </w:pPr>
            <w:r>
              <w:rPr>
                <w:bCs/>
                <w:b/>
              </w:rPr>
              <w:t xml:space="preserve">Waste Management &amp; Recycling</w:t>
            </w:r>
          </w:p>
        </w:tc>
        <w:tc>
          <w:tcPr/>
          <w:p>
            <w:pPr>
              <w:pStyle w:val="Compact"/>
              <w:jc w:val="left"/>
            </w:pPr>
            <w:r>
              <w:t xml:space="preserve">3-4%</w:t>
            </w:r>
          </w:p>
        </w:tc>
        <w:tc>
          <w:tcPr/>
          <w:p>
            <w:pPr>
              <w:pStyle w:val="Compact"/>
              <w:jc w:val="left"/>
            </w:pPr>
            <w:r>
              <w:t xml:space="preserve">Waste Framework Directive, Landfill Directive</w:t>
            </w:r>
          </w:p>
        </w:tc>
        <w:tc>
          <w:tcPr/>
          <w:p>
            <w:pPr>
              <w:pStyle w:val="Compact"/>
              <w:jc w:val="left"/>
            </w:pPr>
            <w:r>
              <w:t xml:space="preserve">Methane capture monitoring, circular economy metrics</w:t>
            </w:r>
          </w:p>
        </w:tc>
      </w:tr>
      <w:tr>
        <w:tc>
          <w:tcPr/>
          <w:p>
            <w:pPr>
              <w:pStyle w:val="Compact"/>
              <w:jc w:val="left"/>
            </w:pPr>
            <w:r>
              <w:rPr>
                <w:bCs/>
                <w:b/>
              </w:rPr>
              <w:t xml:space="preserve">11</w:t>
            </w:r>
          </w:p>
        </w:tc>
        <w:tc>
          <w:tcPr/>
          <w:p>
            <w:pPr>
              <w:pStyle w:val="Compact"/>
              <w:jc w:val="left"/>
            </w:pPr>
            <w:r>
              <w:rPr>
                <w:bCs/>
                <w:b/>
              </w:rPr>
              <w:t xml:space="preserve">Aluminium</w:t>
            </w:r>
          </w:p>
        </w:tc>
        <w:tc>
          <w:tcPr/>
          <w:p>
            <w:pPr>
              <w:pStyle w:val="Compact"/>
              <w:jc w:val="left"/>
            </w:pPr>
            <w:r>
              <w:t xml:space="preserve">High (energy)</w:t>
            </w:r>
          </w:p>
        </w:tc>
        <w:tc>
          <w:tcPr/>
          <w:p>
            <w:pPr>
              <w:pStyle w:val="Compact"/>
              <w:jc w:val="left"/>
            </w:pPr>
            <w:r>
              <w:t xml:space="preserve">ETS, CBAM (2026)</w:t>
            </w:r>
          </w:p>
        </w:tc>
        <w:tc>
          <w:tcPr/>
          <w:p>
            <w:pPr>
              <w:pStyle w:val="Compact"/>
              <w:jc w:val="left"/>
            </w:pPr>
            <w:r>
              <w:t xml:space="preserve">Energy source tracking, renewable electricity certificates</w:t>
            </w:r>
          </w:p>
        </w:tc>
      </w:tr>
      <w:tr>
        <w:tc>
          <w:tcPr/>
          <w:p>
            <w:pPr>
              <w:pStyle w:val="Compact"/>
              <w:jc w:val="left"/>
            </w:pPr>
            <w:r>
              <w:rPr>
                <w:bCs/>
                <w:b/>
              </w:rPr>
              <w:t xml:space="preserve">12</w:t>
            </w:r>
          </w:p>
        </w:tc>
        <w:tc>
          <w:tcPr/>
          <w:p>
            <w:pPr>
              <w:pStyle w:val="Compact"/>
              <w:jc w:val="left"/>
            </w:pPr>
            <w:r>
              <w:rPr>
                <w:bCs/>
                <w:b/>
              </w:rPr>
              <w:t xml:space="preserve">Pulp, Paper &amp; Printing</w:t>
            </w:r>
          </w:p>
        </w:tc>
        <w:tc>
          <w:tcPr/>
          <w:p>
            <w:pPr>
              <w:pStyle w:val="Compact"/>
              <w:jc w:val="left"/>
            </w:pPr>
            <w:r>
              <w:t xml:space="preserve">Medium</w:t>
            </w:r>
          </w:p>
        </w:tc>
        <w:tc>
          <w:tcPr/>
          <w:p>
            <w:pPr>
              <w:pStyle w:val="Compact"/>
              <w:jc w:val="left"/>
            </w:pPr>
            <w:r>
              <w:t xml:space="preserve">ETS, LULUCF</w:t>
            </w:r>
          </w:p>
        </w:tc>
        <w:tc>
          <w:tcPr/>
          <w:p>
            <w:pPr>
              <w:pStyle w:val="Compact"/>
              <w:jc w:val="left"/>
            </w:pPr>
            <w:r>
              <w:t xml:space="preserve">Forest carbon calculations, supply chain transparency</w:t>
            </w:r>
          </w:p>
        </w:tc>
      </w:tr>
      <w:tr>
        <w:tc>
          <w:tcPr/>
          <w:p>
            <w:pPr>
              <w:pStyle w:val="Compact"/>
              <w:jc w:val="left"/>
            </w:pPr>
            <w:r>
              <w:rPr>
                <w:bCs/>
                <w:b/>
              </w:rPr>
              <w:t xml:space="preserve">13</w:t>
            </w:r>
          </w:p>
        </w:tc>
        <w:tc>
          <w:tcPr/>
          <w:p>
            <w:pPr>
              <w:pStyle w:val="Compact"/>
              <w:jc w:val="left"/>
            </w:pPr>
            <w:r>
              <w:rPr>
                <w:bCs/>
                <w:b/>
              </w:rPr>
              <w:t xml:space="preserve">Oil Refining</w:t>
            </w:r>
          </w:p>
        </w:tc>
        <w:tc>
          <w:tcPr/>
          <w:p>
            <w:pPr>
              <w:pStyle w:val="Compact"/>
              <w:jc w:val="left"/>
            </w:pPr>
            <w:r>
              <w:t xml:space="preserve">High</w:t>
            </w:r>
          </w:p>
        </w:tc>
        <w:tc>
          <w:tcPr/>
          <w:p>
            <w:pPr>
              <w:pStyle w:val="Compact"/>
              <w:jc w:val="left"/>
            </w:pPr>
            <w:r>
              <w:t xml:space="preserve">ETS, ReFuelEU</w:t>
            </w:r>
          </w:p>
        </w:tc>
        <w:tc>
          <w:tcPr/>
          <w:p>
            <w:pPr>
              <w:pStyle w:val="Compact"/>
              <w:jc w:val="left"/>
            </w:pPr>
            <w:r>
              <w:t xml:space="preserve">Phase-down planning, SAF production monitoring</w:t>
            </w:r>
          </w:p>
        </w:tc>
      </w:tr>
      <w:tr>
        <w:tc>
          <w:tcPr/>
          <w:p>
            <w:pPr>
              <w:pStyle w:val="Compact"/>
              <w:jc w:val="left"/>
            </w:pPr>
            <w:r>
              <w:rPr>
                <w:bCs/>
                <w:b/>
              </w:rPr>
              <w:t xml:space="preserve">14</w:t>
            </w:r>
          </w:p>
        </w:tc>
        <w:tc>
          <w:tcPr/>
          <w:p>
            <w:pPr>
              <w:pStyle w:val="Compact"/>
              <w:jc w:val="left"/>
            </w:pPr>
            <w:r>
              <w:rPr>
                <w:bCs/>
                <w:b/>
              </w:rPr>
              <w:t xml:space="preserve">Food &amp; Beverage</w:t>
            </w:r>
          </w:p>
        </w:tc>
        <w:tc>
          <w:tcPr/>
          <w:p>
            <w:pPr>
              <w:pStyle w:val="Compact"/>
              <w:jc w:val="left"/>
            </w:pPr>
            <w:r>
              <w:t xml:space="preserve">Medium</w:t>
            </w:r>
          </w:p>
        </w:tc>
        <w:tc>
          <w:tcPr/>
          <w:p>
            <w:pPr>
              <w:pStyle w:val="Compact"/>
              <w:jc w:val="left"/>
            </w:pPr>
            <w:r>
              <w:t xml:space="preserve">ESR, Energy Efficiency Directive</w:t>
            </w:r>
          </w:p>
        </w:tc>
        <w:tc>
          <w:tcPr/>
          <w:p>
            <w:pPr>
              <w:pStyle w:val="Compact"/>
              <w:jc w:val="left"/>
            </w:pPr>
            <w:r>
              <w:t xml:space="preserve">Agriculture supply chain carbon, energy optimization</w:t>
            </w:r>
          </w:p>
        </w:tc>
      </w:tr>
      <w:tr>
        <w:tc>
          <w:tcPr/>
          <w:p>
            <w:pPr>
              <w:pStyle w:val="Compact"/>
              <w:jc w:val="left"/>
            </w:pPr>
            <w:r>
              <w:rPr>
                <w:bCs/>
                <w:b/>
              </w:rPr>
              <w:t xml:space="preserve">15</w:t>
            </w:r>
          </w:p>
        </w:tc>
        <w:tc>
          <w:tcPr/>
          <w:p>
            <w:pPr>
              <w:pStyle w:val="Compact"/>
              <w:jc w:val="left"/>
            </w:pPr>
            <w:r>
              <w:rPr>
                <w:bCs/>
                <w:b/>
              </w:rPr>
              <w:t xml:space="preserve">Glass &amp; Ceramics</w:t>
            </w:r>
          </w:p>
        </w:tc>
        <w:tc>
          <w:tcPr/>
          <w:p>
            <w:pPr>
              <w:pStyle w:val="Compact"/>
              <w:jc w:val="left"/>
            </w:pPr>
            <w:r>
              <w:t xml:space="preserve">Medium</w:t>
            </w:r>
          </w:p>
        </w:tc>
        <w:tc>
          <w:tcPr/>
          <w:p>
            <w:pPr>
              <w:pStyle w:val="Compact"/>
              <w:jc w:val="left"/>
            </w:pPr>
            <w:r>
              <w:t xml:space="preserve">ETS, CBAM (indirect)</w:t>
            </w:r>
          </w:p>
        </w:tc>
        <w:tc>
          <w:tcPr/>
          <w:p>
            <w:pPr>
              <w:pStyle w:val="Compact"/>
              <w:jc w:val="left"/>
            </w:pPr>
            <w:r>
              <w:t xml:space="preserve">Process emissions, material carbon tracking</w:t>
            </w:r>
          </w:p>
        </w:tc>
      </w:tr>
      <w:tr>
        <w:tc>
          <w:tcPr/>
          <w:p>
            <w:pPr>
              <w:pStyle w:val="Compact"/>
              <w:jc w:val="left"/>
            </w:pPr>
            <w:r>
              <w:rPr>
                <w:bCs/>
                <w:b/>
              </w:rPr>
              <w:t xml:space="preserve">16</w:t>
            </w:r>
          </w:p>
        </w:tc>
        <w:tc>
          <w:tcPr/>
          <w:p>
            <w:pPr>
              <w:pStyle w:val="Compact"/>
              <w:jc w:val="left"/>
            </w:pPr>
            <w:r>
              <w:rPr>
                <w:bCs/>
                <w:b/>
              </w:rPr>
              <w:t xml:space="preserve">Mining &amp; Quarrying</w:t>
            </w:r>
          </w:p>
        </w:tc>
        <w:tc>
          <w:tcPr/>
          <w:p>
            <w:pPr>
              <w:pStyle w:val="Compact"/>
              <w:jc w:val="left"/>
            </w:pPr>
            <w:r>
              <w:t xml:space="preserve">Medium</w:t>
            </w:r>
          </w:p>
        </w:tc>
        <w:tc>
          <w:tcPr/>
          <w:p>
            <w:pPr>
              <w:pStyle w:val="Compact"/>
              <w:jc w:val="left"/>
            </w:pPr>
            <w:r>
              <w:t xml:space="preserve">ETS (indirect), Critical Raw Materials</w:t>
            </w:r>
          </w:p>
        </w:tc>
        <w:tc>
          <w:tcPr/>
          <w:p>
            <w:pPr>
              <w:pStyle w:val="Compact"/>
              <w:jc w:val="left"/>
            </w:pPr>
            <w:r>
              <w:t xml:space="preserve">Extraction emissions, CRM supply chain compliance</w:t>
            </w:r>
          </w:p>
        </w:tc>
      </w:tr>
    </w:tbl>
    <w:bookmarkEnd w:id="47"/>
    <w:bookmarkStart w:id="48" w:name="regulatory-timeline"/>
    <w:p>
      <w:pPr>
        <w:pStyle w:val="Heading3"/>
      </w:pPr>
      <w:r>
        <w:t xml:space="preserve">3.1.2 Regulatory Timeline</w:t>
      </w:r>
    </w:p>
    <w:p>
      <w:pPr>
        <w:pStyle w:val="SourceCode"/>
      </w:pPr>
      <w:r>
        <w:rPr>
          <w:rStyle w:val="VerbatimChar"/>
        </w:rPr>
        <w:t xml:space="preserve">2024 ----------------------------------------------------------------</w:t>
      </w:r>
      <w:r>
        <w:br/>
      </w:r>
      <w:r>
        <w:rPr>
          <w:rStyle w:val="VerbatimChar"/>
        </w:rPr>
        <w:t xml:space="preserve">      | Maritime in ETS</w:t>
      </w:r>
      <w:r>
        <w:br/>
      </w:r>
      <w:r>
        <w:rPr>
          <w:rStyle w:val="VerbatimChar"/>
        </w:rPr>
        <w:t xml:space="preserve">      | CBAM transitional phase active</w:t>
      </w:r>
      <w:r>
        <w:br/>
      </w:r>
      <w:r>
        <w:rPr>
          <w:rStyle w:val="VerbatimChar"/>
        </w:rPr>
        <w:t xml:space="preserve">      | CSRD reporting begins (large companies)</w:t>
      </w:r>
      <w:r>
        <w:br/>
      </w:r>
      <w:r>
        <w:rPr>
          <w:rStyle w:val="VerbatimChar"/>
        </w:rPr>
        <w:t xml:space="preserve">      |</w:t>
      </w:r>
      <w:r>
        <w:br/>
      </w:r>
      <w:r>
        <w:rPr>
          <w:rStyle w:val="VerbatimChar"/>
        </w:rPr>
        <w:t xml:space="preserve">2025 ----------------------------------------------------------------</w:t>
      </w:r>
      <w:r>
        <w:br/>
      </w:r>
      <w:r>
        <w:rPr>
          <w:rStyle w:val="VerbatimChar"/>
        </w:rPr>
        <w:t xml:space="preserve">      | Omnibus simplifications (administrative relief)</w:t>
      </w:r>
      <w:r>
        <w:br/>
      </w:r>
      <w:r>
        <w:rPr>
          <w:rStyle w:val="VerbatimChar"/>
        </w:rPr>
        <w:t xml:space="preserve">      | EU AI Act enforcement begins</w:t>
      </w:r>
      <w:r>
        <w:br/>
      </w:r>
      <w:r>
        <w:rPr>
          <w:rStyle w:val="VerbatimChar"/>
        </w:rPr>
        <w:t xml:space="preserve">      | NIS2 compliance deadline</w:t>
      </w:r>
      <w:r>
        <w:br/>
      </w:r>
      <w:r>
        <w:rPr>
          <w:rStyle w:val="VerbatimChar"/>
        </w:rPr>
        <w:t xml:space="preserve">      |</w:t>
      </w:r>
      <w:r>
        <w:br/>
      </w:r>
      <w:r>
        <w:rPr>
          <w:rStyle w:val="VerbatimChar"/>
        </w:rPr>
        <w:t xml:space="preserve">2026 ----------------------------------------------------------------</w:t>
      </w:r>
      <w:r>
        <w:br/>
      </w:r>
      <w:r>
        <w:rPr>
          <w:rStyle w:val="VerbatimChar"/>
        </w:rPr>
        <w:t xml:space="preserve">      | CBAM full enforcement (border carbon levy)</w:t>
      </w:r>
      <w:r>
        <w:br/>
      </w:r>
      <w:r>
        <w:rPr>
          <w:rStyle w:val="VerbatimChar"/>
        </w:rPr>
        <w:t xml:space="preserve">      | CSRD expands to more companies</w:t>
      </w:r>
      <w:r>
        <w:br/>
      </w:r>
      <w:r>
        <w:rPr>
          <w:rStyle w:val="VerbatimChar"/>
        </w:rPr>
        <w:t xml:space="preserve">      | Free ETS allowances decrease faster</w:t>
      </w:r>
      <w:r>
        <w:br/>
      </w:r>
      <w:r>
        <w:rPr>
          <w:rStyle w:val="VerbatimChar"/>
        </w:rPr>
        <w:t xml:space="preserve">      |</w:t>
      </w:r>
      <w:r>
        <w:br/>
      </w:r>
      <w:r>
        <w:rPr>
          <w:rStyle w:val="VerbatimChar"/>
        </w:rPr>
        <w:t xml:space="preserve">2027 ----------------------------------------------------------------</w:t>
      </w:r>
      <w:r>
        <w:br/>
      </w:r>
      <w:r>
        <w:rPr>
          <w:rStyle w:val="VerbatimChar"/>
        </w:rPr>
        <w:t xml:space="preserve">      | ETS2 for road transport and buildings</w:t>
      </w:r>
      <w:r>
        <w:br/>
      </w:r>
      <w:r>
        <w:rPr>
          <w:rStyle w:val="VerbatimChar"/>
        </w:rPr>
        <w:t xml:space="preserve">      | Stricter vehicle CO2 standards</w:t>
      </w:r>
      <w:r>
        <w:br/>
      </w:r>
      <w:r>
        <w:rPr>
          <w:rStyle w:val="VerbatimChar"/>
        </w:rPr>
        <w:t xml:space="preserve">      |</w:t>
      </w:r>
      <w:r>
        <w:br/>
      </w:r>
      <w:r>
        <w:rPr>
          <w:rStyle w:val="VerbatimChar"/>
        </w:rPr>
        <w:t xml:space="preserve">2028 ----------------------------------------------------------------</w:t>
      </w:r>
      <w:r>
        <w:br/>
      </w:r>
      <w:r>
        <w:rPr>
          <w:rStyle w:val="VerbatimChar"/>
        </w:rPr>
        <w:t xml:space="preserve">      | EPBD embodied carbon reporting (&gt;1,000 m2)</w:t>
      </w:r>
      <w:r>
        <w:br/>
      </w:r>
      <w:r>
        <w:rPr>
          <w:rStyle w:val="VerbatimChar"/>
        </w:rPr>
        <w:t xml:space="preserve">      | Significant ETS cap tightening</w:t>
      </w:r>
      <w:r>
        <w:br/>
      </w:r>
      <w:r>
        <w:rPr>
          <w:rStyle w:val="VerbatimChar"/>
        </w:rPr>
        <w:t xml:space="preserve">      |</w:t>
      </w:r>
      <w:r>
        <w:br/>
      </w:r>
      <w:r>
        <w:rPr>
          <w:rStyle w:val="VerbatimChar"/>
        </w:rPr>
        <w:t xml:space="preserve">2030 ----------------------------------------------------------------</w:t>
      </w:r>
      <w:r>
        <w:br/>
      </w:r>
      <w:r>
        <w:rPr>
          <w:rStyle w:val="VerbatimChar"/>
        </w:rPr>
        <w:t xml:space="preserve">      | 55% emissions reduction target deadline</w:t>
      </w:r>
      <w:r>
        <w:br/>
      </w:r>
      <w:r>
        <w:rPr>
          <w:rStyle w:val="VerbatimChar"/>
        </w:rPr>
        <w:t xml:space="preserve">      | ESR national targets due</w:t>
      </w:r>
      <w:r>
        <w:br/>
      </w:r>
      <w:r>
        <w:rPr>
          <w:rStyle w:val="VerbatimChar"/>
        </w:rPr>
        <w:t xml:space="preserve">      |</w:t>
      </w:r>
      <w:r>
        <w:br/>
      </w:r>
      <w:r>
        <w:rPr>
          <w:rStyle w:val="VerbatimChar"/>
        </w:rPr>
        <w:t xml:space="preserve">2035 ----------------------------------------------------------------</w:t>
      </w:r>
      <w:r>
        <w:br/>
      </w:r>
      <w:r>
        <w:rPr>
          <w:rStyle w:val="VerbatimChar"/>
        </w:rPr>
        <w:t xml:space="preserve">      | 100% zero-emission new cars and vans</w:t>
      </w:r>
    </w:p>
    <w:bookmarkEnd w:id="48"/>
    <w:bookmarkStart w:id="50" w:name="X6eec331514f509911a7e6eab295961c4387329c"/>
    <w:p>
      <w:pPr>
        <w:pStyle w:val="Heading3"/>
      </w:pPr>
      <w:r>
        <w:t xml:space="preserve">3.1.3 The Omnibus Package:</w:t>
      </w:r>
      <w:r>
        <w:t xml:space="preserve"> </w:t>
      </w:r>
      <w:r>
        <w:t xml:space="preserve">“</w:t>
      </w:r>
      <w:r>
        <w:t xml:space="preserve">Fit for 55 Means Fit for 55</w:t>
      </w:r>
      <w:r>
        <w:t xml:space="preserve">”</w:t>
      </w:r>
    </w:p>
    <w:p>
      <w:pPr>
        <w:pStyle w:val="FirstParagraph"/>
      </w:pPr>
      <w:r>
        <w:t xml:space="preserve">The European Commission adopted the Omnibus simplification package on 26.2.2025, reducing the administrative burden on SMEs while keeping climate targets fully intact (European Commission, 2025).</w:t>
      </w:r>
    </w:p>
    <w:p>
      <w:pPr>
        <w:pStyle w:val="BodyText"/>
      </w:pPr>
      <w:r>
        <w:rPr>
          <w:bCs/>
          <w:b/>
        </w:rPr>
        <w:t xml:space="preserve">Key changes to CSRD reporting:</w:t>
      </w:r>
    </w:p>
    <w:tbl>
      <w:tblPr>
        <w:tblStyle w:val="Table"/>
        <w:tblW w:type="pct" w:w="5000"/>
        <w:tblLook w:firstRow="1" w:lastRow="0" w:firstColumn="0" w:lastColumn="0" w:noHBand="0" w:noVBand="0" w:val="0020"/>
        <w:jc w:val="start"/>
      </w:tblPr>
      <w:tblGrid>
        <w:gridCol w:w="1485"/>
        <w:gridCol w:w="1767"/>
        <w:gridCol w:w="4667"/>
      </w:tblGrid>
      <w:tr>
        <w:trPr>
          <w:tblHeader w:val="true"/>
        </w:trPr>
        <w:tc>
          <w:tcPr/>
          <w:p>
            <w:pPr>
              <w:pStyle w:val="Compact"/>
              <w:jc w:val="left"/>
            </w:pPr>
            <w:r>
              <w:t xml:space="preserve">Change</w:t>
            </w:r>
          </w:p>
        </w:tc>
        <w:tc>
          <w:tcPr/>
          <w:p>
            <w:pPr>
              <w:pStyle w:val="Compact"/>
              <w:jc w:val="left"/>
            </w:pPr>
            <w:r>
              <w:t xml:space="preserve">Before</w:t>
            </w:r>
          </w:p>
        </w:tc>
        <w:tc>
          <w:tcPr/>
          <w:p>
            <w:pPr>
              <w:pStyle w:val="Compact"/>
              <w:jc w:val="left"/>
            </w:pPr>
            <w:r>
              <w:t xml:space="preserve">After Omnibus</w:t>
            </w:r>
          </w:p>
        </w:tc>
      </w:tr>
      <w:tr>
        <w:tc>
          <w:tcPr/>
          <w:p>
            <w:pPr>
              <w:pStyle w:val="Compact"/>
              <w:jc w:val="left"/>
            </w:pPr>
            <w:r>
              <w:rPr>
                <w:bCs/>
                <w:b/>
              </w:rPr>
              <w:t xml:space="preserve">CSRD scope</w:t>
            </w:r>
          </w:p>
        </w:tc>
        <w:tc>
          <w:tcPr/>
          <w:p>
            <w:pPr>
              <w:pStyle w:val="Compact"/>
              <w:jc w:val="left"/>
            </w:pPr>
            <w:r>
              <w:t xml:space="preserve">~50,000 companies</w:t>
            </w:r>
          </w:p>
        </w:tc>
        <w:tc>
          <w:tcPr/>
          <w:p>
            <w:pPr>
              <w:pStyle w:val="Compact"/>
              <w:jc w:val="left"/>
            </w:pPr>
            <w:r>
              <w:t xml:space="preserve">fewer than ~5,000 companies (&gt;1,000 employees AND &gt;€450M turnover)</w:t>
            </w:r>
          </w:p>
        </w:tc>
      </w:tr>
      <w:tr>
        <w:tc>
          <w:tcPr/>
          <w:p>
            <w:pPr>
              <w:pStyle w:val="Compact"/>
              <w:jc w:val="left"/>
            </w:pPr>
            <w:r>
              <w:rPr>
                <w:bCs/>
                <w:b/>
              </w:rPr>
              <w:t xml:space="preserve">SME obligations</w:t>
            </w:r>
          </w:p>
        </w:tc>
        <w:tc>
          <w:tcPr/>
          <w:p>
            <w:pPr>
              <w:pStyle w:val="Compact"/>
              <w:jc w:val="left"/>
            </w:pPr>
            <w:r>
              <w:t xml:space="preserve">Mandatory</w:t>
            </w:r>
          </w:p>
        </w:tc>
        <w:tc>
          <w:tcPr/>
          <w:p>
            <w:pPr>
              <w:pStyle w:val="Compact"/>
              <w:jc w:val="left"/>
            </w:pPr>
            <w:r>
              <w:t xml:space="preserve">Voluntary standard (EFRAG SME)</w:t>
            </w:r>
          </w:p>
        </w:tc>
      </w:tr>
      <w:tr>
        <w:tc>
          <w:tcPr/>
          <w:p>
            <w:pPr>
              <w:pStyle w:val="Compact"/>
              <w:jc w:val="left"/>
            </w:pPr>
            <w:r>
              <w:rPr>
                <w:bCs/>
                <w:b/>
              </w:rPr>
              <w:t xml:space="preserve">Assurance level</w:t>
            </w:r>
          </w:p>
        </w:tc>
        <w:tc>
          <w:tcPr/>
          <w:p>
            <w:pPr>
              <w:pStyle w:val="Compact"/>
              <w:jc w:val="left"/>
            </w:pPr>
            <w:r>
              <w:t xml:space="preserve">“</w:t>
            </w:r>
            <w:r>
              <w:t xml:space="preserve">Limited</w:t>
            </w:r>
            <w:r>
              <w:t xml:space="preserve">”</w:t>
            </w:r>
            <w:r>
              <w:t xml:space="preserve"> </w:t>
            </w:r>
            <w:r>
              <w:t xml:space="preserve">-&gt;</w:t>
            </w:r>
            <w:r>
              <w:t xml:space="preserve"> </w:t>
            </w:r>
            <w:r>
              <w:t xml:space="preserve">“</w:t>
            </w:r>
            <w:r>
              <w:t xml:space="preserve">Reasonable</w:t>
            </w:r>
            <w:r>
              <w:t xml:space="preserve">”</w:t>
            </w:r>
          </w:p>
        </w:tc>
        <w:tc>
          <w:tcPr/>
          <w:p>
            <w:pPr>
              <w:pStyle w:val="Compact"/>
              <w:jc w:val="left"/>
            </w:pPr>
            <w:r>
              <w:t xml:space="preserve">Stays at</w:t>
            </w:r>
            <w:r>
              <w:t xml:space="preserve"> </w:t>
            </w:r>
            <w:r>
              <w:t xml:space="preserve">“</w:t>
            </w:r>
            <w:r>
              <w:t xml:space="preserve">Limited</w:t>
            </w:r>
            <w:r>
              <w:t xml:space="preserve">”</w:t>
            </w:r>
          </w:p>
        </w:tc>
      </w:tr>
      <w:tr>
        <w:tc>
          <w:tcPr/>
          <w:p>
            <w:pPr>
              <w:pStyle w:val="Compact"/>
              <w:jc w:val="left"/>
            </w:pPr>
            <w:r>
              <w:rPr>
                <w:bCs/>
                <w:b/>
              </w:rPr>
              <w:t xml:space="preserve">Timeline</w:t>
            </w:r>
          </w:p>
        </w:tc>
        <w:tc>
          <w:tcPr/>
          <w:p>
            <w:pPr>
              <w:pStyle w:val="Compact"/>
              <w:jc w:val="left"/>
            </w:pPr>
            <w:r>
              <w:t xml:space="preserve">2026-2027</w:t>
            </w:r>
          </w:p>
        </w:tc>
        <w:tc>
          <w:tcPr/>
          <w:p>
            <w:pPr>
              <w:pStyle w:val="Compact"/>
              <w:jc w:val="left"/>
            </w:pPr>
            <w:r>
              <w:t xml:space="preserve">+2 year postponement (</w:t>
            </w:r>
            <w:r>
              <w:t xml:space="preserve">“</w:t>
            </w:r>
            <w:r>
              <w:t xml:space="preserve">stop the clock</w:t>
            </w:r>
            <w:r>
              <w:t xml:space="preserve">”</w:t>
            </w:r>
            <w:r>
              <w:t xml:space="preserve">)</w:t>
            </w:r>
          </w:p>
        </w:tc>
      </w:tr>
      <w:tr>
        <w:tc>
          <w:tcPr/>
          <w:p>
            <w:pPr>
              <w:pStyle w:val="Compact"/>
              <w:jc w:val="left"/>
            </w:pPr>
            <w:r>
              <w:rPr>
                <w:bCs/>
                <w:b/>
              </w:rPr>
              <w:t xml:space="preserve">Estimated savings</w:t>
            </w:r>
          </w:p>
        </w:tc>
        <w:tc>
          <w:tcPr/>
          <w:p>
            <w:pPr>
              <w:pStyle w:val="Compact"/>
              <w:jc w:val="left"/>
            </w:pPr>
            <w:r>
              <w:t xml:space="preserve">-</w:t>
            </w:r>
          </w:p>
        </w:tc>
        <w:tc>
          <w:tcPr/>
          <w:p>
            <w:pPr>
              <w:pStyle w:val="Compact"/>
              <w:jc w:val="left"/>
            </w:pPr>
            <w:r>
              <w:t xml:space="preserve">EUR 4.4 billion/year</w:t>
            </w:r>
          </w:p>
        </w:tc>
      </w:tr>
    </w:tbl>
    <w:p>
      <w:pPr>
        <w:pStyle w:val="BodyText"/>
      </w:pPr>
      <w:r>
        <w:rPr>
          <w:bCs/>
          <w:b/>
        </w:rPr>
        <w:t xml:space="preserve">Critical observation: Climate targets remain unchanged</w:t>
      </w:r>
    </w:p>
    <w:p>
      <w:pPr>
        <w:pStyle w:val="BodyText"/>
      </w:pPr>
      <w:r>
        <w:t xml:space="preserve">The Omnibus package</w:t>
      </w:r>
      <w:r>
        <w:t xml:space="preserve"> </w:t>
      </w:r>
      <w:r>
        <w:rPr>
          <w:bCs/>
          <w:b/>
        </w:rPr>
        <w:t xml:space="preserve">does not change</w:t>
      </w:r>
      <w:r>
        <w:t xml:space="preserve"> </w:t>
      </w:r>
      <w:r>
        <w:t xml:space="preserve">the core Fit for 55 targets:</w:t>
      </w:r>
    </w:p>
    <w:p>
      <w:pPr>
        <w:numPr>
          <w:ilvl w:val="0"/>
          <w:numId w:val="1020"/>
        </w:numPr>
        <w:pStyle w:val="Compact"/>
      </w:pPr>
      <w:r>
        <w:rPr>
          <w:bCs/>
          <w:b/>
        </w:rPr>
        <w:t xml:space="preserve">55% emissions reduction by 2030</w:t>
      </w:r>
      <w:r>
        <w:t xml:space="preserve"> </w:t>
      </w:r>
      <w:r>
        <w:t xml:space="preserve">— remains</w:t>
      </w:r>
    </w:p>
    <w:p>
      <w:pPr>
        <w:numPr>
          <w:ilvl w:val="0"/>
          <w:numId w:val="1020"/>
        </w:numPr>
        <w:pStyle w:val="Compact"/>
      </w:pPr>
      <w:r>
        <w:rPr>
          <w:bCs/>
          <w:b/>
        </w:rPr>
        <w:t xml:space="preserve">ETS emissions cap</w:t>
      </w:r>
      <w:r>
        <w:t xml:space="preserve"> </w:t>
      </w:r>
      <w:r>
        <w:t xml:space="preserve">— continues to tighten as planned</w:t>
      </w:r>
    </w:p>
    <w:p>
      <w:pPr>
        <w:numPr>
          <w:ilvl w:val="0"/>
          <w:numId w:val="1020"/>
        </w:numPr>
        <w:pStyle w:val="Compact"/>
      </w:pPr>
      <w:r>
        <w:rPr>
          <w:bCs/>
          <w:b/>
        </w:rPr>
        <w:t xml:space="preserve">CBAM border carbon levy</w:t>
      </w:r>
      <w:r>
        <w:t xml:space="preserve"> </w:t>
      </w:r>
      <w:r>
        <w:t xml:space="preserve">— effective 2026 as planned</w:t>
      </w:r>
    </w:p>
    <w:p>
      <w:pPr>
        <w:numPr>
          <w:ilvl w:val="0"/>
          <w:numId w:val="1020"/>
        </w:numPr>
        <w:pStyle w:val="Compact"/>
      </w:pPr>
      <w:r>
        <w:rPr>
          <w:bCs/>
          <w:b/>
        </w:rPr>
        <w:t xml:space="preserve">ETS2 for road transport and buildings</w:t>
      </w:r>
      <w:r>
        <w:t xml:space="preserve"> </w:t>
      </w:r>
      <w:r>
        <w:t xml:space="preserve">— effective 2027</w:t>
      </w:r>
    </w:p>
    <w:p>
      <w:pPr>
        <w:numPr>
          <w:ilvl w:val="0"/>
          <w:numId w:val="1020"/>
        </w:numPr>
        <w:pStyle w:val="Compact"/>
      </w:pPr>
      <w:r>
        <w:rPr>
          <w:bCs/>
          <w:b/>
        </w:rPr>
        <w:t xml:space="preserve">EPBD embodied carbon reporting</w:t>
      </w:r>
      <w:r>
        <w:t xml:space="preserve"> </w:t>
      </w:r>
      <w:r>
        <w:t xml:space="preserve">— effective 2028</w:t>
      </w:r>
    </w:p>
    <w:p>
      <w:pPr>
        <w:pStyle w:val="FirstParagraph"/>
      </w:pPr>
      <w:r>
        <w:rPr>
          <w:bCs/>
          <w:b/>
        </w:rPr>
        <w:t xml:space="preserve">Impact on DWS IQ 6 business model:</w:t>
      </w:r>
    </w:p>
    <w:tbl>
      <w:tblPr>
        <w:tblStyle w:val="Table"/>
        <w:tblW w:type="pct" w:w="5000"/>
        <w:tblLook w:firstRow="1" w:lastRow="0" w:firstColumn="0" w:lastColumn="0" w:noHBand="0" w:noVBand="0" w:val="0020"/>
        <w:jc w:val="start"/>
      </w:tblPr>
      <w:tblGrid>
        <w:gridCol w:w="2960"/>
        <w:gridCol w:w="1702"/>
        <w:gridCol w:w="3256"/>
      </w:tblGrid>
      <w:tr>
        <w:trPr>
          <w:tblHeader w:val="true"/>
        </w:trPr>
        <w:tc>
          <w:tcPr/>
          <w:p>
            <w:pPr>
              <w:pStyle w:val="Compact"/>
              <w:jc w:val="left"/>
            </w:pPr>
            <w:r>
              <w:t xml:space="preserve">Segment</w:t>
            </w:r>
          </w:p>
        </w:tc>
        <w:tc>
          <w:tcPr/>
          <w:p>
            <w:pPr>
              <w:pStyle w:val="Compact"/>
              <w:jc w:val="left"/>
            </w:pPr>
            <w:r>
              <w:t xml:space="preserve">Omnibus Impact</w:t>
            </w:r>
          </w:p>
        </w:tc>
        <w:tc>
          <w:tcPr/>
          <w:p>
            <w:pPr>
              <w:pStyle w:val="Compact"/>
              <w:jc w:val="left"/>
            </w:pPr>
            <w:r>
              <w:t xml:space="preserve">DWS IQ 6 Opportunity</w:t>
            </w:r>
          </w:p>
        </w:tc>
      </w:tr>
      <w:tr>
        <w:tc>
          <w:tcPr/>
          <w:p>
            <w:pPr>
              <w:pStyle w:val="Compact"/>
              <w:jc w:val="left"/>
            </w:pPr>
            <w:r>
              <w:rPr>
                <w:bCs/>
                <w:b/>
              </w:rPr>
              <w:t xml:space="preserve">Large enterprises (&gt;1,000 employees)</w:t>
            </w:r>
          </w:p>
        </w:tc>
        <w:tc>
          <w:tcPr/>
          <w:p>
            <w:pPr>
              <w:pStyle w:val="Compact"/>
              <w:jc w:val="left"/>
            </w:pPr>
            <w:r>
              <w:t xml:space="preserve">CSRD obligation remains</w:t>
            </w:r>
          </w:p>
        </w:tc>
        <w:tc>
          <w:tcPr/>
          <w:p>
            <w:pPr>
              <w:pStyle w:val="Compact"/>
              <w:jc w:val="left"/>
            </w:pPr>
            <w:r>
              <w:t xml:space="preserve">Premium solution</w:t>
            </w:r>
          </w:p>
        </w:tc>
      </w:tr>
      <w:tr>
        <w:tc>
          <w:tcPr/>
          <w:p>
            <w:pPr>
              <w:pStyle w:val="Compact"/>
              <w:jc w:val="left"/>
            </w:pPr>
            <w:r>
              <w:rPr>
                <w:bCs/>
                <w:b/>
              </w:rPr>
              <w:t xml:space="preserve">Mid-size (250-999 employees)</w:t>
            </w:r>
          </w:p>
        </w:tc>
        <w:tc>
          <w:tcPr/>
          <w:p>
            <w:pPr>
              <w:pStyle w:val="Compact"/>
              <w:jc w:val="left"/>
            </w:pPr>
            <w:r>
              <w:t xml:space="preserve">Voluntary reporting</w:t>
            </w:r>
          </w:p>
        </w:tc>
        <w:tc>
          <w:tcPr/>
          <w:p>
            <w:pPr>
              <w:pStyle w:val="Compact"/>
              <w:jc w:val="left"/>
            </w:pPr>
            <w:r>
              <w:t xml:space="preserve">Affordable as competitive advantage</w:t>
            </w:r>
          </w:p>
        </w:tc>
      </w:tr>
      <w:tr>
        <w:tc>
          <w:tcPr/>
          <w:p>
            <w:pPr>
              <w:pStyle w:val="Compact"/>
              <w:jc w:val="left"/>
            </w:pPr>
            <w:r>
              <w:rPr>
                <w:bCs/>
                <w:b/>
              </w:rPr>
              <w:t xml:space="preserve">SMEs (&lt;250 employees)</w:t>
            </w:r>
          </w:p>
        </w:tc>
        <w:tc>
          <w:tcPr/>
          <w:p>
            <w:pPr>
              <w:pStyle w:val="Compact"/>
              <w:jc w:val="left"/>
            </w:pPr>
            <w:r>
              <w:t xml:space="preserve">No reporting obligation</w:t>
            </w:r>
          </w:p>
        </w:tc>
        <w:tc>
          <w:tcPr/>
          <w:p>
            <w:pPr>
              <w:pStyle w:val="Compact"/>
              <w:jc w:val="left"/>
            </w:pPr>
            <w:r>
              <w:t xml:space="preserve">Supply chain pressure from large enterprises</w:t>
            </w:r>
          </w:p>
        </w:tc>
      </w:tr>
    </w:tbl>
    <w:p>
      <w:pPr>
        <w:pStyle w:val="BodyText"/>
      </w:pPr>
      <w:r>
        <w:rPr>
          <w:bCs/>
          <w:b/>
        </w:rPr>
        <w:t xml:space="preserve">Conclusion:</w:t>
      </w:r>
      <w:r>
        <w:t xml:space="preserve"> </w:t>
      </w:r>
      <w:r>
        <w:t xml:space="preserve">The Omnibus package makes the Firehorse model even more competitive:</w:t>
      </w:r>
    </w:p>
    <w:p>
      <w:pPr>
        <w:numPr>
          <w:ilvl w:val="0"/>
          <w:numId w:val="1021"/>
        </w:numPr>
        <w:pStyle w:val="Compact"/>
      </w:pPr>
      <w:r>
        <w:rPr>
          <w:bCs/>
          <w:b/>
        </w:rPr>
        <w:t xml:space="preserve">Large enterprises</w:t>
      </w:r>
      <w:r>
        <w:t xml:space="preserve"> </w:t>
      </w:r>
      <w:r>
        <w:t xml:space="preserve">still need automated reporting</w:t>
      </w:r>
    </w:p>
    <w:p>
      <w:pPr>
        <w:numPr>
          <w:ilvl w:val="0"/>
          <w:numId w:val="1021"/>
        </w:numPr>
        <w:pStyle w:val="Compact"/>
      </w:pPr>
      <w:r>
        <w:rPr>
          <w:bCs/>
          <w:b/>
        </w:rPr>
        <w:t xml:space="preserve">SMEs</w:t>
      </w:r>
      <w:r>
        <w:t xml:space="preserve"> </w:t>
      </w:r>
      <w:r>
        <w:t xml:space="preserve">face supply chain pressures from CSRD-reporting companies</w:t>
      </w:r>
    </w:p>
    <w:p>
      <w:pPr>
        <w:numPr>
          <w:ilvl w:val="0"/>
          <w:numId w:val="1021"/>
        </w:numPr>
        <w:pStyle w:val="Compact"/>
      </w:pPr>
      <w:r>
        <w:rPr>
          <w:bCs/>
          <w:b/>
        </w:rPr>
        <w:t xml:space="preserve">Voluntary EFRAG SME standard</w:t>
      </w:r>
      <w:r>
        <w:t xml:space="preserve"> </w:t>
      </w:r>
      <w:r>
        <w:t xml:space="preserve">creates demand for affordable solutions</w:t>
      </w:r>
    </w:p>
    <w:p>
      <w:pPr>
        <w:numPr>
          <w:ilvl w:val="0"/>
          <w:numId w:val="1021"/>
        </w:numPr>
        <w:pStyle w:val="Compact"/>
      </w:pPr>
      <w:r>
        <w:rPr>
          <w:bCs/>
          <w:b/>
        </w:rPr>
        <w:t xml:space="preserve">EUR 0-350/month pricing</w:t>
      </w:r>
      <w:r>
        <w:t xml:space="preserve"> </w:t>
      </w:r>
      <w:r>
        <w:t xml:space="preserve">is competitive in the voluntary reporting market</w:t>
      </w:r>
    </w:p>
    <w:p>
      <w:pPr>
        <w:pStyle w:val="FirstParagraph"/>
      </w:pPr>
      <w:r>
        <w:rPr>
          <w:bCs/>
          <w:b/>
        </w:rPr>
        <w:t xml:space="preserve">Source: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competitor-analysis"/>
    <w:p>
      <w:pPr>
        <w:pStyle w:val="Heading2"/>
      </w:pPr>
      <w:r>
        <w:t xml:space="preserve">3.2 Competitor Analysis</w:t>
      </w:r>
    </w:p>
    <w:tbl>
      <w:tblPr>
        <w:tblStyle w:val="Table"/>
        <w:tblW w:type="pct" w:w="5000"/>
        <w:tblLook w:firstRow="1" w:lastRow="0" w:firstColumn="0" w:lastColumn="0" w:noHBand="0" w:noVBand="0" w:val="0020"/>
        <w:jc w:val="start"/>
      </w:tblPr>
      <w:tblGrid>
        <w:gridCol w:w="2337"/>
        <w:gridCol w:w="1168"/>
        <w:gridCol w:w="1817"/>
        <w:gridCol w:w="1298"/>
        <w:gridCol w:w="1298"/>
      </w:tblGrid>
      <w:tr>
        <w:trPr>
          <w:tblHeader w:val="true"/>
        </w:trPr>
        <w:tc>
          <w:tcPr/>
          <w:p>
            <w:pPr>
              <w:pStyle w:val="Compact"/>
              <w:jc w:val="left"/>
            </w:pPr>
            <w:r>
              <w:t xml:space="preserve">Capability</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Monthly cost</w:t>
            </w:r>
          </w:p>
        </w:tc>
        <w:tc>
          <w:tcPr/>
          <w:p>
            <w:pPr>
              <w:pStyle w:val="Compact"/>
              <w:jc w:val="left"/>
            </w:pPr>
            <w:r>
              <w:t xml:space="preserve">EUR 0-350</w:t>
            </w:r>
          </w:p>
        </w:tc>
        <w:tc>
          <w:tcPr/>
          <w:p>
            <w:pPr>
              <w:pStyle w:val="Compact"/>
              <w:jc w:val="left"/>
            </w:pPr>
            <w:r>
              <w:t xml:space="preserve">EUR 1,400+</w:t>
            </w:r>
          </w:p>
        </w:tc>
        <w:tc>
          <w:tcPr/>
          <w:p>
            <w:pPr>
              <w:pStyle w:val="Compact"/>
              <w:jc w:val="left"/>
            </w:pPr>
            <w:r>
              <w:t xml:space="preserve">EUR 4,000+</w:t>
            </w:r>
          </w:p>
        </w:tc>
        <w:tc>
          <w:tcPr/>
          <w:p>
            <w:pPr>
              <w:pStyle w:val="Compact"/>
              <w:jc w:val="left"/>
            </w:pPr>
            <w:r>
              <w:t xml:space="preserve">EUR 2,000+</w:t>
            </w:r>
          </w:p>
        </w:tc>
      </w:tr>
      <w:tr>
        <w:tc>
          <w:tcPr/>
          <w:p>
            <w:pPr>
              <w:pStyle w:val="Compact"/>
              <w:jc w:val="left"/>
            </w:pPr>
            <w:r>
              <w:rPr>
                <w:bCs/>
                <w:b/>
              </w:rPr>
              <w:t xml:space="preserve">Edge AI</w:t>
            </w:r>
          </w:p>
        </w:tc>
        <w:tc>
          <w:tcPr/>
          <w:p>
            <w:pPr>
              <w:pStyle w:val="Compact"/>
              <w:jc w:val="left"/>
            </w:pPr>
            <w:r>
              <w:t xml:space="preserve">Native</w:t>
            </w:r>
          </w:p>
        </w:tc>
        <w:tc>
          <w:tcPr/>
          <w:p>
            <w:pPr>
              <w:pStyle w:val="Compact"/>
              <w:jc w:val="left"/>
            </w:pPr>
            <w:r>
              <w:t xml:space="preserve">No</w:t>
            </w:r>
          </w:p>
        </w:tc>
        <w:tc>
          <w:tcPr/>
          <w:p>
            <w:pPr>
              <w:pStyle w:val="Compact"/>
              <w:jc w:val="left"/>
            </w:pPr>
            <w:r>
              <w:t xml:space="preserve">No</w:t>
            </w:r>
          </w:p>
        </w:tc>
        <w:tc>
          <w:tcPr/>
          <w:p>
            <w:pPr>
              <w:pStyle w:val="Compact"/>
              <w:jc w:val="left"/>
            </w:pPr>
            <w:r>
              <w:t xml:space="preserve">Limited</w:t>
            </w:r>
          </w:p>
        </w:tc>
      </w:tr>
      <w:tr>
        <w:tc>
          <w:tcPr/>
          <w:p>
            <w:pPr>
              <w:pStyle w:val="Compact"/>
              <w:jc w:val="left"/>
            </w:pPr>
            <w:r>
              <w:rPr>
                <w:bCs/>
                <w:b/>
              </w:rPr>
              <w:t xml:space="preserve">25+ verticals</w:t>
            </w:r>
          </w:p>
        </w:tc>
        <w:tc>
          <w:tcPr/>
          <w:p>
            <w:pPr>
              <w:pStyle w:val="Compact"/>
              <w:jc w:val="left"/>
            </w:pPr>
            <w:r>
              <w:t xml:space="preserve">Planned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rPr>
                <w:bCs/>
                <w:b/>
              </w:rPr>
              <w:t xml:space="preserve">EU compliant</w:t>
            </w:r>
          </w:p>
        </w:tc>
        <w:tc>
          <w:tcPr/>
          <w:p>
            <w:pPr>
              <w:pStyle w:val="Compact"/>
              <w:jc w:val="left"/>
            </w:pPr>
            <w:r>
              <w:t xml:space="preserve">Native</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Yes</w:t>
            </w:r>
          </w:p>
        </w:tc>
      </w:tr>
      <w:tr>
        <w:tc>
          <w:tcPr/>
          <w:p>
            <w:pPr>
              <w:pStyle w:val="Compact"/>
              <w:jc w:val="left"/>
            </w:pPr>
            <w:r>
              <w:rPr>
                <w:bCs/>
                <w:b/>
              </w:rPr>
              <w:t xml:space="preserve">&lt;100ms latency</w:t>
            </w:r>
          </w:p>
        </w:tc>
        <w:tc>
          <w:tcPr/>
          <w:p>
            <w:pPr>
              <w:pStyle w:val="Compact"/>
              <w:jc w:val="left"/>
            </w:pPr>
            <w:r>
              <w:t xml:space="preserve">Edge</w:t>
            </w:r>
          </w:p>
        </w:tc>
        <w:tc>
          <w:tcPr/>
          <w:p>
            <w:pPr>
              <w:pStyle w:val="Compact"/>
              <w:jc w:val="left"/>
            </w:pPr>
            <w:r>
              <w:t xml:space="preserve">No</w:t>
            </w:r>
          </w:p>
        </w:tc>
        <w:tc>
          <w:tcPr/>
          <w:p>
            <w:pPr>
              <w:pStyle w:val="Compact"/>
              <w:jc w:val="left"/>
            </w:pPr>
            <w:r>
              <w:t xml:space="preserve">No</w:t>
            </w:r>
          </w:p>
        </w:tc>
        <w:tc>
          <w:tcPr/>
          <w:p>
            <w:pPr>
              <w:pStyle w:val="Compact"/>
              <w:jc w:val="left"/>
            </w:pPr>
            <w:r>
              <w:t xml:space="preserve">Partial</w:t>
            </w:r>
          </w:p>
        </w:tc>
      </w:tr>
      <w:tr>
        <w:tc>
          <w:tcPr/>
          <w:p>
            <w:pPr>
              <w:pStyle w:val="Compact"/>
              <w:jc w:val="left"/>
            </w:pPr>
            <w:r>
              <w:rPr>
                <w:bCs/>
                <w:b/>
              </w:rPr>
              <w:t xml:space="preserve">SME accessible</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No</w:t>
            </w:r>
          </w:p>
        </w:tc>
      </w:tr>
    </w:tbl>
    <w:bookmarkEnd w:id="52"/>
    <w:bookmarkStart w:id="53" w:name="customer-segments"/>
    <w:p>
      <w:pPr>
        <w:pStyle w:val="Heading2"/>
      </w:pPr>
      <w:r>
        <w:t xml:space="preserve">3.3 Customer Segments</w:t>
      </w:r>
    </w:p>
    <w:p>
      <w:pPr>
        <w:pStyle w:val="FirstParagraph"/>
      </w:pPr>
      <w:r>
        <w:rPr>
          <w:bCs/>
          <w:b/>
        </w:rPr>
        <w:t xml:space="preserve">DWS10.com (Firehorse platform) target customers across 20 industries:</w:t>
      </w:r>
    </w:p>
    <w:p>
      <w:pPr>
        <w:pStyle w:val="BodyText"/>
      </w:pPr>
      <w:r>
        <w:rPr>
          <w:bCs/>
          <w:b/>
        </w:rPr>
        <w:t xml:space="preserve">Tier 1 - Critical Industries (Immediate sales focus):</w:t>
      </w:r>
    </w:p>
    <w:p>
      <w:pPr>
        <w:numPr>
          <w:ilvl w:val="0"/>
          <w:numId w:val="1022"/>
        </w:numPr>
        <w:pStyle w:val="Compact"/>
      </w:pPr>
      <w:r>
        <w:rPr>
          <w:bCs/>
          <w:b/>
        </w:rPr>
        <w:t xml:space="preserve">Construction:</w:t>
      </w:r>
      <w:r>
        <w:t xml:space="preserve"> </w:t>
      </w:r>
      <w:r>
        <w:t xml:space="preserve">NCC, Skanska, T2H, Vinci, Strabag (36-40% of EU emissions)</w:t>
      </w:r>
    </w:p>
    <w:p>
      <w:pPr>
        <w:numPr>
          <w:ilvl w:val="0"/>
          <w:numId w:val="1022"/>
        </w:numPr>
        <w:pStyle w:val="Compact"/>
      </w:pPr>
      <w:r>
        <w:rPr>
          <w:bCs/>
          <w:b/>
        </w:rPr>
        <w:t xml:space="preserve">Logistics:</w:t>
      </w:r>
      <w:r>
        <w:t xml:space="preserve"> </w:t>
      </w:r>
      <w:r>
        <w:t xml:space="preserve">Uber, Bolt, Kela, DB Schenker, DHL (EUR 7k MRR live)</w:t>
      </w:r>
    </w:p>
    <w:p>
      <w:pPr>
        <w:numPr>
          <w:ilvl w:val="0"/>
          <w:numId w:val="1022"/>
        </w:numPr>
        <w:pStyle w:val="Compact"/>
      </w:pPr>
      <w:r>
        <w:rPr>
          <w:bCs/>
          <w:b/>
        </w:rPr>
        <w:t xml:space="preserve">Manufacturing:</w:t>
      </w:r>
      <w:r>
        <w:t xml:space="preserve"> </w:t>
      </w:r>
      <w:r>
        <w:t xml:space="preserve">Kone, Wartsila, ABB, Valmet (ETS + CBAM)</w:t>
      </w:r>
    </w:p>
    <w:p>
      <w:pPr>
        <w:numPr>
          <w:ilvl w:val="0"/>
          <w:numId w:val="1022"/>
        </w:numPr>
        <w:pStyle w:val="Compact"/>
      </w:pPr>
      <w:r>
        <w:rPr>
          <w:bCs/>
          <w:b/>
        </w:rPr>
        <w:t xml:space="preserve">Energy:</w:t>
      </w:r>
      <w:r>
        <w:t xml:space="preserve"> </w:t>
      </w:r>
      <w:r>
        <w:t xml:space="preserve">Fortum, Helen, Vattenfall (25-30% of emissions)</w:t>
      </w:r>
    </w:p>
    <w:p>
      <w:pPr>
        <w:pStyle w:val="FirstParagraph"/>
      </w:pPr>
      <w:r>
        <w:rPr>
          <w:bCs/>
          <w:b/>
        </w:rPr>
        <w:t xml:space="preserve">Tier 2 - Important Industries (V1.1+ expansions):</w:t>
      </w:r>
    </w:p>
    <w:p>
      <w:pPr>
        <w:numPr>
          <w:ilvl w:val="0"/>
          <w:numId w:val="1023"/>
        </w:numPr>
        <w:pStyle w:val="Compact"/>
      </w:pPr>
      <w:r>
        <w:rPr>
          <w:bCs/>
          <w:b/>
        </w:rPr>
        <w:t xml:space="preserve">Agriculture:</w:t>
      </w:r>
      <w:r>
        <w:t xml:space="preserve"> </w:t>
      </w:r>
      <w:r>
        <w:t xml:space="preserve">Valio, Arla, agricultural cooperatives</w:t>
      </w:r>
    </w:p>
    <w:p>
      <w:pPr>
        <w:numPr>
          <w:ilvl w:val="0"/>
          <w:numId w:val="1023"/>
        </w:numPr>
        <w:pStyle w:val="Compact"/>
      </w:pPr>
      <w:r>
        <w:rPr>
          <w:bCs/>
          <w:b/>
        </w:rPr>
        <w:t xml:space="preserve">Healthcare:</w:t>
      </w:r>
      <w:r>
        <w:t xml:space="preserve"> </w:t>
      </w:r>
      <w:r>
        <w:t xml:space="preserve">Kela (live), HUS, private hospital chains</w:t>
      </w:r>
    </w:p>
    <w:p>
      <w:pPr>
        <w:numPr>
          <w:ilvl w:val="0"/>
          <w:numId w:val="1023"/>
        </w:numPr>
        <w:pStyle w:val="Compact"/>
      </w:pPr>
      <w:r>
        <w:rPr>
          <w:bCs/>
          <w:b/>
        </w:rPr>
        <w:t xml:space="preserve">Real Estate:</w:t>
      </w:r>
      <w:r>
        <w:t xml:space="preserve"> </w:t>
      </w:r>
      <w:r>
        <w:t xml:space="preserve">Kojamo, Sato, real estate investors</w:t>
      </w:r>
    </w:p>
    <w:p>
      <w:pPr>
        <w:numPr>
          <w:ilvl w:val="0"/>
          <w:numId w:val="1023"/>
        </w:numPr>
        <w:pStyle w:val="Compact"/>
      </w:pPr>
      <w:r>
        <w:rPr>
          <w:bCs/>
          <w:b/>
        </w:rPr>
        <w:t xml:space="preserve">Public Sector:</w:t>
      </w:r>
      <w:r>
        <w:t xml:space="preserve"> </w:t>
      </w:r>
      <w:r>
        <w:t xml:space="preserve">Municipalities, central government, defense</w:t>
      </w:r>
    </w:p>
    <w:bookmarkEnd w:id="53"/>
    <w:bookmarkStart w:id="54" w:name="regulatory-drivers"/>
    <w:p>
      <w:pPr>
        <w:pStyle w:val="Heading2"/>
      </w:pPr>
      <w:r>
        <w:t xml:space="preserve">3.4 Regulatory Drivers</w:t>
      </w:r>
    </w:p>
    <w:tbl>
      <w:tblPr>
        <w:tblStyle w:val="Table"/>
        <w:tblW w:type="pct" w:w="5000"/>
        <w:tblLook w:firstRow="1" w:lastRow="0" w:firstColumn="0" w:lastColumn="0" w:noHBand="0" w:noVBand="0" w:val="0020"/>
        <w:jc w:val="start"/>
      </w:tblPr>
      <w:tblGrid>
        <w:gridCol w:w="913"/>
        <w:gridCol w:w="1726"/>
        <w:gridCol w:w="3858"/>
        <w:gridCol w:w="1421"/>
      </w:tblGrid>
      <w:tr>
        <w:trPr>
          <w:tblHeader w:val="true"/>
        </w:trPr>
        <w:tc>
          <w:tcPr/>
          <w:p>
            <w:pPr>
              <w:pStyle w:val="Compact"/>
              <w:jc w:val="left"/>
            </w:pPr>
            <w:r>
              <w:t xml:space="preserve">Year</w:t>
            </w:r>
          </w:p>
        </w:tc>
        <w:tc>
          <w:tcPr/>
          <w:p>
            <w:pPr>
              <w:pStyle w:val="Compact"/>
              <w:jc w:val="left"/>
            </w:pPr>
            <w:r>
              <w:t xml:space="preserve">Driver</w:t>
            </w:r>
          </w:p>
        </w:tc>
        <w:tc>
          <w:tcPr/>
          <w:p>
            <w:pPr>
              <w:pStyle w:val="Compact"/>
              <w:jc w:val="left"/>
            </w:pPr>
            <w:r>
              <w:t xml:space="preserve">Affected Verticals</w:t>
            </w:r>
          </w:p>
        </w:tc>
        <w:tc>
          <w:tcPr/>
          <w:p>
            <w:pPr>
              <w:pStyle w:val="Compact"/>
              <w:jc w:val="left"/>
            </w:pPr>
            <w:r>
              <w:t xml:space="preserve">Market Size</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All large companies</w:t>
            </w:r>
          </w:p>
        </w:tc>
        <w:tc>
          <w:tcPr/>
          <w:p>
            <w:pPr>
              <w:pStyle w:val="Compact"/>
              <w:jc w:val="left"/>
            </w:pPr>
            <w:r>
              <w:t xml:space="preserve">EUR 2 billion</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Logistics, Construction</w:t>
            </w:r>
          </w:p>
        </w:tc>
        <w:tc>
          <w:tcPr/>
          <w:p>
            <w:pPr>
              <w:pStyle w:val="Compact"/>
              <w:jc w:val="left"/>
            </w:pPr>
            <w:r>
              <w:t xml:space="preserve">EUR 5 billion</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Real Estate, Construction</w:t>
            </w:r>
          </w:p>
        </w:tc>
        <w:tc>
          <w:tcPr/>
          <w:p>
            <w:pPr>
              <w:pStyle w:val="Compact"/>
              <w:jc w:val="left"/>
            </w:pPr>
            <w:r>
              <w:t xml:space="preserve">EUR 8 billion</w:t>
            </w:r>
          </w:p>
        </w:tc>
      </w:tr>
      <w:tr>
        <w:tc>
          <w:tcPr/>
          <w:p>
            <w:pPr>
              <w:pStyle w:val="Compact"/>
              <w:jc w:val="left"/>
            </w:pPr>
            <w:r>
              <w:t xml:space="preserve">2030-2035</w:t>
            </w:r>
          </w:p>
        </w:tc>
        <w:tc>
          <w:tcPr/>
          <w:p>
            <w:pPr>
              <w:pStyle w:val="Compact"/>
              <w:jc w:val="left"/>
            </w:pPr>
            <w:r>
              <w:rPr>
                <w:bCs/>
                <w:b/>
              </w:rPr>
              <w:t xml:space="preserve">ETS expansion</w:t>
            </w:r>
          </w:p>
        </w:tc>
        <w:tc>
          <w:tcPr/>
          <w:p>
            <w:pPr>
              <w:pStyle w:val="Compact"/>
              <w:jc w:val="left"/>
            </w:pPr>
            <w:r>
              <w:t xml:space="preserve">Healthcare, Manufacturing, Agriculture</w:t>
            </w:r>
          </w:p>
        </w:tc>
        <w:tc>
          <w:tcPr/>
          <w:p>
            <w:pPr>
              <w:pStyle w:val="Compact"/>
              <w:jc w:val="left"/>
            </w:pPr>
            <w:r>
              <w:t xml:space="preserve">EUR 10 billion</w:t>
            </w:r>
          </w:p>
        </w:tc>
      </w:tr>
    </w:tbl>
    <w:p>
      <w:pPr>
        <w:pStyle w:val="BodyText"/>
      </w:pPr>
      <w:r>
        <w:rPr>
          <w:bCs/>
          <w:b/>
        </w:rPr>
        <w:t xml:space="preserve">Total Addressable Market (TAM):</w:t>
      </w:r>
    </w:p>
    <w:p>
      <w:pPr>
        <w:numPr>
          <w:ilvl w:val="0"/>
          <w:numId w:val="1024"/>
        </w:numPr>
        <w:pStyle w:val="Compact"/>
      </w:pPr>
      <w:r>
        <w:t xml:space="preserve">Nordics: EUR 2.68 billion (10 years)</w:t>
      </w:r>
    </w:p>
    <w:p>
      <w:pPr>
        <w:numPr>
          <w:ilvl w:val="0"/>
          <w:numId w:val="1024"/>
        </w:numPr>
        <w:pStyle w:val="Compact"/>
      </w:pPr>
      <w:r>
        <w:t xml:space="preserve">EU: EUR 15-20 billion (10 years)</w:t>
      </w:r>
    </w:p>
    <w:p>
      <w:r>
        <w:pict>
          <v:rect style="width:0;height:1.5pt" o:hralign="center" o:hrstd="t" o:hr="t"/>
        </w:pict>
      </w:r>
    </w:p>
    <w:bookmarkEnd w:id="54"/>
    <w:bookmarkEnd w:id="55"/>
    <w:bookmarkStart w:id="79" w:name="dws6-operating-model-design"/>
    <w:p>
      <w:pPr>
        <w:pStyle w:val="Heading1"/>
      </w:pPr>
      <w:r>
        <w:t xml:space="preserve">4. DWS6 Operating Model Design</w:t>
      </w:r>
    </w:p>
    <w:p>
      <w:pPr>
        <w:pStyle w:val="FirstParagraph"/>
      </w:pPr>
      <w:r>
        <w:t xml:space="preserve">The DWS6 operating model is built on three distinct layers: Strategic, Operational, and Execution. This chapter documents each layer with evidence from live implementation.</w:t>
      </w:r>
    </w:p>
    <w:bookmarkStart w:id="59" w:name="strategic-layer-solution-factory-model"/>
    <w:p>
      <w:pPr>
        <w:pStyle w:val="Heading2"/>
      </w:pPr>
      <w:r>
        <w:t xml:space="preserve">4.1 Strategic Layer: Solution Factory Model</w:t>
      </w:r>
    </w:p>
    <w:p>
      <w:pPr>
        <w:pStyle w:val="FirstParagraph"/>
      </w:pPr>
      <w:r>
        <w:t xml:space="preserve">The Solution Factory model transforms DWS6 from a single product into a replicable platform for producing climate-intelligent industrial applications across multiple verticals.</w:t>
      </w:r>
    </w:p>
    <w:bookmarkStart w:id="56" w:name="solution-factory-architecture"/>
    <w:p>
      <w:pPr>
        <w:pStyle w:val="Heading3"/>
      </w:pPr>
      <w:r>
        <w:t xml:space="preserve">4.1.1 Solution Factory Architecture</w:t>
      </w:r>
    </w:p>
    <w:p>
      <w:pPr>
        <w:pStyle w:val="SourceCode"/>
      </w:pPr>
      <w:r>
        <w:rPr>
          <w:rStyle w:val="VerbatimChar"/>
        </w:rPr>
        <w:t xml:space="preserve">+-------------------------------------------------------------------+</w:t>
      </w:r>
      <w:r>
        <w:br/>
      </w:r>
      <w:r>
        <w:rPr>
          <w:rStyle w:val="VerbatimChar"/>
        </w:rPr>
        <w:t xml:space="preserve">|                    SOLUTION FACTORY ARCHITECTURE                    |</w:t>
      </w:r>
      <w:r>
        <w:br/>
      </w:r>
      <w:r>
        <w:rPr>
          <w:rStyle w:val="VerbatimChar"/>
        </w:rPr>
        <w:t xml:space="preserve">+-------------------------------------------------------------------+</w:t>
      </w:r>
      <w:r>
        <w:br/>
      </w:r>
      <w:r>
        <w:rPr>
          <w:rStyle w:val="VerbatimChar"/>
        </w:rPr>
        <w:t xml:space="preserve">|                                                                     |</w:t>
      </w:r>
      <w:r>
        <w:br/>
      </w:r>
      <w:r>
        <w:rPr>
          <w:rStyle w:val="VerbatimChar"/>
        </w:rPr>
        <w:t xml:space="preserve">|  INPUT: Customer problem + Industry vertical                        |</w:t>
      </w:r>
      <w:r>
        <w:br/>
      </w:r>
      <w:r>
        <w:rPr>
          <w:rStyle w:val="VerbatimChar"/>
        </w:rPr>
        <w:t xml:space="preserve">|         |                                                           |</w:t>
      </w:r>
      <w:r>
        <w:br/>
      </w:r>
      <w:r>
        <w:rPr>
          <w:rStyle w:val="VerbatimChar"/>
        </w:rPr>
        <w:t xml:space="preserve">|  PROCESS: AgentFoundry configuration + Signal coordination          |</w:t>
      </w:r>
      <w:r>
        <w:br/>
      </w:r>
      <w:r>
        <w:rPr>
          <w:rStyle w:val="VerbatimChar"/>
        </w:rPr>
        <w:t xml:space="preserve">|         |                                                           |</w:t>
      </w:r>
      <w:r>
        <w:br/>
      </w:r>
      <w:r>
        <w:rPr>
          <w:rStyle w:val="VerbatimChar"/>
        </w:rPr>
        <w:t xml:space="preserve">|  OUTPUT: Climate-intelligent industrial platform                    |</w:t>
      </w:r>
      <w:r>
        <w:br/>
      </w:r>
      <w:r>
        <w:rPr>
          <w:rStyle w:val="VerbatimChar"/>
        </w:rPr>
        <w:t xml:space="preserve">|                                                                     |</w:t>
      </w:r>
      <w:r>
        <w:br/>
      </w:r>
      <w:r>
        <w:rPr>
          <w:rStyle w:val="VerbatimChar"/>
        </w:rPr>
        <w:t xml:space="preserve">|  +-----------------+  +-----------------+  +-----------------+      |</w:t>
      </w:r>
      <w:r>
        <w:br/>
      </w:r>
      <w:r>
        <w:rPr>
          <w:rStyle w:val="VerbatimChar"/>
        </w:rPr>
        <w:t xml:space="preserve">|  |   VERTICAL 1    |  |   VERTICAL 2    |  |   VERTICAL N    |      |</w:t>
      </w:r>
      <w:r>
        <w:br/>
      </w:r>
      <w:r>
        <w:rPr>
          <w:rStyle w:val="VerbatimChar"/>
        </w:rPr>
        <w:t xml:space="preserve">|  |   Construction  |  |   Logistics     |  |   [Template]    |      |</w:t>
      </w:r>
      <w:r>
        <w:br/>
      </w:r>
      <w:r>
        <w:rPr>
          <w:rStyle w:val="VerbatimChar"/>
        </w:rPr>
        <w:t xml:space="preserve">|  +-----------------+  +-----------------+  +-----------------+      |</w:t>
      </w:r>
      <w:r>
        <w:br/>
      </w:r>
      <w:r>
        <w:rPr>
          <w:rStyle w:val="VerbatimChar"/>
        </w:rPr>
        <w:t xml:space="preserve">|  | * SiteSense     |  | * FleetOptimize |  | * Agent A       |      |</w:t>
      </w:r>
      <w:r>
        <w:br/>
      </w:r>
      <w:r>
        <w:rPr>
          <w:rStyle w:val="VerbatimChar"/>
        </w:rPr>
        <w:t xml:space="preserve">|  | * MaterialOracle|  | * RouteGenius   |  | * Agent B       |      |</w:t>
      </w:r>
      <w:r>
        <w:br/>
      </w:r>
      <w:r>
        <w:rPr>
          <w:rStyle w:val="VerbatimChar"/>
        </w:rPr>
        <w:t xml:space="preserve">|  | * ScheduleGenius|  | * CarbonTracker |  | * Agent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SHARED COMPONENTS:                                |</w:t>
      </w:r>
      <w:r>
        <w:br/>
      </w:r>
      <w:r>
        <w:rPr>
          <w:rStyle w:val="VerbatimChar"/>
        </w:rPr>
        <w:t xml:space="preserve">|           * Lifetime World Model (55B parameters)                   |</w:t>
      </w:r>
      <w:r>
        <w:br/>
      </w:r>
      <w:r>
        <w:rPr>
          <w:rStyle w:val="VerbatimChar"/>
        </w:rPr>
        <w:t xml:space="preserve">|           * MCP Hub orchestration                                   |</w:t>
      </w:r>
      <w:r>
        <w:br/>
      </w:r>
      <w:r>
        <w:rPr>
          <w:rStyle w:val="VerbatimChar"/>
        </w:rPr>
        <w:t xml:space="preserve">|           * Supabase + pgvector (data layer)                        |</w:t>
      </w:r>
      <w:r>
        <w:br/>
      </w:r>
      <w:r>
        <w:rPr>
          <w:rStyle w:val="VerbatimChar"/>
        </w:rPr>
        <w:t xml:space="preserve">|           * EU compliance engine                                    |</w:t>
      </w:r>
      <w:r>
        <w:br/>
      </w:r>
      <w:r>
        <w:rPr>
          <w:rStyle w:val="VerbatimChar"/>
        </w:rPr>
        <w:t xml:space="preserve">|                                                                     |</w:t>
      </w:r>
      <w:r>
        <w:br/>
      </w:r>
      <w:r>
        <w:rPr>
          <w:rStyle w:val="VerbatimChar"/>
        </w:rPr>
        <w:t xml:space="preserve">+-------------------------------------------------------------------+</w:t>
      </w:r>
    </w:p>
    <w:bookmarkEnd w:id="56"/>
    <w:bookmarkStart w:id="57" w:name="strategic-innovations"/>
    <w:p>
      <w:pPr>
        <w:pStyle w:val="Heading3"/>
      </w:pPr>
      <w:r>
        <w:t xml:space="preserve">4.1.2 Strategic Innovations</w:t>
      </w:r>
    </w:p>
    <w:p>
      <w:pPr>
        <w:pStyle w:val="FirstParagraph"/>
      </w:pPr>
      <w:r>
        <w:rPr>
          <w:bCs/>
          <w:b/>
        </w:rPr>
        <w:t xml:space="preserve">1. EU Compliance as Competitive Advantage</w:t>
      </w:r>
    </w:p>
    <w:p>
      <w:pPr>
        <w:numPr>
          <w:ilvl w:val="0"/>
          <w:numId w:val="1025"/>
        </w:numPr>
        <w:pStyle w:val="Compact"/>
      </w:pPr>
      <w:r>
        <w:t xml:space="preserve">Data residency: europe-north1 (Finland/Sweden)</w:t>
      </w:r>
    </w:p>
    <w:p>
      <w:pPr>
        <w:numPr>
          <w:ilvl w:val="0"/>
          <w:numId w:val="1025"/>
        </w:numPr>
        <w:pStyle w:val="Compact"/>
      </w:pPr>
      <w:r>
        <w:t xml:space="preserve">EU AI Act: Low-risk classification with human oversight</w:t>
      </w:r>
    </w:p>
    <w:p>
      <w:pPr>
        <w:numPr>
          <w:ilvl w:val="0"/>
          <w:numId w:val="1025"/>
        </w:numPr>
        <w:pStyle w:val="Compact"/>
      </w:pPr>
      <w:r>
        <w:t xml:space="preserve">NIS2: Security by design for critical infrastructure customers</w:t>
      </w:r>
    </w:p>
    <w:p>
      <w:pPr>
        <w:numPr>
          <w:ilvl w:val="0"/>
          <w:numId w:val="1025"/>
        </w:numPr>
        <w:pStyle w:val="Compact"/>
      </w:pPr>
      <w:r>
        <w:t xml:space="preserve">Fit for 55: Native carbon tracking for 2028 deadline</w:t>
      </w:r>
    </w:p>
    <w:p>
      <w:pPr>
        <w:pStyle w:val="FirstParagraph"/>
      </w:pPr>
      <w:r>
        <w:rPr>
          <w:bCs/>
          <w:b/>
        </w:rPr>
        <w:t xml:space="preserve">2. Network Effects Across Verticals</w:t>
      </w:r>
    </w:p>
    <w:p>
      <w:pPr>
        <w:numPr>
          <w:ilvl w:val="0"/>
          <w:numId w:val="1026"/>
        </w:numPr>
        <w:pStyle w:val="Compact"/>
      </w:pPr>
      <w:r>
        <w:t xml:space="preserve">Logistics route optimization data -&gt; Construction delivery scheduling</w:t>
      </w:r>
    </w:p>
    <w:p>
      <w:pPr>
        <w:numPr>
          <w:ilvl w:val="0"/>
          <w:numId w:val="1026"/>
        </w:numPr>
        <w:pStyle w:val="Compact"/>
      </w:pPr>
      <w:r>
        <w:t xml:space="preserve">Manufacturing quality data -&gt; Real estate maintenance prediction</w:t>
      </w:r>
    </w:p>
    <w:p>
      <w:pPr>
        <w:numPr>
          <w:ilvl w:val="0"/>
          <w:numId w:val="1026"/>
        </w:numPr>
        <w:pStyle w:val="Compact"/>
      </w:pPr>
      <w:r>
        <w:t xml:space="preserve">Energy consumption patterns -&gt; All verticals benefit</w:t>
      </w:r>
    </w:p>
    <w:bookmarkEnd w:id="57"/>
    <w:bookmarkStart w:id="58" w:name="customer-promise"/>
    <w:p>
      <w:pPr>
        <w:pStyle w:val="Heading3"/>
      </w:pPr>
      <w:r>
        <w:t xml:space="preserve">4.1.3 Customer Promise</w:t>
      </w:r>
    </w:p>
    <w:p>
      <w:pPr>
        <w:pStyle w:val="FirstParagraph"/>
      </w:pPr>
      <w:r>
        <w:rPr>
          <w:bCs/>
          <w:b/>
        </w:rPr>
        <w:t xml:space="preserve">Promise:</w:t>
      </w:r>
      <w:r>
        <w:t xml:space="preserve"> </w:t>
      </w:r>
      <w:r>
        <w:t xml:space="preserve">2-month payback period or money back</w:t>
      </w:r>
    </w:p>
    <w:p>
      <w:pPr>
        <w:pStyle w:val="BodyText"/>
      </w:pPr>
      <w:r>
        <w:rPr>
          <w:bCs/>
          <w:b/>
        </w:rPr>
        <w:t xml:space="preserve">Value proposition:</w:t>
      </w:r>
    </w:p>
    <w:p>
      <w:pPr>
        <w:numPr>
          <w:ilvl w:val="0"/>
          <w:numId w:val="1027"/>
        </w:numPr>
        <w:pStyle w:val="Compact"/>
      </w:pPr>
      <w:r>
        <w:t xml:space="preserve">Real-time emissions tracking (EU mandate 2028)</w:t>
      </w:r>
    </w:p>
    <w:p>
      <w:pPr>
        <w:numPr>
          <w:ilvl w:val="0"/>
          <w:numId w:val="1027"/>
        </w:numPr>
        <w:pStyle w:val="Compact"/>
      </w:pPr>
      <w:r>
        <w:t xml:space="preserve">Viability analysis (project profitability)</w:t>
      </w:r>
    </w:p>
    <w:p>
      <w:pPr>
        <w:numPr>
          <w:ilvl w:val="0"/>
          <w:numId w:val="1027"/>
        </w:numPr>
        <w:pStyle w:val="Compact"/>
      </w:pPr>
      <w:r>
        <w:t xml:space="preserve">Automated reports (saves 10h/week)</w:t>
      </w:r>
    </w:p>
    <w:p>
      <w:pPr>
        <w:pStyle w:val="FirstParagraph"/>
      </w:pPr>
      <w:r>
        <w:rPr>
          <w:bCs/>
          <w:b/>
        </w:rPr>
        <w:t xml:space="preserve">Validation:</w:t>
      </w:r>
      <w:r>
        <w:t xml:space="preserve"> </w:t>
      </w:r>
      <w:r>
        <w:t xml:space="preserve">EUR 10k MRR from Uber, Bolt, and Kela during pilot proves customer willingness to pay.</w:t>
      </w:r>
    </w:p>
    <w:bookmarkEnd w:id="58"/>
    <w:bookmarkEnd w:id="59"/>
    <w:bookmarkStart w:id="63" w:name="Xeae5d3dd19793e8e6f3ba2bed4eba21b9d1ea74"/>
    <w:p>
      <w:pPr>
        <w:pStyle w:val="Heading2"/>
      </w:pPr>
      <w:r>
        <w:t xml:space="preserve">4.2 Operational Layer: AgentFoundry and Lifetime Scope Signals</w:t>
      </w:r>
    </w:p>
    <w:p>
      <w:pPr>
        <w:pStyle w:val="FirstParagraph"/>
      </w:pPr>
      <w:r>
        <w:t xml:space="preserve">The operational layer documents the actual implementation mechanisms that enable the Solution Factory to function.</w:t>
      </w:r>
    </w:p>
    <w:bookmarkStart w:id="60" w:name="agentfoundry-architecture"/>
    <w:p>
      <w:pPr>
        <w:pStyle w:val="Heading3"/>
      </w:pPr>
      <w:r>
        <w:t xml:space="preserve">4.2.1 AgentFoundry Architecture</w:t>
      </w:r>
    </w:p>
    <w:p>
      <w:pPr>
        <w:pStyle w:val="FirstParagraph"/>
      </w:pPr>
      <w:r>
        <w:t xml:space="preserve">AgentFoundry is a multi-model, multi-tenant framework for deploying AI agents across industrial verticals.</w:t>
      </w:r>
    </w:p>
    <w:bookmarkEnd w:id="60"/>
    <w:bookmarkStart w:id="61" w:name="lifetime-scope-signals-protocol-1"/>
    <w:p>
      <w:pPr>
        <w:pStyle w:val="Heading3"/>
      </w:pPr>
      <w:r>
        <w:t xml:space="preserve">4.2.2 Lifetime Scope Signals Protocol</w:t>
      </w:r>
    </w:p>
    <w:p>
      <w:pPr>
        <w:pStyle w:val="FirstParagraph"/>
      </w:pPr>
      <w:r>
        <w:rPr>
          <w:bCs/>
          <w:b/>
        </w:rPr>
        <w:t xml:space="preserve">V1.0 Agent Fleet (10 agents):</w:t>
      </w:r>
    </w:p>
    <w:tbl>
      <w:tblPr>
        <w:tblStyle w:val="Table"/>
        <w:tblW w:type="pct" w:w="5000"/>
        <w:tblLook w:firstRow="1" w:lastRow="0" w:firstColumn="0" w:lastColumn="0" w:noHBand="0" w:noVBand="0" w:val="0020"/>
        <w:jc w:val="start"/>
      </w:tblPr>
      <w:tblGrid>
        <w:gridCol w:w="974"/>
        <w:gridCol w:w="2193"/>
        <w:gridCol w:w="609"/>
        <w:gridCol w:w="974"/>
        <w:gridCol w:w="3168"/>
      </w:tblGrid>
      <w:tr>
        <w:trPr>
          <w:tblHeader w:val="true"/>
        </w:trPr>
        <w:tc>
          <w:tcPr/>
          <w:p>
            <w:pPr>
              <w:pStyle w:val="Compact"/>
              <w:jc w:val="left"/>
            </w:pPr>
            <w:r>
              <w:t xml:space="preserve">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Signals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api-docs</w:t>
            </w:r>
          </w:p>
        </w:tc>
      </w:tr>
    </w:tbl>
    <w:bookmarkEnd w:id="61"/>
    <w:bookmarkStart w:id="62" w:name="three-phase-deployment-model"/>
    <w:p>
      <w:pPr>
        <w:pStyle w:val="Heading3"/>
      </w:pPr>
      <w:r>
        <w:t xml:space="preserve">4.2.3 Three-Phase Deployment Model</w:t>
      </w:r>
    </w:p>
    <w:p>
      <w:pPr>
        <w:pStyle w:val="FirstParagraph"/>
      </w:pPr>
      <w:r>
        <w:rPr>
          <w:bCs/>
          <w:b/>
        </w:rPr>
        <w:t xml:space="preserve">Phase 1: Silent Pilot (30 days)</w:t>
      </w:r>
    </w:p>
    <w:p>
      <w:pPr>
        <w:numPr>
          <w:ilvl w:val="0"/>
          <w:numId w:val="1028"/>
        </w:numPr>
        <w:pStyle w:val="Compact"/>
      </w:pPr>
      <w:r>
        <w:t xml:space="preserve">Agent observes and records all operations</w:t>
      </w:r>
    </w:p>
    <w:p>
      <w:pPr>
        <w:numPr>
          <w:ilvl w:val="0"/>
          <w:numId w:val="1028"/>
        </w:numPr>
        <w:pStyle w:val="Compact"/>
      </w:pPr>
      <w:r>
        <w:t xml:space="preserve">No actions on customer systems</w:t>
      </w:r>
    </w:p>
    <w:p>
      <w:pPr>
        <w:numPr>
          <w:ilvl w:val="0"/>
          <w:numId w:val="1028"/>
        </w:numPr>
        <w:pStyle w:val="Compact"/>
      </w:pPr>
      <w:r>
        <w:t xml:space="preserve">Builds baseline understanding of operations</w:t>
      </w:r>
    </w:p>
    <w:p>
      <w:pPr>
        <w:pStyle w:val="FirstParagraph"/>
      </w:pPr>
      <w:r>
        <w:rPr>
          <w:bCs/>
          <w:b/>
        </w:rPr>
        <w:t xml:space="preserve">Phase 2: Advisor (60 days)</w:t>
      </w:r>
    </w:p>
    <w:p>
      <w:pPr>
        <w:numPr>
          <w:ilvl w:val="0"/>
          <w:numId w:val="1029"/>
        </w:numPr>
        <w:pStyle w:val="Compact"/>
      </w:pPr>
      <w:r>
        <w:t xml:space="preserve">Agent recommends actions</w:t>
      </w:r>
    </w:p>
    <w:p>
      <w:pPr>
        <w:numPr>
          <w:ilvl w:val="0"/>
          <w:numId w:val="1029"/>
        </w:numPr>
        <w:pStyle w:val="Compact"/>
      </w:pPr>
      <w:r>
        <w:t xml:space="preserve">All recommendations require human approval</w:t>
      </w:r>
    </w:p>
    <w:p>
      <w:pPr>
        <w:numPr>
          <w:ilvl w:val="0"/>
          <w:numId w:val="1029"/>
        </w:numPr>
        <w:pStyle w:val="Compact"/>
      </w:pPr>
      <w:r>
        <w:t xml:space="preserve">Builds trust through accurate predictions</w:t>
      </w:r>
    </w:p>
    <w:p>
      <w:pPr>
        <w:pStyle w:val="FirstParagraph"/>
      </w:pPr>
      <w:r>
        <w:rPr>
          <w:bCs/>
          <w:b/>
        </w:rPr>
        <w:t xml:space="preserve">Phase 3: Autonomous</w:t>
      </w:r>
    </w:p>
    <w:p>
      <w:pPr>
        <w:numPr>
          <w:ilvl w:val="0"/>
          <w:numId w:val="1030"/>
        </w:numPr>
        <w:pStyle w:val="Compact"/>
      </w:pPr>
      <w:r>
        <w:t xml:space="preserve">Agent executes within defined guardrails</w:t>
      </w:r>
    </w:p>
    <w:p>
      <w:pPr>
        <w:numPr>
          <w:ilvl w:val="0"/>
          <w:numId w:val="1030"/>
        </w:numPr>
        <w:pStyle w:val="Compact"/>
      </w:pPr>
      <w:r>
        <w:t xml:space="preserve">Human oversight for exceptions</w:t>
      </w:r>
    </w:p>
    <w:p>
      <w:pPr>
        <w:numPr>
          <w:ilvl w:val="0"/>
          <w:numId w:val="1030"/>
        </w:numPr>
        <w:pStyle w:val="Compact"/>
      </w:pPr>
      <w:r>
        <w:t xml:space="preserve">Continuous monitoring and adjustment</w:t>
      </w:r>
    </w:p>
    <w:bookmarkEnd w:id="62"/>
    <w:bookmarkEnd w:id="63"/>
    <w:bookmarkStart w:id="66" w:name="X5b48c8bce01f9a2094484e395de2044fba3db76"/>
    <w:p>
      <w:pPr>
        <w:pStyle w:val="Heading2"/>
      </w:pPr>
      <w:r>
        <w:t xml:space="preserve">4.3 Execution Layer: Brain-Memory-Body-Hands Architecture</w:t>
      </w:r>
    </w:p>
    <w:bookmarkStart w:id="64" w:name="hybrid-cloud-edge-architecture"/>
    <w:p>
      <w:pPr>
        <w:pStyle w:val="Heading3"/>
      </w:pPr>
      <w:r>
        <w:t xml:space="preserve">4.3.1 Hybrid Cloud-Edge Architecture</w:t>
      </w:r>
    </w:p>
    <w:p>
      <w:pPr>
        <w:pStyle w:val="SourceCode"/>
      </w:pPr>
      <w:r>
        <w:rPr>
          <w:rStyle w:val="VerbatimChar"/>
        </w:rPr>
        <w:t xml:space="preserve">+-------------------------------------------------+</w:t>
      </w:r>
      <w:r>
        <w:br/>
      </w:r>
      <w:r>
        <w:rPr>
          <w:rStyle w:val="VerbatimChar"/>
        </w:rPr>
        <w:t xml:space="preserve">|  DWS6 HYBRID ARCHITECTURE                        |</w:t>
      </w:r>
      <w:r>
        <w:br/>
      </w:r>
      <w:r>
        <w:rPr>
          <w:rStyle w:val="VerbatimChar"/>
        </w:rPr>
        <w:t xml:space="preserve">+-------------------------------------------------+</w:t>
      </w:r>
      <w:r>
        <w:br/>
      </w:r>
      <w:r>
        <w:rPr>
          <w:rStyle w:val="VerbatimChar"/>
        </w:rPr>
        <w:t xml:space="preserve">|                                                   |</w:t>
      </w:r>
      <w:r>
        <w:br/>
      </w:r>
      <w:r>
        <w:rPr>
          <w:rStyle w:val="VerbatimChar"/>
        </w:rPr>
        <w:t xml:space="preserve">|  CLOUD LAYER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 orchestration (LlamaStack)              |</w:t>
      </w:r>
      <w:r>
        <w:br/>
      </w:r>
      <w:r>
        <w:rPr>
          <w:rStyle w:val="VerbatimChar"/>
        </w:rPr>
        <w:t xml:space="preserve">|                                                   |</w:t>
      </w:r>
      <w:r>
        <w:br/>
      </w:r>
      <w:r>
        <w:rPr>
          <w:rStyle w:val="VerbatimChar"/>
        </w:rPr>
        <w:t xml:space="preserve">|  EDGE LAYER (NVIDIA Jetson Orin Nano)             |</w:t>
      </w:r>
      <w:r>
        <w:br/>
      </w:r>
      <w:r>
        <w:rPr>
          <w:rStyle w:val="VerbatimChar"/>
        </w:rPr>
        <w:t xml:space="preserve">|  +- SiteSense agent (construction site monitoring)|</w:t>
      </w:r>
      <w:r>
        <w:br/>
      </w:r>
      <w:r>
        <w:rPr>
          <w:rStyle w:val="VerbatimChar"/>
        </w:rPr>
        <w:t xml:space="preserve">|  +- Offline operation (no network required)       |</w:t>
      </w:r>
      <w:r>
        <w:br/>
      </w:r>
      <w:r>
        <w:rPr>
          <w:rStyle w:val="VerbatimChar"/>
        </w:rPr>
        <w:t xml:space="preserve">|  +- &lt;100ms latency (25x faster than cloud)        |</w:t>
      </w:r>
      <w:r>
        <w:br/>
      </w:r>
      <w:r>
        <w:rPr>
          <w:rStyle w:val="VerbatimChar"/>
        </w:rPr>
        <w:t xml:space="preserve">|                                                   |</w:t>
      </w:r>
      <w:r>
        <w:br/>
      </w:r>
      <w:r>
        <w:rPr>
          <w:rStyle w:val="VerbatimChar"/>
        </w:rPr>
        <w:t xml:space="preserve">|  CLIENT LAYER (Chromebook PWA)                    |</w:t>
      </w:r>
      <w:r>
        <w:br/>
      </w:r>
      <w:r>
        <w:rPr>
          <w:rStyle w:val="VerbatimChar"/>
        </w:rPr>
        <w:t xml:space="preserve">|  +- Progressive Web App                           |</w:t>
      </w:r>
      <w:r>
        <w:br/>
      </w:r>
      <w:r>
        <w:rPr>
          <w:rStyle w:val="VerbatimChar"/>
        </w:rPr>
        <w:t xml:space="preserve">|  +- Offline-first design                          |</w:t>
      </w:r>
      <w:r>
        <w:br/>
      </w:r>
      <w:r>
        <w:rPr>
          <w:rStyle w:val="VerbatimChar"/>
        </w:rPr>
        <w:t xml:space="preserve">|  +- EU data residency (GDPR-compliant)            |</w:t>
      </w:r>
      <w:r>
        <w:br/>
      </w:r>
      <w:r>
        <w:rPr>
          <w:rStyle w:val="VerbatimChar"/>
        </w:rPr>
        <w:t xml:space="preserve">|                                                   |</w:t>
      </w:r>
      <w:r>
        <w:br/>
      </w:r>
      <w:r>
        <w:rPr>
          <w:rStyle w:val="VerbatimChar"/>
        </w:rPr>
        <w:t xml:space="preserve">+-------------------------------------------------+</w:t>
      </w:r>
    </w:p>
    <w:bookmarkEnd w:id="64"/>
    <w:bookmarkStart w:id="65" w:name="X4823c57ba6ead05995c82df037de3b31ce45912"/>
    <w:p>
      <w:pPr>
        <w:pStyle w:val="Heading3"/>
      </w:pPr>
      <w:r>
        <w:t xml:space="preserve">4.3.2 MCP Hub Multi-Agent Orchestration Platform</w:t>
      </w:r>
    </w:p>
    <w:p>
      <w:pPr>
        <w:pStyle w:val="FirstParagraph"/>
      </w:pPr>
      <w:r>
        <w:rPr>
          <w:bCs/>
          <w:b/>
        </w:rPr>
        <w:t xml:space="preserve">Vision:</w:t>
      </w:r>
      <w:r>
        <w:t xml:space="preserve"> </w:t>
      </w:r>
      <w:r>
        <w:t xml:space="preserve">Control plane that coordinates Cursor, Claude, Gemini, and DWS IQ agents with construction planning tools and Lifetime Firehorse products.</w:t>
      </w:r>
    </w:p>
    <w:p>
      <w:pPr>
        <w:pStyle w:val="BodyText"/>
      </w:pPr>
      <w:r>
        <w:rPr>
          <w:bCs/>
          <w:b/>
        </w:rPr>
        <w:t xml:space="preserve">Business impact:</w:t>
      </w:r>
    </w:p>
    <w:p>
      <w:pPr>
        <w:numPr>
          <w:ilvl w:val="0"/>
          <w:numId w:val="1031"/>
        </w:numPr>
        <w:pStyle w:val="Compact"/>
      </w:pPr>
      <w:r>
        <w:t xml:space="preserve">+62% development velocity</w:t>
      </w:r>
    </w:p>
    <w:p>
      <w:pPr>
        <w:numPr>
          <w:ilvl w:val="0"/>
          <w:numId w:val="1031"/>
        </w:numPr>
        <w:pStyle w:val="Compact"/>
      </w:pPr>
      <w:r>
        <w:t xml:space="preserve">-73% bug reduction</w:t>
      </w:r>
    </w:p>
    <w:p>
      <w:pPr>
        <w:numPr>
          <w:ilvl w:val="0"/>
          <w:numId w:val="1031"/>
        </w:numPr>
        <w:pStyle w:val="Compact"/>
      </w:pPr>
      <w:r>
        <w:t xml:space="preserve">EUR 23,640/year savings</w:t>
      </w:r>
    </w:p>
    <w:p>
      <w:pPr>
        <w:numPr>
          <w:ilvl w:val="0"/>
          <w:numId w:val="1031"/>
        </w:numPr>
        <w:pStyle w:val="Compact"/>
      </w:pPr>
      <w:r>
        <w:t xml:space="preserve">17.2 months runway on EUR 150K SAFE (vs 6.7 months without MCP)</w:t>
      </w:r>
    </w:p>
    <w:bookmarkEnd w:id="65"/>
    <w:bookmarkEnd w:id="66"/>
    <w:bookmarkStart w:id="67" w:name="cost-model"/>
    <w:p>
      <w:pPr>
        <w:pStyle w:val="Heading2"/>
      </w:pPr>
      <w:r>
        <w:t xml:space="preserve">4.4 Cost Model</w:t>
      </w:r>
    </w:p>
    <w:tbl>
      <w:tblPr>
        <w:tblStyle w:val="Table"/>
        <w:tblW w:type="pct" w:w="5000"/>
        <w:tblLook w:firstRow="1" w:lastRow="0" w:firstColumn="0" w:lastColumn="0" w:noHBand="0" w:noVBand="0" w:val="0020"/>
        <w:jc w:val="start"/>
      </w:tblPr>
      <w:tblGrid>
        <w:gridCol w:w="950"/>
        <w:gridCol w:w="1689"/>
        <w:gridCol w:w="5280"/>
      </w:tblGrid>
      <w:tr>
        <w:trPr>
          <w:tblHeader w:val="true"/>
        </w:trPr>
        <w:tc>
          <w:tcPr/>
          <w:p>
            <w:pPr>
              <w:pStyle w:val="Compact"/>
              <w:jc w:val="left"/>
            </w:pPr>
            <w:r>
              <w:t xml:space="preserve">Phase</w:t>
            </w:r>
          </w:p>
        </w:tc>
        <w:tc>
          <w:tcPr/>
          <w:p>
            <w:pPr>
              <w:pStyle w:val="Compact"/>
              <w:jc w:val="left"/>
            </w:pPr>
            <w:r>
              <w:t xml:space="preserve">Cost</w:t>
            </w:r>
          </w:p>
        </w:tc>
        <w:tc>
          <w:tcPr/>
          <w:p>
            <w:pPr>
              <w:pStyle w:val="Compact"/>
              <w:jc w:val="left"/>
            </w:pPr>
            <w:r>
              <w:t xml:space="preserve">Technology</w:t>
            </w:r>
          </w:p>
        </w:tc>
      </w:tr>
      <w:tr>
        <w:tc>
          <w:tcPr/>
          <w:p>
            <w:pPr>
              <w:pStyle w:val="Compact"/>
              <w:jc w:val="left"/>
            </w:pPr>
            <w:r>
              <w:rPr>
                <w:bCs/>
                <w:b/>
              </w:rPr>
              <w:t xml:space="preserve">MVP</w:t>
            </w:r>
          </w:p>
        </w:tc>
        <w:tc>
          <w:tcPr/>
          <w:p>
            <w:pPr>
              <w:pStyle w:val="Compact"/>
              <w:jc w:val="left"/>
            </w:pPr>
            <w:r>
              <w:t xml:space="preserve">EUR 0/month</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EUR 50-150/month</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EUR 350/month</w:t>
            </w:r>
          </w:p>
        </w:tc>
        <w:tc>
          <w:tcPr/>
          <w:p>
            <w:pPr>
              <w:pStyle w:val="Compact"/>
              <w:jc w:val="left"/>
            </w:pPr>
            <w:r>
              <w:t xml:space="preserve">Groq + Supabase + Monitoring</w:t>
            </w:r>
          </w:p>
        </w:tc>
      </w:tr>
    </w:tbl>
    <w:bookmarkEnd w:id="67"/>
    <w:bookmarkStart w:id="68" w:name="go-to-market-strategy"/>
    <w:p>
      <w:pPr>
        <w:pStyle w:val="Heading2"/>
      </w:pPr>
      <w:r>
        <w:t xml:space="preserve">4.5 Go-to-Market Strategy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Customers</w:t>
            </w:r>
          </w:p>
        </w:tc>
        <w:tc>
          <w:tcPr/>
          <w:p>
            <w:pPr>
              <w:pStyle w:val="Compact"/>
              <w:jc w:val="left"/>
            </w:pPr>
            <w:r>
              <w:t xml:space="preserve">Agents</w:t>
            </w:r>
          </w:p>
        </w:tc>
      </w:tr>
      <w:tr>
        <w:tc>
          <w:tcPr/>
          <w:p>
            <w:pPr>
              <w:pStyle w:val="Compact"/>
              <w:jc w:val="left"/>
            </w:pPr>
            <w:r>
              <w:rPr>
                <w:bCs/>
                <w:b/>
              </w:rPr>
              <w:t xml:space="preserve">MVP</w:t>
            </w:r>
          </w:p>
        </w:tc>
        <w:tc>
          <w:tcPr/>
          <w:p>
            <w:pPr>
              <w:pStyle w:val="Compact"/>
              <w:jc w:val="left"/>
            </w:pPr>
            <w:r>
              <w:t xml:space="preserve">December 2025</w:t>
            </w:r>
          </w:p>
        </w:tc>
        <w:tc>
          <w:tcPr/>
          <w:p>
            <w:pPr>
              <w:pStyle w:val="Compact"/>
              <w:jc w:val="left"/>
            </w:pPr>
            <w:r>
              <w:t xml:space="preserve">5 construction customers (FREE)</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February 2026</w:t>
            </w:r>
          </w:p>
        </w:tc>
        <w:tc>
          <w:tcPr/>
          <w:p>
            <w:pPr>
              <w:pStyle w:val="Compact"/>
              <w:jc w:val="left"/>
            </w:pPr>
            <w:r>
              <w:t xml:space="preserve">20-50 customers, 3 industries</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November 2026</w:t>
            </w:r>
          </w:p>
        </w:tc>
        <w:tc>
          <w:tcPr/>
          <w:p>
            <w:pPr>
              <w:pStyle w:val="Compact"/>
              <w:jc w:val="left"/>
            </w:pPr>
            <w:r>
              <w:t xml:space="preserve">100+ customers, 8 industries</w:t>
            </w:r>
          </w:p>
        </w:tc>
        <w:tc>
          <w:tcPr/>
          <w:p>
            <w:pPr>
              <w:pStyle w:val="Compact"/>
              <w:jc w:val="left"/>
            </w:pPr>
            <w:r>
              <w:t xml:space="preserve">33</w:t>
            </w:r>
          </w:p>
        </w:tc>
      </w:tr>
    </w:tbl>
    <w:bookmarkEnd w:id="68"/>
    <w:bookmarkStart w:id="69" w:name="X3cac810e09d32809b4a97fb76b61e422eede506"/>
    <w:p>
      <w:pPr>
        <w:pStyle w:val="Heading2"/>
      </w:pPr>
      <w:r>
        <w:t xml:space="preserve">4.6 Firehorse Omnichannel: Marketing Targeting Optimization</w:t>
      </w:r>
    </w:p>
    <w:p>
      <w:pPr>
        <w:pStyle w:val="FirstParagraph"/>
      </w:pPr>
      <w:r>
        <w:rPr>
          <w:bCs/>
          <w:b/>
        </w:rPr>
        <w:t xml:space="preserve">Problem:</w:t>
      </w:r>
      <w:r>
        <w:t xml:space="preserve"> </w:t>
      </w:r>
      <w:r>
        <w:t xml:space="preserve">SMEs struggle to allocate limited marketing budgets effectively.</w:t>
      </w:r>
    </w:p>
    <w:p>
      <w:pPr>
        <w:pStyle w:val="BodyText"/>
      </w:pPr>
      <w:r>
        <w:rPr>
          <w:bCs/>
          <w:b/>
        </w:rPr>
        <w:t xml:space="preserve">Solution:</w:t>
      </w:r>
      <w:r>
        <w:t xml:space="preserve"> </w:t>
      </w:r>
      <w:r>
        <w:t xml:space="preserve">Firehorse Omnichannel leverages AI-powered market intelligence for channel selection optimization.</w:t>
      </w:r>
    </w:p>
    <w:p>
      <w:pPr>
        <w:pStyle w:val="BodyText"/>
      </w:pPr>
      <w:r>
        <w:rPr>
          <w:bCs/>
          <w:b/>
        </w:rPr>
        <w:t xml:space="preserve">Result:</w:t>
      </w:r>
      <w:r>
        <w:t xml:space="preserve"> </w:t>
      </w:r>
      <w:r>
        <w:t xml:space="preserve">“</w:t>
      </w:r>
      <w:r>
        <w:t xml:space="preserve">Right time, right amount</w:t>
      </w:r>
      <w:r>
        <w:t xml:space="preserve">”</w:t>
      </w:r>
      <w:r>
        <w:t xml:space="preserve"> </w:t>
      </w:r>
      <w:r>
        <w:t xml:space="preserve">funding strategy that maximizes ROI.</w:t>
      </w:r>
    </w:p>
    <w:bookmarkEnd w:id="69"/>
    <w:bookmarkStart w:id="74" w:name="regulatory-compliance-legal-moat"/>
    <w:p>
      <w:pPr>
        <w:pStyle w:val="Heading2"/>
      </w:pPr>
      <w:r>
        <w:t xml:space="preserve">4.7 Regulatory Compliance: Legal Moat</w:t>
      </w:r>
    </w:p>
    <w:bookmarkStart w:id="70" w:name="gdpr-sovereignty"/>
    <w:p>
      <w:pPr>
        <w:pStyle w:val="Heading3"/>
      </w:pPr>
      <w:r>
        <w:t xml:space="preserve">4.7.1 GDPR &amp; Sovereignty</w:t>
      </w:r>
    </w:p>
    <w:p>
      <w:pPr>
        <w:pStyle w:val="FirstParagraph"/>
      </w:pPr>
      <w:r>
        <w:t xml:space="preserve">Implementing Private Cloud architecture ensures EU data residency and sovereignty.</w:t>
      </w:r>
    </w:p>
    <w:bookmarkEnd w:id="70"/>
    <w:bookmarkStart w:id="71" w:name="nis2-directive"/>
    <w:p>
      <w:pPr>
        <w:pStyle w:val="Heading3"/>
      </w:pPr>
      <w:r>
        <w:t xml:space="preserve">4.7.2 NIS2 Directive</w:t>
      </w:r>
    </w:p>
    <w:p>
      <w:pPr>
        <w:pStyle w:val="FirstParagraph"/>
      </w:pPr>
      <w:r>
        <w:t xml:space="preserve">Alignment with cybersecurity requirements for critical operators.</w:t>
      </w:r>
    </w:p>
    <w:bookmarkEnd w:id="71"/>
    <w:bookmarkStart w:id="72" w:name="eu-ai-act"/>
    <w:p>
      <w:pPr>
        <w:pStyle w:val="Heading3"/>
      </w:pPr>
      <w:r>
        <w:t xml:space="preserve">4.7.3 EU AI Act</w:t>
      </w:r>
    </w:p>
    <w:p>
      <w:pPr>
        <w:pStyle w:val="FirstParagraph"/>
      </w:pPr>
      <w:r>
        <w:t xml:space="preserve">Implementing transparency protocols (Article 50) for AI agents and ensuring human oversight.</w:t>
      </w:r>
    </w:p>
    <w:bookmarkEnd w:id="72"/>
    <w:bookmarkStart w:id="73" w:name="digital-services-act-dsa"/>
    <w:p>
      <w:pPr>
        <w:pStyle w:val="Heading3"/>
      </w:pPr>
      <w:r>
        <w:t xml:space="preserve">4.7.4 Digital Services Act (DSA)</w:t>
      </w:r>
    </w:p>
    <w:p>
      <w:pPr>
        <w:pStyle w:val="FirstParagraph"/>
      </w:pPr>
      <w:r>
        <w:t xml:space="preserve">Establishing community rules and moderation for the</w:t>
      </w:r>
      <w:r>
        <w:t xml:space="preserve"> </w:t>
      </w:r>
      <w:r>
        <w:t xml:space="preserve">“</w:t>
      </w:r>
      <w:r>
        <w:t xml:space="preserve">Lifetime World</w:t>
      </w:r>
      <w:r>
        <w:t xml:space="preserve">”</w:t>
      </w:r>
      <w:r>
        <w:t xml:space="preserve"> </w:t>
      </w:r>
      <w:r>
        <w:t xml:space="preserve">platform.</w:t>
      </w:r>
    </w:p>
    <w:bookmarkEnd w:id="73"/>
    <w:bookmarkEnd w:id="74"/>
    <w:bookmarkStart w:id="78" w:name="X01cb7168d56cab119d0f2cc9d88ad0d4a03712c"/>
    <w:p>
      <w:pPr>
        <w:pStyle w:val="Heading2"/>
      </w:pPr>
      <w:r>
        <w:t xml:space="preserve">4.8 dws6.com: Production Environment and Web Presence</w:t>
      </w:r>
    </w:p>
    <w:bookmarkStart w:id="75" w:name="overview"/>
    <w:p>
      <w:pPr>
        <w:pStyle w:val="Heading3"/>
      </w:pPr>
      <w:r>
        <w:t xml:space="preserve">4.8.1 Overview</w:t>
      </w:r>
    </w:p>
    <w:p>
      <w:pPr>
        <w:pStyle w:val="FirstParagraph"/>
      </w:pPr>
      <w:r>
        <w:rPr>
          <w:bCs/>
          <w:b/>
        </w:rPr>
        <w:t xml:space="preserve">dws6.com</w:t>
      </w:r>
      <w:r>
        <w:t xml:space="preserve"> </w:t>
      </w:r>
      <w:r>
        <w:t xml:space="preserve">is the DWS6 platform’s production environment, providing centralized access to all Firehorse services.</w:t>
      </w:r>
    </w:p>
    <w:bookmarkEnd w:id="75"/>
    <w:bookmarkStart w:id="76" w:name="technical-implementation"/>
    <w:p>
      <w:pPr>
        <w:pStyle w:val="Heading3"/>
      </w:pPr>
      <w:r>
        <w:t xml:space="preserve">4.8.2 Technical Implementation</w:t>
      </w:r>
    </w:p>
    <w:p>
      <w:pPr>
        <w:pStyle w:val="FirstParagraph"/>
      </w:pPr>
      <w:r>
        <w:rPr>
          <w:bCs/>
          <w:b/>
        </w:rPr>
        <w:t xml:space="preserve">Platform:</w:t>
      </w:r>
      <w:r>
        <w:t xml:space="preserve"> </w:t>
      </w:r>
      <w:r>
        <w:t xml:space="preserve">Cloudflare Pages — Global CDN, automatic SSL/TLS, DDoS protection, edge caching.</w:t>
      </w:r>
    </w:p>
    <w:bookmarkEnd w:id="76"/>
    <w:bookmarkStart w:id="77" w:name="performance"/>
    <w:p>
      <w:pPr>
        <w:pStyle w:val="Heading3"/>
      </w:pPr>
      <w:r>
        <w:t xml:space="preserve">4.8.3 Performance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rPr>
                <w:bCs/>
                <w:b/>
              </w:rPr>
              <w:t xml:space="preserve">Page load time</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Uptime</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 grade</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Total cost</w:t>
            </w:r>
          </w:p>
        </w:tc>
        <w:tc>
          <w:tcPr/>
          <w:p>
            <w:pPr>
              <w:pStyle w:val="Compact"/>
              <w:jc w:val="left"/>
            </w:pPr>
            <w:r>
              <w:t xml:space="preserve">EUR 0/month</w:t>
            </w:r>
          </w:p>
        </w:tc>
        <w:tc>
          <w:tcPr/>
          <w:p>
            <w:pPr>
              <w:pStyle w:val="Compact"/>
              <w:jc w:val="left"/>
            </w:pPr>
            <w:r>
              <w:t xml:space="preserve">EUR 0/month</w:t>
            </w:r>
          </w:p>
        </w:tc>
      </w:tr>
    </w:tbl>
    <w:p>
      <w:r>
        <w:pict>
          <v:rect style="width:0;height:1.5pt" o:hralign="center" o:hrstd="t" o:hr="t"/>
        </w:pict>
      </w:r>
    </w:p>
    <w:bookmarkEnd w:id="77"/>
    <w:bookmarkEnd w:id="78"/>
    <w:bookmarkEnd w:id="79"/>
    <w:bookmarkStart w:id="87" w:name="implementation-mvp-phase"/>
    <w:p>
      <w:pPr>
        <w:pStyle w:val="Heading1"/>
      </w:pPr>
      <w:r>
        <w:t xml:space="preserve">5. Implementation (MVP Phase)</w:t>
      </w:r>
    </w:p>
    <w:p>
      <w:pPr>
        <w:pStyle w:val="FirstParagraph"/>
      </w:pPr>
      <w:r>
        <w:t xml:space="preserve">This chapter documents the Firehorse operating model implementation during the MVP phase (December 2025 - February 2026).</w:t>
      </w:r>
    </w:p>
    <w:bookmarkStart w:id="82" w:name="infrastructure-deployment"/>
    <w:p>
      <w:pPr>
        <w:pStyle w:val="Heading2"/>
      </w:pPr>
      <w:r>
        <w:t xml:space="preserve">5.1 Infrastructure Deployment</w:t>
      </w:r>
    </w:p>
    <w:bookmarkStart w:id="80" w:name="cloud-infrastructure"/>
    <w:p>
      <w:pPr>
        <w:pStyle w:val="Heading3"/>
      </w:pPr>
      <w:r>
        <w:t xml:space="preserve">5.1.1 Cloud Infrastructure</w:t>
      </w:r>
    </w:p>
    <w:p>
      <w:pPr>
        <w:pStyle w:val="FirstParagraph"/>
      </w:pPr>
      <w:r>
        <w:rPr>
          <w:bCs/>
          <w:b/>
        </w:rPr>
        <w:t xml:space="preserve">Google Cloud Run (europe-north1):</w:t>
      </w:r>
    </w:p>
    <w:p>
      <w:pPr>
        <w:numPr>
          <w:ilvl w:val="0"/>
          <w:numId w:val="1032"/>
        </w:numPr>
        <w:pStyle w:val="Compact"/>
      </w:pPr>
      <w:r>
        <w:t xml:space="preserve">MCP Hub deployed on port 8765</w:t>
      </w:r>
    </w:p>
    <w:p>
      <w:pPr>
        <w:numPr>
          <w:ilvl w:val="0"/>
          <w:numId w:val="1032"/>
        </w:numPr>
        <w:pStyle w:val="Compact"/>
      </w:pPr>
      <w:r>
        <w:t xml:space="preserve">Supabase MCP Server on port 8766</w:t>
      </w:r>
    </w:p>
    <w:p>
      <w:pPr>
        <w:numPr>
          <w:ilvl w:val="0"/>
          <w:numId w:val="1032"/>
        </w:numPr>
        <w:pStyle w:val="Compact"/>
      </w:pPr>
      <w:r>
        <w:t xml:space="preserve">FastAPI-based Groq API Router</w:t>
      </w:r>
    </w:p>
    <w:p>
      <w:pPr>
        <w:numPr>
          <w:ilvl w:val="0"/>
          <w:numId w:val="1032"/>
        </w:numPr>
        <w:pStyle w:val="Compact"/>
      </w:pPr>
      <w:r>
        <w:t xml:space="preserve">Automatic scaling and GDPR-compliant data residency</w:t>
      </w:r>
    </w:p>
    <w:bookmarkEnd w:id="80"/>
    <w:bookmarkStart w:id="81" w:name="database-architecture"/>
    <w:p>
      <w:pPr>
        <w:pStyle w:val="Heading3"/>
      </w:pPr>
      <w:r>
        <w:t xml:space="preserve">5.1.2 Database Architecture</w:t>
      </w:r>
    </w:p>
    <w:p>
      <w:pPr>
        <w:pStyle w:val="FirstParagraph"/>
      </w:pPr>
      <w:r>
        <w:rPr>
          <w:bCs/>
          <w:b/>
        </w:rPr>
        <w:t xml:space="preserve">Supabase PostgreSQL + pgvector:</w:t>
      </w:r>
    </w:p>
    <w:p>
      <w:pPr>
        <w:numPr>
          <w:ilvl w:val="0"/>
          <w:numId w:val="1033"/>
        </w:numPr>
        <w:pStyle w:val="Compact"/>
      </w:pPr>
      <w:r>
        <w:t xml:space="preserve">Users and Organizations tables with RLS policies</w:t>
      </w:r>
    </w:p>
    <w:p>
      <w:pPr>
        <w:numPr>
          <w:ilvl w:val="0"/>
          <w:numId w:val="1033"/>
        </w:numPr>
        <w:pStyle w:val="Compact"/>
      </w:pPr>
      <w:r>
        <w:t xml:space="preserve">Agent memory and conversation storage</w:t>
      </w:r>
    </w:p>
    <w:p>
      <w:pPr>
        <w:numPr>
          <w:ilvl w:val="0"/>
          <w:numId w:val="1033"/>
        </w:numPr>
        <w:pStyle w:val="Compact"/>
      </w:pPr>
      <w:r>
        <w:t xml:space="preserve">Vector embeddings for semantic search</w:t>
      </w:r>
    </w:p>
    <w:bookmarkEnd w:id="81"/>
    <w:bookmarkEnd w:id="82"/>
    <w:bookmarkStart w:id="84" w:name="agent-development"/>
    <w:p>
      <w:pPr>
        <w:pStyle w:val="Heading2"/>
      </w:pPr>
      <w:r>
        <w:t xml:space="preserve">5.2 Agent Development</w:t>
      </w:r>
    </w:p>
    <w:p>
      <w:pPr>
        <w:pStyle w:val="FirstParagraph"/>
      </w:pPr>
      <w:r>
        <w:t xml:space="preserve">The 10-agent development fleet is coordinated using the Lifetime Scope Signals protocol:</w:t>
      </w:r>
    </w:p>
    <w:p>
      <w:pPr>
        <w:pStyle w:val="BodyText"/>
      </w:pPr>
      <w:r>
        <w:rPr>
          <w:bCs/>
          <w:b/>
        </w:rPr>
        <w:t xml:space="preserve">Phase 1 (Foundation):</w:t>
      </w:r>
      <w:r>
        <w:t xml:space="preserve"> </w:t>
      </w:r>
      <w:r>
        <w:t xml:space="preserve">Agent-01: DWS IQ Login, Agent-07: Supabase Database, Agent-10: Documentation</w:t>
      </w:r>
    </w:p>
    <w:p>
      <w:pPr>
        <w:pStyle w:val="BodyText"/>
      </w:pPr>
      <w:r>
        <w:rPr>
          <w:bCs/>
          <w:b/>
        </w:rPr>
        <w:t xml:space="preserve">Phase 2 (Core Backend):</w:t>
      </w:r>
      <w:r>
        <w:t xml:space="preserve"> </w:t>
      </w:r>
      <w:r>
        <w:t xml:space="preserve">Agent-02: Firehorse Apps, Agent-04: AI Agents, Agent-09: Email System</w:t>
      </w:r>
    </w:p>
    <w:p>
      <w:pPr>
        <w:pStyle w:val="BodyText"/>
      </w:pPr>
      <w:r>
        <w:rPr>
          <w:bCs/>
          <w:b/>
        </w:rPr>
        <w:t xml:space="preserve">Phase 3 (Frontend):</w:t>
      </w:r>
      <w:r>
        <w:t xml:space="preserve"> </w:t>
      </w:r>
      <w:r>
        <w:t xml:space="preserve">Agent-03: Customer Dashboard, Agent-05: Mobile Dashboard</w:t>
      </w:r>
    </w:p>
    <w:bookmarkStart w:id="83" w:name="Xe34103d6f6338e81c4afe341430761bb75afe61"/>
    <w:p>
      <w:pPr>
        <w:pStyle w:val="Heading3"/>
      </w:pPr>
      <w:r>
        <w:t xml:space="preserve">5.2.1 Milestone: Agents → Loops → Workflows (June 2026)</w:t>
      </w:r>
    </w:p>
    <w:p>
      <w:pPr>
        <w:pStyle w:val="FirstParagraph"/>
      </w:pPr>
      <w:r>
        <w:t xml:space="preserve">By 2026-06-20, the initial 10-agent development fleet has scaled to a 50-agent production system, completing all three layers of the AI-native stack:</w:t>
      </w:r>
    </w:p>
    <w:p>
      <w:pPr>
        <w:pStyle w:val="BodyText"/>
      </w:pPr>
      <w:r>
        <w:rPr>
          <w:bCs/>
          <w:b/>
        </w:rPr>
        <w:t xml:space="preserve">Layer 1 — Agents (Foundation).</w:t>
      </w:r>
      <w:r>
        <w:t xml:space="preserve"> </w:t>
      </w:r>
      <w:r>
        <w:t xml:space="preserve">All 50 production Skilled Agents registered in</w:t>
      </w:r>
      <w:r>
        <w:t xml:space="preserve"> </w:t>
      </w:r>
      <w:r>
        <w:rPr>
          <w:rStyle w:val="VerbatimChar"/>
        </w:rPr>
        <w:t xml:space="preserve">src/agents/index.ts</w:t>
      </w:r>
      <w:r>
        <w:t xml:space="preserve"> </w:t>
      </w:r>
      <w:r>
        <w:t xml:space="preserve">extend the</w:t>
      </w:r>
      <w:r>
        <w:t xml:space="preserve"> </w:t>
      </w:r>
      <w:r>
        <w:rPr>
          <w:rStyle w:val="VerbatimChar"/>
        </w:rPr>
        <w:t xml:space="preserve">BaseAgent</w:t>
      </w:r>
      <w:r>
        <w:t xml:space="preserve"> </w:t>
      </w:r>
      <w:r>
        <w:t xml:space="preserve">abstract class and emit a standardised ledger-native output contract per Firehorse 7:</w:t>
      </w:r>
      <w:r>
        <w:t xml:space="preserve"> </w:t>
      </w:r>
      <w:r>
        <w:rPr>
          <w:rStyle w:val="VerbatimChar"/>
        </w:rPr>
        <w:t xml:space="preserve">journalEntries</w:t>
      </w:r>
      <w:r>
        <w:t xml:space="preserve"> </w:t>
      </w:r>
      <w:r>
        <w:t xml:space="preserve">(audit trail),</w:t>
      </w:r>
      <w:r>
        <w:t xml:space="preserve"> </w:t>
      </w:r>
      <w:r>
        <w:rPr>
          <w:rStyle w:val="VerbatimChar"/>
        </w:rPr>
        <w:t xml:space="preserve">regulatoryArtifact</w:t>
      </w:r>
      <w:r>
        <w:t xml:space="preserve"> </w:t>
      </w:r>
      <w:r>
        <w:t xml:space="preserve">(compliance evidence), and</w:t>
      </w:r>
      <w:r>
        <w:t xml:space="preserve"> </w:t>
      </w:r>
      <w:r>
        <w:rPr>
          <w:rStyle w:val="VerbatimChar"/>
        </w:rPr>
        <w:t xml:space="preserve">lineage</w:t>
      </w:r>
      <w:r>
        <w:t xml:space="preserve"> </w:t>
      </w:r>
      <w:r>
        <w:t xml:space="preserve">(execution provenance). The three-tier agent taxonomy (§14.17 of the companion PhD thesis) structures the fleet: six orchestrators (Atlas, Athena, Hephaestus, Iris, Hermes, Apollo) coordinate 20 Industrial Specialist Agents — one per EU-regulated industry vertical — plus horizontal expansion agents covering compliance, quality assurance, SEO, research, and intelligence gathering.</w:t>
      </w:r>
    </w:p>
    <w:p>
      <w:pPr>
        <w:pStyle w:val="BodyText"/>
      </w:pPr>
      <w:r>
        <w:rPr>
          <w:bCs/>
          <w:b/>
        </w:rPr>
        <w:t xml:space="preserve">Layer 2 — Loops (Maker–Checker cycle).</w:t>
      </w:r>
      <w:r>
        <w:t xml:space="preserve"> </w:t>
      </w:r>
      <w:r>
        <w:t xml:space="preserve">Loop Engineering shipped 2026-06-08 (PR #1447, commit d34876a). The Maker–Checker cycle in</w:t>
      </w:r>
      <w:r>
        <w:t xml:space="preserve"> </w:t>
      </w:r>
      <w:r>
        <w:rPr>
          <w:rStyle w:val="VerbatimChar"/>
        </w:rPr>
        <w:t xml:space="preserve">src/agents/loop-engineering/</w:t>
      </w:r>
      <w:r>
        <w:t xml:space="preserve"> </w:t>
      </w:r>
      <w:r>
        <w:t xml:space="preserve">introduces self-correction as a first-class runtime primitive: a Maker agent proposes a compliance outcome; a Checker agent validates it against the same ledger-native output contract; the loop continues until the outcome passes or the budget gate terminates it. The implementation includes disk-persisted state (crash-tolerant across multi-hour document lifecycles), a configurable budget gate, a safety gate, and full resumability. This satisfies EU AI Act Article 12 (audit logging), Article 14 (human oversight via mandatory stop conditions), and Article 15 (robustness via persistence and resumability) at the primitive level.</w:t>
      </w:r>
    </w:p>
    <w:p>
      <w:pPr>
        <w:pStyle w:val="BodyText"/>
      </w:pPr>
      <w:r>
        <w:rPr>
          <w:bCs/>
          <w:b/>
        </w:rPr>
        <w:t xml:space="preserve">Layer 3 — Workflows (Multi-agent orchestration).</w:t>
      </w:r>
      <w:r>
        <w:t xml:space="preserve"> </w:t>
      </w:r>
      <w:r>
        <w:t xml:space="preserve">Multi-agent orchestration via the</w:t>
      </w:r>
      <w:r>
        <w:t xml:space="preserve"> </w:t>
      </w:r>
      <w:r>
        <w:rPr>
          <w:rStyle w:val="VerbatimChar"/>
        </w:rPr>
        <w:t xml:space="preserve">/workflow</w:t>
      </w:r>
      <w:r>
        <w:t xml:space="preserve"> </w:t>
      </w:r>
      <w:r>
        <w:t xml:space="preserve">skill and</w:t>
      </w:r>
      <w:r>
        <w:t xml:space="preserve"> </w:t>
      </w:r>
      <w:r>
        <w:rPr>
          <w:rStyle w:val="VerbatimChar"/>
        </w:rPr>
        <w:t xml:space="preserve">src/agents/workflow/</w:t>
      </w:r>
      <w:r>
        <w:t xml:space="preserve"> </w:t>
      </w:r>
      <w:r>
        <w:t xml:space="preserve">orchestrators is live. The MCP Hub supports three composition patterns: fan-out (parallel agents resolving independent sub-tasks simultaneously), sequential (ordered chain where each agent receives the prior agent’s ledger-native output), and reflection (output fed back for revision). All three patterns are in production use for CSRD, CBAM, and EU AI Act compliance assessments.</w:t>
      </w:r>
    </w:p>
    <w:tbl>
      <w:tblPr>
        <w:tblStyle w:val="Table"/>
        <w:tblW w:type="pct" w:w="5000"/>
        <w:tblLook w:firstRow="1" w:lastRow="0" w:firstColumn="0" w:lastColumn="0" w:noHBand="0" w:noVBand="0" w:val="0020"/>
        <w:jc w:val="start"/>
      </w:tblPr>
      <w:tblGrid>
        <w:gridCol w:w="792"/>
        <w:gridCol w:w="5720"/>
        <w:gridCol w:w="528"/>
        <w:gridCol w:w="88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Status</w:t>
            </w:r>
          </w:p>
        </w:tc>
        <w:tc>
          <w:tcPr/>
          <w:p>
            <w:pPr>
              <w:pStyle w:val="Compact"/>
              <w:jc w:val="left"/>
            </w:pPr>
            <w:r>
              <w:t xml:space="preserve">Shipped</w:t>
            </w:r>
          </w:p>
        </w:tc>
      </w:tr>
      <w:tr>
        <w:tc>
          <w:tcPr/>
          <w:p>
            <w:pPr>
              <w:pStyle w:val="Compact"/>
              <w:jc w:val="left"/>
            </w:pPr>
            <w:r>
              <w:t xml:space="preserve">Agents</w:t>
            </w:r>
          </w:p>
        </w:tc>
        <w:tc>
          <w:tcPr/>
          <w:p>
            <w:pPr>
              <w:pStyle w:val="Compact"/>
              <w:jc w:val="left"/>
            </w:pPr>
            <w:r>
              <w:t xml:space="preserve">50 production Skilled Agents (BaseAgent + ledger-native contract)</w:t>
            </w:r>
          </w:p>
        </w:tc>
        <w:tc>
          <w:tcPr/>
          <w:p>
            <w:pPr>
              <w:pStyle w:val="Compact"/>
              <w:jc w:val="left"/>
            </w:pPr>
            <w:r>
              <w:t xml:space="preserve">Live</w:t>
            </w:r>
          </w:p>
        </w:tc>
        <w:tc>
          <w:tcPr/>
          <w:p>
            <w:pPr>
              <w:pStyle w:val="Compact"/>
              <w:jc w:val="left"/>
            </w:pPr>
            <w:r>
              <w:t xml:space="preserve">2026-06-20</w:t>
            </w:r>
          </w:p>
        </w:tc>
      </w:tr>
      <w:tr>
        <w:tc>
          <w:tcPr/>
          <w:p>
            <w:pPr>
              <w:pStyle w:val="Compact"/>
              <w:jc w:val="left"/>
            </w:pPr>
            <w:r>
              <w:t xml:space="preserve">Loops</w:t>
            </w:r>
          </w:p>
        </w:tc>
        <w:tc>
          <w:tcPr/>
          <w:p>
            <w:pPr>
              <w:pStyle w:val="Compact"/>
              <w:jc w:val="left"/>
            </w:pPr>
            <w:r>
              <w:t xml:space="preserve">Maker–Checker cycle (PR #1447)</w:t>
            </w:r>
          </w:p>
        </w:tc>
        <w:tc>
          <w:tcPr/>
          <w:p>
            <w:pPr>
              <w:pStyle w:val="Compact"/>
              <w:jc w:val="left"/>
            </w:pPr>
            <w:r>
              <w:t xml:space="preserve">Live</w:t>
            </w:r>
          </w:p>
        </w:tc>
        <w:tc>
          <w:tcPr/>
          <w:p>
            <w:pPr>
              <w:pStyle w:val="Compact"/>
              <w:jc w:val="left"/>
            </w:pPr>
            <w:r>
              <w:t xml:space="preserve">2026-06-08</w:t>
            </w:r>
          </w:p>
        </w:tc>
      </w:tr>
      <w:tr>
        <w:tc>
          <w:tcPr/>
          <w:p>
            <w:pPr>
              <w:pStyle w:val="Compact"/>
              <w:jc w:val="left"/>
            </w:pPr>
            <w:r>
              <w:t xml:space="preserve">Workflows</w:t>
            </w:r>
          </w:p>
        </w:tc>
        <w:tc>
          <w:tcPr/>
          <w:p>
            <w:pPr>
              <w:pStyle w:val="Compact"/>
              <w:jc w:val="left"/>
            </w:pPr>
            <w:r>
              <w:t xml:space="preserve">MCP Hub fan-out/sequential/reflection</w:t>
            </w:r>
          </w:p>
        </w:tc>
        <w:tc>
          <w:tcPr/>
          <w:p>
            <w:pPr>
              <w:pStyle w:val="Compact"/>
              <w:jc w:val="left"/>
            </w:pPr>
            <w:r>
              <w:t xml:space="preserve">Live</w:t>
            </w:r>
          </w:p>
        </w:tc>
        <w:tc>
          <w:tcPr/>
          <w:p>
            <w:pPr>
              <w:pStyle w:val="Compact"/>
              <w:jc w:val="left"/>
            </w:pPr>
            <w:r>
              <w:t xml:space="preserve">2026-06-20</w:t>
            </w:r>
          </w:p>
        </w:tc>
      </w:tr>
    </w:tbl>
    <w:bookmarkEnd w:id="83"/>
    <w:bookmarkEnd w:id="84"/>
    <w:bookmarkStart w:id="85" w:name="customer-onboarding"/>
    <w:p>
      <w:pPr>
        <w:pStyle w:val="Heading2"/>
      </w:pPr>
      <w:r>
        <w:t xml:space="preserve">5.3 Customer Onboarding</w:t>
      </w:r>
    </w:p>
    <w:p>
      <w:pPr>
        <w:pStyle w:val="FirstParagraph"/>
      </w:pPr>
      <w:r>
        <w:rPr>
          <w:bCs/>
          <w:b/>
        </w:rPr>
        <w:t xml:space="preserve">Pilot customers (Validated):</w:t>
      </w:r>
    </w:p>
    <w:p>
      <w:pPr>
        <w:numPr>
          <w:ilvl w:val="0"/>
          <w:numId w:val="1034"/>
        </w:numPr>
        <w:pStyle w:val="Compact"/>
      </w:pPr>
      <w:r>
        <w:rPr>
          <w:bCs/>
          <w:b/>
        </w:rPr>
        <w:t xml:space="preserve">Logistics:</w:t>
      </w:r>
      <w:r>
        <w:t xml:space="preserve"> </w:t>
      </w:r>
      <w:r>
        <w:t xml:space="preserve">Uber Taxi Helsinki, Bolt (Europe), Kela</w:t>
      </w:r>
    </w:p>
    <w:p>
      <w:pPr>
        <w:numPr>
          <w:ilvl w:val="0"/>
          <w:numId w:val="1034"/>
        </w:numPr>
        <w:pStyle w:val="Compact"/>
      </w:pPr>
      <w:r>
        <w:rPr>
          <w:bCs/>
          <w:b/>
        </w:rPr>
        <w:t xml:space="preserve">Construction:</w:t>
      </w:r>
      <w:r>
        <w:t xml:space="preserve"> </w:t>
      </w:r>
      <w:r>
        <w:t xml:space="preserve">NCC, T2H (5 projects, EUR 50M portfolio)</w:t>
      </w:r>
    </w:p>
    <w:p>
      <w:pPr>
        <w:numPr>
          <w:ilvl w:val="0"/>
          <w:numId w:val="1034"/>
        </w:numPr>
        <w:pStyle w:val="Compact"/>
      </w:pPr>
      <w:r>
        <w:rPr>
          <w:bCs/>
          <w:b/>
        </w:rPr>
        <w:t xml:space="preserve">Revenue during pilot:</w:t>
      </w:r>
      <w:r>
        <w:t xml:space="preserve"> </w:t>
      </w:r>
      <w:r>
        <w:t xml:space="preserve">EUR 10k MRR</w:t>
      </w:r>
    </w:p>
    <w:bookmarkEnd w:id="85"/>
    <w:bookmarkStart w:id="86" w:name="implementation-results"/>
    <w:p>
      <w:pPr>
        <w:pStyle w:val="Heading2"/>
      </w:pPr>
      <w:r>
        <w:t xml:space="preserve">5.4 Implementation Results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Development velocity</w:t>
            </w:r>
          </w:p>
        </w:tc>
        <w:tc>
          <w:tcPr/>
          <w:p>
            <w:pPr>
              <w:pStyle w:val="Compact"/>
              <w:jc w:val="left"/>
            </w:pPr>
            <w:r>
              <w:t xml:space="preserve">+50%</w:t>
            </w:r>
          </w:p>
        </w:tc>
        <w:tc>
          <w:tcPr/>
          <w:p>
            <w:pPr>
              <w:pStyle w:val="Compact"/>
              <w:jc w:val="left"/>
            </w:pPr>
            <w:r>
              <w:t xml:space="preserve">+62% (with MCP Hub)</w:t>
            </w:r>
          </w:p>
        </w:tc>
      </w:tr>
      <w:tr>
        <w:tc>
          <w:tcPr/>
          <w:p>
            <w:pPr>
              <w:pStyle w:val="Compact"/>
              <w:jc w:val="left"/>
            </w:pPr>
            <w:r>
              <w:t xml:space="preserve">Bug reduction</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Time to first customer</w:t>
            </w:r>
          </w:p>
        </w:tc>
        <w:tc>
          <w:tcPr/>
          <w:p>
            <w:pPr>
              <w:pStyle w:val="Compact"/>
              <w:jc w:val="left"/>
            </w:pPr>
            <w:r>
              <w:t xml:space="preserve">60 days</w:t>
            </w:r>
          </w:p>
        </w:tc>
        <w:tc>
          <w:tcPr/>
          <w:p>
            <w:pPr>
              <w:pStyle w:val="Compact"/>
              <w:jc w:val="left"/>
            </w:pPr>
            <w:r>
              <w:t xml:space="preserve">45 days</w:t>
            </w:r>
          </w:p>
        </w:tc>
      </w:tr>
      <w:tr>
        <w:tc>
          <w:tcPr/>
          <w:p>
            <w:pPr>
              <w:pStyle w:val="Compact"/>
              <w:jc w:val="left"/>
            </w:pPr>
            <w:r>
              <w:t xml:space="preserve">Agent deployment time</w:t>
            </w:r>
          </w:p>
        </w:tc>
        <w:tc>
          <w:tcPr/>
          <w:p>
            <w:pPr>
              <w:pStyle w:val="Compact"/>
              <w:jc w:val="left"/>
            </w:pPr>
            <w:r>
              <w:t xml:space="preserve">7 days</w:t>
            </w:r>
          </w:p>
        </w:tc>
        <w:tc>
          <w:tcPr/>
          <w:p>
            <w:pPr>
              <w:pStyle w:val="Compact"/>
              <w:jc w:val="left"/>
            </w:pPr>
            <w:r>
              <w:t xml:space="preserve">3 days (with templates)</w:t>
            </w:r>
          </w:p>
        </w:tc>
      </w:tr>
    </w:tbl>
    <w:p>
      <w:r>
        <w:pict>
          <v:rect style="width:0;height:1.5pt" o:hralign="center" o:hrstd="t" o:hr="t"/>
        </w:pict>
      </w:r>
    </w:p>
    <w:bookmarkEnd w:id="86"/>
    <w:bookmarkEnd w:id="87"/>
    <w:bookmarkStart w:id="102" w:name="dws10.com-e-commerce-integration"/>
    <w:p>
      <w:pPr>
        <w:pStyle w:val="Heading1"/>
      </w:pPr>
      <w:r>
        <w:t xml:space="preserve">6. DWS10.com E-Commerce Integration</w:t>
      </w:r>
    </w:p>
    <w:bookmarkStart w:id="88" w:name="store-architecture"/>
    <w:p>
      <w:pPr>
        <w:pStyle w:val="Heading2"/>
      </w:pPr>
      <w:r>
        <w:t xml:space="preserve">6.1 Store Architecture</w:t>
      </w:r>
    </w:p>
    <w:p>
      <w:pPr>
        <w:pStyle w:val="FirstParagraph"/>
      </w:pPr>
      <w:r>
        <w:t xml:space="preserve">The DWS10.com store validates the Firehorse operating model through direct sales:</w:t>
      </w:r>
    </w:p>
    <w:p>
      <w:pPr>
        <w:pStyle w:val="SourceCode"/>
      </w:pPr>
      <w:r>
        <w:rPr>
          <w:rStyle w:val="VerbatimChar"/>
        </w:rPr>
        <w:t xml:space="preserve">dws10.com/</w:t>
      </w:r>
      <w:r>
        <w:br/>
      </w:r>
      <w:r>
        <w:rPr>
          <w:rStyle w:val="VerbatimChar"/>
        </w:rPr>
        <w:t xml:space="preserve">+-- buy/                    # Store pages</w:t>
      </w:r>
      <w:r>
        <w:br/>
      </w:r>
      <w:r>
        <w:rPr>
          <w:rStyle w:val="VerbatimChar"/>
        </w:rPr>
        <w:t xml:space="preserve">|   +-- index.html         # Main store (Page 1)</w:t>
      </w:r>
      <w:r>
        <w:br/>
      </w:r>
      <w:r>
        <w:rPr>
          <w:rStyle w:val="VerbatimChar"/>
        </w:rPr>
        <w:t xml:space="preserve">|   +-- page2/index.html   # Additional products (Page 2)</w:t>
      </w:r>
      <w:r>
        <w:br/>
      </w:r>
      <w:r>
        <w:rPr>
          <w:rStyle w:val="VerbatimChar"/>
        </w:rPr>
        <w:t xml:space="preserve">|   +-- page3/index.html   # Consulting &amp; Training (Page 3)</w:t>
      </w:r>
      <w:r>
        <w:br/>
      </w:r>
      <w:r>
        <w:rPr>
          <w:rStyle w:val="VerbatimChar"/>
        </w:rPr>
        <w:t xml:space="preserve">+-- config/</w:t>
      </w:r>
      <w:r>
        <w:br/>
      </w:r>
      <w:r>
        <w:rPr>
          <w:rStyle w:val="VerbatimChar"/>
        </w:rPr>
        <w:t xml:space="preserve">|   +-- products.json      # Centralized product catalog (30 products)</w:t>
      </w:r>
      <w:r>
        <w:br/>
      </w:r>
      <w:r>
        <w:rPr>
          <w:rStyle w:val="VerbatimChar"/>
        </w:rPr>
        <w:t xml:space="preserve">+-- feeds/</w:t>
      </w:r>
      <w:r>
        <w:br/>
      </w:r>
      <w:r>
        <w:rPr>
          <w:rStyle w:val="VerbatimChar"/>
        </w:rPr>
        <w:t xml:space="preserve">|   +-- generate-feed.cjs  # Node.js feed generator</w:t>
      </w:r>
      <w:r>
        <w:br/>
      </w:r>
      <w:r>
        <w:rPr>
          <w:rStyle w:val="VerbatimChar"/>
        </w:rPr>
        <w:t xml:space="preserve">|   +-- google-products.xml # Google Merchant feed</w:t>
      </w:r>
      <w:r>
        <w:br/>
      </w:r>
      <w:r>
        <w:rPr>
          <w:rStyle w:val="VerbatimChar"/>
        </w:rPr>
        <w:t xml:space="preserve">+-- return-policy/</w:t>
      </w:r>
      <w:r>
        <w:br/>
      </w:r>
      <w:r>
        <w:rPr>
          <w:rStyle w:val="VerbatimChar"/>
        </w:rPr>
        <w:t xml:space="preserve">|   +-- index.html         # Return policy (Google requirement)</w:t>
      </w:r>
      <w:r>
        <w:br/>
      </w:r>
      <w:r>
        <w:rPr>
          <w:rStyle w:val="VerbatimChar"/>
        </w:rPr>
        <w:t xml:space="preserve">+-- docs/                   # Documentation</w:t>
      </w:r>
    </w:p>
    <w:bookmarkEnd w:id="88"/>
    <w:bookmarkStart w:id="89" w:name="product-catalog"/>
    <w:p>
      <w:pPr>
        <w:pStyle w:val="Heading2"/>
      </w:pPr>
      <w:r>
        <w:t xml:space="preserve">6.2 Product Catalog</w:t>
      </w:r>
    </w:p>
    <w:tbl>
      <w:tblPr>
        <w:tblStyle w:val="Table"/>
        <w:tblW w:type="pct" w:w="5000"/>
        <w:tblLook w:firstRow="1" w:lastRow="0" w:firstColumn="0" w:lastColumn="0" w:noHBand="0" w:noVBand="0" w:val="0020"/>
        <w:jc w:val="start"/>
      </w:tblPr>
      <w:tblGrid>
        <w:gridCol w:w="2168"/>
        <w:gridCol w:w="754"/>
        <w:gridCol w:w="1602"/>
        <w:gridCol w:w="3394"/>
      </w:tblGrid>
      <w:tr>
        <w:trPr>
          <w:tblHeader w:val="true"/>
        </w:trPr>
        <w:tc>
          <w:tcPr/>
          <w:p>
            <w:pPr>
              <w:pStyle w:val="Compact"/>
              <w:jc w:val="left"/>
            </w:pPr>
            <w:r>
              <w:t xml:space="preserve">Category</w:t>
            </w:r>
          </w:p>
        </w:tc>
        <w:tc>
          <w:tcPr/>
          <w:p>
            <w:pPr>
              <w:pStyle w:val="Compact"/>
              <w:jc w:val="left"/>
            </w:pPr>
            <w:r>
              <w:t xml:space="preserve">Products</w:t>
            </w:r>
          </w:p>
        </w:tc>
        <w:tc>
          <w:tcPr/>
          <w:p>
            <w:pPr>
              <w:pStyle w:val="Compact"/>
              <w:jc w:val="left"/>
            </w:pPr>
            <w:r>
              <w:t xml:space="preserve">Price Range</w:t>
            </w:r>
          </w:p>
        </w:tc>
        <w:tc>
          <w:tcPr/>
          <w:p>
            <w:pPr>
              <w:pStyle w:val="Compact"/>
              <w:jc w:val="left"/>
            </w:pPr>
            <w:r>
              <w:t xml:space="preserve">Examples</w:t>
            </w:r>
          </w:p>
        </w:tc>
      </w:tr>
      <w:tr>
        <w:tc>
          <w:tcPr/>
          <w:p>
            <w:pPr>
              <w:pStyle w:val="Compact"/>
              <w:jc w:val="left"/>
            </w:pPr>
            <w:r>
              <w:t xml:space="preserve">Platform Software</w:t>
            </w:r>
          </w:p>
        </w:tc>
        <w:tc>
          <w:tcPr/>
          <w:p>
            <w:pPr>
              <w:pStyle w:val="Compact"/>
              <w:jc w:val="left"/>
            </w:pPr>
            <w:r>
              <w:t xml:space="preserve">2</w:t>
            </w:r>
          </w:p>
        </w:tc>
        <w:tc>
          <w:tcPr/>
          <w:p>
            <w:pPr>
              <w:pStyle w:val="Compact"/>
              <w:jc w:val="left"/>
            </w:pPr>
            <w:r>
              <w:t xml:space="preserve">EUR 4,999 - 6,995</w:t>
            </w:r>
          </w:p>
        </w:tc>
        <w:tc>
          <w:tcPr/>
          <w:p>
            <w:pPr>
              <w:pStyle w:val="Compact"/>
              <w:jc w:val="left"/>
            </w:pPr>
            <w:r>
              <w:t xml:space="preserve">DWS IQ v5, v6</w:t>
            </w:r>
          </w:p>
        </w:tc>
      </w:tr>
      <w:tr>
        <w:tc>
          <w:tcPr/>
          <w:p>
            <w:pPr>
              <w:pStyle w:val="Compact"/>
              <w:jc w:val="left"/>
            </w:pPr>
            <w:r>
              <w:t xml:space="preserve">Firehorse Product Suite</w:t>
            </w:r>
          </w:p>
        </w:tc>
        <w:tc>
          <w:tcPr/>
          <w:p>
            <w:pPr>
              <w:pStyle w:val="Compact"/>
              <w:jc w:val="left"/>
            </w:pPr>
            <w:r>
              <w:t xml:space="preserve">6</w:t>
            </w:r>
          </w:p>
        </w:tc>
        <w:tc>
          <w:tcPr/>
          <w:p>
            <w:pPr>
              <w:pStyle w:val="Compact"/>
              <w:jc w:val="left"/>
            </w:pPr>
            <w:r>
              <w:t xml:space="preserve">EUR 499 - 4,950</w:t>
            </w:r>
          </w:p>
        </w:tc>
        <w:tc>
          <w:tcPr/>
          <w:p>
            <w:pPr>
              <w:pStyle w:val="Compact"/>
              <w:jc w:val="left"/>
            </w:pPr>
            <w:r>
              <w:t xml:space="preserve">Automation, Report, CMS, Omnichannel</w:t>
            </w:r>
          </w:p>
        </w:tc>
      </w:tr>
      <w:tr>
        <w:tc>
          <w:tcPr/>
          <w:p>
            <w:pPr>
              <w:pStyle w:val="Compact"/>
              <w:jc w:val="left"/>
            </w:pPr>
            <w:r>
              <w:t xml:space="preserve">Consulting Services</w:t>
            </w:r>
          </w:p>
        </w:tc>
        <w:tc>
          <w:tcPr/>
          <w:p>
            <w:pPr>
              <w:pStyle w:val="Compact"/>
              <w:jc w:val="left"/>
            </w:pPr>
            <w:r>
              <w:t xml:space="preserve">12</w:t>
            </w:r>
          </w:p>
        </w:tc>
        <w:tc>
          <w:tcPr/>
          <w:p>
            <w:pPr>
              <w:pStyle w:val="Compact"/>
              <w:jc w:val="left"/>
            </w:pPr>
            <w:r>
              <w:t xml:space="preserve">EUR 98 - 6,250</w:t>
            </w:r>
          </w:p>
        </w:tc>
        <w:tc>
          <w:tcPr/>
          <w:p>
            <w:pPr>
              <w:pStyle w:val="Compact"/>
              <w:jc w:val="left"/>
            </w:pPr>
            <w:r>
              <w:t xml:space="preserve">Hourly, monthly, workshop pricing</w:t>
            </w:r>
          </w:p>
        </w:tc>
      </w:tr>
      <w:tr>
        <w:tc>
          <w:tcPr/>
          <w:p>
            <w:pPr>
              <w:pStyle w:val="Compact"/>
              <w:jc w:val="left"/>
            </w:pPr>
            <w:r>
              <w:t xml:space="preserve">Training &amp; Coaching</w:t>
            </w:r>
          </w:p>
        </w:tc>
        <w:tc>
          <w:tcPr/>
          <w:p>
            <w:pPr>
              <w:pStyle w:val="Compact"/>
              <w:jc w:val="left"/>
            </w:pPr>
            <w:r>
              <w:t xml:space="preserve">4</w:t>
            </w:r>
          </w:p>
        </w:tc>
        <w:tc>
          <w:tcPr/>
          <w:p>
            <w:pPr>
              <w:pStyle w:val="Compact"/>
              <w:jc w:val="left"/>
            </w:pPr>
            <w:r>
              <w:t xml:space="preserve">EUR 499 - 6,250</w:t>
            </w:r>
          </w:p>
        </w:tc>
        <w:tc>
          <w:tcPr/>
          <w:p>
            <w:pPr>
              <w:pStyle w:val="Compact"/>
              <w:jc w:val="left"/>
            </w:pPr>
            <w:r>
              <w:t xml:space="preserve">AI Training, Coach, Mentor</w:t>
            </w:r>
          </w:p>
        </w:tc>
      </w:tr>
      <w:tr>
        <w:tc>
          <w:tcPr/>
          <w:p>
            <w:pPr>
              <w:pStyle w:val="Compact"/>
              <w:jc w:val="left"/>
            </w:pPr>
            <w:r>
              <w:t xml:space="preserve">Digital Products</w:t>
            </w:r>
          </w:p>
        </w:tc>
        <w:tc>
          <w:tcPr/>
          <w:p>
            <w:pPr>
              <w:pStyle w:val="Compact"/>
              <w:jc w:val="left"/>
            </w:pPr>
            <w:r>
              <w:t xml:space="preserve">6</w:t>
            </w:r>
          </w:p>
        </w:tc>
        <w:tc>
          <w:tcPr/>
          <w:p>
            <w:pPr>
              <w:pStyle w:val="Compact"/>
              <w:jc w:val="left"/>
            </w:pPr>
            <w:r>
              <w:t xml:space="preserve">EUR 0.99 - 799</w:t>
            </w:r>
          </w:p>
        </w:tc>
        <w:tc>
          <w:tcPr/>
          <w:p>
            <w:pPr>
              <w:pStyle w:val="Compact"/>
              <w:jc w:val="left"/>
            </w:pPr>
            <w:r>
              <w:t xml:space="preserve">Glossaries, websites</w:t>
            </w:r>
          </w:p>
        </w:tc>
      </w:tr>
    </w:tbl>
    <w:p>
      <w:pPr>
        <w:pStyle w:val="BodyText"/>
      </w:pPr>
      <w:r>
        <w:rPr>
          <w:bCs/>
          <w:b/>
        </w:rPr>
        <w:t xml:space="preserve">Total:</w:t>
      </w:r>
      <w:r>
        <w:t xml:space="preserve"> </w:t>
      </w:r>
      <w:r>
        <w:t xml:space="preserve">30 products with full Google Merchant compliance</w:t>
      </w:r>
    </w:p>
    <w:bookmarkEnd w:id="89"/>
    <w:bookmarkStart w:id="92" w:name="google-merchant-center-integration"/>
    <w:p>
      <w:pPr>
        <w:pStyle w:val="Heading2"/>
      </w:pPr>
      <w:r>
        <w:t xml:space="preserve">6.3 Google Merchant Center Integration</w:t>
      </w:r>
    </w:p>
    <w:bookmarkStart w:id="90" w:name="account-configuration"/>
    <w:p>
      <w:pPr>
        <w:pStyle w:val="Heading3"/>
      </w:pPr>
      <w:r>
        <w:t xml:space="preserve">Account Configuration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Target country</w:t>
            </w:r>
          </w:p>
        </w:tc>
        <w:tc>
          <w:tcPr/>
          <w:p>
            <w:pPr>
              <w:pStyle w:val="Compact"/>
              <w:jc w:val="left"/>
            </w:pPr>
            <w:r>
              <w:t xml:space="preserve">Finland (FI)</w:t>
            </w:r>
          </w:p>
        </w:tc>
      </w:tr>
      <w:tr>
        <w:tc>
          <w:tcPr/>
          <w:p>
            <w:pPr>
              <w:pStyle w:val="Compact"/>
              <w:jc w:val="left"/>
            </w:pPr>
            <w:r>
              <w:t xml:space="preserve">Languages</w:t>
            </w:r>
          </w:p>
        </w:tc>
        <w:tc>
          <w:tcPr/>
          <w:p>
            <w:pPr>
              <w:pStyle w:val="Compact"/>
              <w:jc w:val="left"/>
            </w:pPr>
            <w:r>
              <w:t xml:space="preserve">English, Finnish</w:t>
            </w:r>
          </w:p>
        </w:tc>
      </w:tr>
      <w:tr>
        <w:tc>
          <w:tcPr/>
          <w:p>
            <w:pPr>
              <w:pStyle w:val="Compact"/>
              <w:jc w:val="left"/>
            </w:pPr>
            <w:r>
              <w:t xml:space="preserve">Feed method</w:t>
            </w:r>
          </w:p>
        </w:tc>
        <w:tc>
          <w:tcPr/>
          <w:p>
            <w:pPr>
              <w:pStyle w:val="Compact"/>
              <w:jc w:val="left"/>
            </w:pPr>
            <w:r>
              <w:t xml:space="preserve">SFTP upload</w:t>
            </w:r>
          </w:p>
        </w:tc>
      </w:tr>
      <w:tr>
        <w:tc>
          <w:tcPr/>
          <w:p>
            <w:pPr>
              <w:pStyle w:val="Compact"/>
              <w:jc w:val="left"/>
            </w:pPr>
            <w:r>
              <w:t xml:space="preserve">Feed URL</w:t>
            </w:r>
          </w:p>
        </w:tc>
        <w:tc>
          <w:tcPr/>
          <w:p>
            <w:pPr>
              <w:pStyle w:val="Compact"/>
              <w:jc w:val="left"/>
            </w:pPr>
            <w:r>
              <w:t xml:space="preserve">https://dws10.com/feeds/google-products.xml</w:t>
            </w:r>
          </w:p>
        </w:tc>
      </w:tr>
    </w:tbl>
    <w:bookmarkEnd w:id="90"/>
    <w:bookmarkStart w:id="91" w:name="historical-issues-resolved"/>
    <w:p>
      <w:pPr>
        <w:pStyle w:val="Heading3"/>
      </w:pPr>
      <w:r>
        <w:t xml:space="preserve">Historical Issues Resolved</w:t>
      </w:r>
    </w:p>
    <w:tbl>
      <w:tblPr>
        <w:tblStyle w:val="Table"/>
        <w:tblW w:type="pct" w:w="5000"/>
        <w:tblLook w:firstRow="1" w:lastRow="0" w:firstColumn="0" w:lastColumn="0" w:noHBand="0" w:noVBand="0" w:val="0020"/>
        <w:jc w:val="start"/>
      </w:tblPr>
      <w:tblGrid>
        <w:gridCol w:w="2046"/>
        <w:gridCol w:w="3114"/>
        <w:gridCol w:w="2758"/>
      </w:tblGrid>
      <w:tr>
        <w:trPr>
          <w:tblHeader w:val="true"/>
        </w:trPr>
        <w:tc>
          <w:tcPr/>
          <w:p>
            <w:pPr>
              <w:pStyle w:val="Compact"/>
              <w:jc w:val="left"/>
            </w:pPr>
            <w:r>
              <w:t xml:space="preserve">Issue</w:t>
            </w:r>
          </w:p>
        </w:tc>
        <w:tc>
          <w:tcPr/>
          <w:p>
            <w:pPr>
              <w:pStyle w:val="Compact"/>
              <w:jc w:val="left"/>
            </w:pPr>
            <w:r>
              <w:t xml:space="preserve">Root Cause</w:t>
            </w:r>
          </w:p>
        </w:tc>
        <w:tc>
          <w:tcPr/>
          <w:p>
            <w:pPr>
              <w:pStyle w:val="Compact"/>
              <w:jc w:val="left"/>
            </w:pPr>
            <w:r>
              <w:t xml:space="preserve">Resolution</w:t>
            </w:r>
          </w:p>
        </w:tc>
      </w:tr>
      <w:tr>
        <w:tc>
          <w:tcPr/>
          <w:p>
            <w:pPr>
              <w:pStyle w:val="Compact"/>
              <w:jc w:val="left"/>
            </w:pPr>
            <w:r>
              <w:t xml:space="preserve">Domain mismatch</w:t>
            </w:r>
          </w:p>
        </w:tc>
        <w:tc>
          <w:tcPr/>
          <w:p>
            <w:pPr>
              <w:pStyle w:val="Compact"/>
              <w:jc w:val="left"/>
            </w:pPr>
            <w:r>
              <w:t xml:space="preserve">URLs pointing to lifetime.fi</w:t>
            </w:r>
          </w:p>
        </w:tc>
        <w:tc>
          <w:tcPr/>
          <w:p>
            <w:pPr>
              <w:pStyle w:val="Compact"/>
              <w:jc w:val="left"/>
            </w:pPr>
            <w:r>
              <w:t xml:space="preserve">Updated all URLs to dws10.com</w:t>
            </w:r>
          </w:p>
        </w:tc>
      </w:tr>
      <w:tr>
        <w:tc>
          <w:tcPr/>
          <w:p>
            <w:pPr>
              <w:pStyle w:val="Compact"/>
              <w:jc w:val="left"/>
            </w:pPr>
            <w:r>
              <w:t xml:space="preserve">Duplicate products</w:t>
            </w:r>
          </w:p>
        </w:tc>
        <w:tc>
          <w:tcPr/>
          <w:p>
            <w:pPr>
              <w:pStyle w:val="Compact"/>
              <w:jc w:val="left"/>
            </w:pPr>
            <w:r>
              <w:t xml:space="preserve">ID mismatch with Merchant Center</w:t>
            </w:r>
          </w:p>
        </w:tc>
        <w:tc>
          <w:tcPr/>
          <w:p>
            <w:pPr>
              <w:pStyle w:val="Compact"/>
              <w:jc w:val="left"/>
            </w:pPr>
            <w:r>
              <w:t xml:space="preserve">Harmonized IDs in products.json</w:t>
            </w:r>
          </w:p>
        </w:tc>
      </w:tr>
      <w:tr>
        <w:tc>
          <w:tcPr/>
          <w:p>
            <w:pPr>
              <w:pStyle w:val="Compact"/>
              <w:jc w:val="left"/>
            </w:pPr>
            <w:r>
              <w:t xml:space="preserve">identifier_exists error</w:t>
            </w:r>
          </w:p>
        </w:tc>
        <w:tc>
          <w:tcPr/>
          <w:p>
            <w:pPr>
              <w:pStyle w:val="Compact"/>
              <w:jc w:val="left"/>
            </w:pPr>
            <w:r>
              <w:t xml:space="preserve">Set to false when MPN+brand present</w:t>
            </w:r>
          </w:p>
        </w:tc>
        <w:tc>
          <w:tcPr/>
          <w:p>
            <w:pPr>
              <w:pStyle w:val="Compact"/>
              <w:jc w:val="left"/>
            </w:pPr>
            <w:r>
              <w:t xml:space="preserve">Removed field entirely</w:t>
            </w:r>
          </w:p>
        </w:tc>
      </w:tr>
      <w:tr>
        <w:tc>
          <w:tcPr/>
          <w:p>
            <w:pPr>
              <w:pStyle w:val="Compact"/>
              <w:jc w:val="left"/>
            </w:pPr>
            <w:r>
              <w:t xml:space="preserve">Missing checkout links</w:t>
            </w:r>
          </w:p>
        </w:tc>
        <w:tc>
          <w:tcPr/>
          <w:p>
            <w:pPr>
              <w:pStyle w:val="Compact"/>
              <w:jc w:val="left"/>
            </w:pPr>
            <w:r>
              <w:t xml:space="preserve">Payment URL not configured</w:t>
            </w:r>
          </w:p>
        </w:tc>
        <w:tc>
          <w:tcPr/>
          <w:p>
            <w:pPr>
              <w:pStyle w:val="Compact"/>
              <w:jc w:val="left"/>
            </w:pPr>
            <w:r>
              <w:t xml:space="preserve">Added Revolut links</w:t>
            </w:r>
          </w:p>
        </w:tc>
      </w:tr>
    </w:tbl>
    <w:bookmarkEnd w:id="91"/>
    <w:bookmarkEnd w:id="92"/>
    <w:bookmarkStart w:id="94" w:name="revolut-business-payment-integration"/>
    <w:p>
      <w:pPr>
        <w:pStyle w:val="Heading2"/>
      </w:pPr>
      <w:r>
        <w:t xml:space="preserve">6.4 Revolut Business Payment Integration</w:t>
      </w:r>
    </w:p>
    <w:bookmarkStart w:id="93" w:name="why-revolut-business"/>
    <w:p>
      <w:pPr>
        <w:pStyle w:val="Heading3"/>
      </w:pPr>
      <w:r>
        <w:t xml:space="preserve">Why Revolut Business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Benefit</w:t>
            </w:r>
          </w:p>
        </w:tc>
      </w:tr>
      <w:tr>
        <w:tc>
          <w:tcPr/>
          <w:p>
            <w:pPr>
              <w:pStyle w:val="Compact"/>
              <w:jc w:val="left"/>
            </w:pPr>
            <w:r>
              <w:t xml:space="preserve">Instant settlements</w:t>
            </w:r>
          </w:p>
        </w:tc>
        <w:tc>
          <w:tcPr/>
          <w:p>
            <w:pPr>
              <w:pStyle w:val="Compact"/>
              <w:jc w:val="left"/>
            </w:pPr>
            <w:r>
              <w:t xml:space="preserve">Improved cash flow, same-day availability</w:t>
            </w:r>
          </w:p>
        </w:tc>
      </w:tr>
      <w:tr>
        <w:tc>
          <w:tcPr/>
          <w:p>
            <w:pPr>
              <w:pStyle w:val="Compact"/>
              <w:jc w:val="left"/>
            </w:pPr>
            <w:r>
              <w:t xml:space="preserve">Multi-currency support</w:t>
            </w:r>
          </w:p>
        </w:tc>
        <w:tc>
          <w:tcPr/>
          <w:p>
            <w:pPr>
              <w:pStyle w:val="Compact"/>
              <w:jc w:val="left"/>
            </w:pPr>
            <w:r>
              <w:t xml:space="preserve">Support for EUR, SEK, NOK, DKK, GBP</w:t>
            </w:r>
          </w:p>
        </w:tc>
      </w:tr>
      <w:tr>
        <w:tc>
          <w:tcPr/>
          <w:p>
            <w:pPr>
              <w:pStyle w:val="Compact"/>
              <w:jc w:val="left"/>
            </w:pPr>
            <w:r>
              <w:t xml:space="preserve">Low fees</w:t>
            </w:r>
          </w:p>
        </w:tc>
        <w:tc>
          <w:tcPr/>
          <w:p>
            <w:pPr>
              <w:pStyle w:val="Compact"/>
              <w:jc w:val="left"/>
            </w:pPr>
            <w:r>
              <w:t xml:space="preserve">1.0% + EUR 0.20 per transaction</w:t>
            </w:r>
          </w:p>
        </w:tc>
      </w:tr>
      <w:tr>
        <w:tc>
          <w:tcPr/>
          <w:p>
            <w:pPr>
              <w:pStyle w:val="Compact"/>
              <w:jc w:val="left"/>
            </w:pPr>
            <w:r>
              <w:t xml:space="preserve">Checkout links</w:t>
            </w:r>
          </w:p>
        </w:tc>
        <w:tc>
          <w:tcPr/>
          <w:p>
            <w:pPr>
              <w:pStyle w:val="Compact"/>
              <w:jc w:val="left"/>
            </w:pPr>
            <w:r>
              <w:t xml:space="preserve">Direct Google Merchant support</w:t>
            </w:r>
          </w:p>
        </w:tc>
      </w:tr>
      <w:tr>
        <w:tc>
          <w:tcPr/>
          <w:p>
            <w:pPr>
              <w:pStyle w:val="Compact"/>
              <w:jc w:val="left"/>
            </w:pPr>
            <w:r>
              <w:t xml:space="preserve">Apple Pay / Google Pay</w:t>
            </w:r>
          </w:p>
        </w:tc>
        <w:tc>
          <w:tcPr/>
          <w:p>
            <w:pPr>
              <w:pStyle w:val="Compact"/>
              <w:jc w:val="left"/>
            </w:pPr>
            <w:r>
              <w:t xml:space="preserve">Modern payment methods</w:t>
            </w:r>
          </w:p>
        </w:tc>
      </w:tr>
    </w:tbl>
    <w:bookmarkEnd w:id="93"/>
    <w:bookmarkEnd w:id="94"/>
    <w:bookmarkStart w:id="96" w:name="X73f56bd13c2b3815341f372bf18ac6e57a06f3f"/>
    <w:p>
      <w:pPr>
        <w:pStyle w:val="Heading2"/>
      </w:pPr>
      <w:r>
        <w:t xml:space="preserve">6.5 Firehorse Operating Model for Store Management</w:t>
      </w:r>
    </w:p>
    <w:p>
      <w:pPr>
        <w:pStyle w:val="FirstParagraph"/>
      </w:pPr>
      <w:r>
        <w:t xml:space="preserve">The store is managed using the Firehorse operating model with Claude Code:</w:t>
      </w:r>
    </w:p>
    <w:p>
      <w:pPr>
        <w:pStyle w:val="SourceCode"/>
      </w:pPr>
      <w:r>
        <w:rPr>
          <w:rStyle w:val="VerbatimChar"/>
        </w:rPr>
        <w:t xml:space="preserve">+-------------------------------------------------------------+</w:t>
      </w:r>
      <w:r>
        <w:br/>
      </w:r>
      <w:r>
        <w:rPr>
          <w:rStyle w:val="VerbatimChar"/>
        </w:rPr>
        <w:t xml:space="preserve">|                 FIREHORSE OPERATIONS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Human   | --&gt; |  Claude Code | --&gt; |   Systems    |      |</w:t>
      </w:r>
      <w:r>
        <w:br/>
      </w:r>
      <w:r>
        <w:rPr>
          <w:rStyle w:val="VerbatimChar"/>
        </w:rPr>
        <w:t xml:space="preserve">|   |  Intent  |     |  (AI Agent)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Artifacts   |     |   Outcomes   |       |</w:t>
      </w:r>
      <w:r>
        <w:br/>
      </w:r>
      <w:r>
        <w:rPr>
          <w:rStyle w:val="VerbatimChar"/>
        </w:rPr>
        <w:t xml:space="preserve">|                   | (Code, Docs) |     | (Deployments)|       |</w:t>
      </w:r>
      <w:r>
        <w:br/>
      </w:r>
      <w:r>
        <w:rPr>
          <w:rStyle w:val="VerbatimChar"/>
        </w:rPr>
        <w:t xml:space="preserve">|                   +--------------+     +--------------+       |</w:t>
      </w:r>
      <w:r>
        <w:br/>
      </w:r>
      <w:r>
        <w:rPr>
          <w:rStyle w:val="VerbatimChar"/>
        </w:rPr>
        <w:t xml:space="preserve">|                                                               |</w:t>
      </w:r>
      <w:r>
        <w:br/>
      </w:r>
      <w:r>
        <w:rPr>
          <w:rStyle w:val="VerbatimChar"/>
        </w:rPr>
        <w:t xml:space="preserve">+-------------------------------------------------------------+</w:t>
      </w:r>
    </w:p>
    <w:bookmarkStart w:id="95" w:name="operational-efficiency-improvements"/>
    <w:p>
      <w:pPr>
        <w:pStyle w:val="Heading3"/>
      </w:pPr>
      <w:r>
        <w:t xml:space="preserve">Operational Efficiency Improvements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bl>
    <w:bookmarkEnd w:id="95"/>
    <w:bookmarkEnd w:id="96"/>
    <w:bookmarkStart w:id="97" w:name="weekly-maintenance-routine"/>
    <w:p>
      <w:pPr>
        <w:pStyle w:val="Heading2"/>
      </w:pPr>
      <w:r>
        <w:t xml:space="preserve">6.6 Weekly Maintenance Routine</w:t>
      </w:r>
    </w:p>
    <w:tbl>
      <w:tblPr>
        <w:tblStyle w:val="Table"/>
        <w:tblW w:type="pct" w:w="5000"/>
        <w:tblLook w:firstRow="1" w:lastRow="0" w:firstColumn="0" w:lastColumn="0" w:noHBand="0" w:noVBand="0" w:val="0020"/>
        <w:jc w:val="start"/>
      </w:tblPr>
      <w:tblGrid>
        <w:gridCol w:w="1131"/>
        <w:gridCol w:w="5782"/>
        <w:gridCol w:w="1005"/>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Feed health check, Google Merchant diagnostics</w:t>
            </w:r>
          </w:p>
        </w:tc>
        <w:tc>
          <w:tcPr/>
          <w:p>
            <w:pPr>
              <w:pStyle w:val="Compact"/>
              <w:jc w:val="left"/>
            </w:pPr>
            <w:r>
              <w:t xml:space="preserve">15 min</w:t>
            </w:r>
          </w:p>
        </w:tc>
      </w:tr>
      <w:tr>
        <w:tc>
          <w:tcPr/>
          <w:p>
            <w:pPr>
              <w:pStyle w:val="Compact"/>
              <w:jc w:val="left"/>
            </w:pPr>
            <w:r>
              <w:t xml:space="preserve">Wednesday</w:t>
            </w:r>
          </w:p>
        </w:tc>
        <w:tc>
          <w:tcPr/>
          <w:p>
            <w:pPr>
              <w:pStyle w:val="Compact"/>
              <w:jc w:val="left"/>
            </w:pPr>
            <w:r>
              <w:t xml:space="preserve">Performance review, CTR analysis</w:t>
            </w:r>
          </w:p>
        </w:tc>
        <w:tc>
          <w:tcPr/>
          <w:p>
            <w:pPr>
              <w:pStyle w:val="Compact"/>
              <w:jc w:val="left"/>
            </w:pPr>
            <w:r>
              <w:t xml:space="preserve">30 min</w:t>
            </w:r>
          </w:p>
        </w:tc>
      </w:tr>
      <w:tr>
        <w:tc>
          <w:tcPr/>
          <w:p>
            <w:pPr>
              <w:pStyle w:val="Compact"/>
              <w:jc w:val="left"/>
            </w:pPr>
            <w:r>
              <w:t xml:space="preserve">Friday</w:t>
            </w:r>
          </w:p>
        </w:tc>
        <w:tc>
          <w:tcPr/>
          <w:p>
            <w:pPr>
              <w:pStyle w:val="Compact"/>
              <w:jc w:val="left"/>
            </w:pPr>
            <w:r>
              <w:t xml:space="preserve">Optimization, feed upload, Git commit</w:t>
            </w:r>
          </w:p>
        </w:tc>
        <w:tc>
          <w:tcPr/>
          <w:p>
            <w:pPr>
              <w:pStyle w:val="Compact"/>
              <w:jc w:val="left"/>
            </w:pPr>
            <w:r>
              <w:t xml:space="preserve">45 min</w:t>
            </w:r>
          </w:p>
        </w:tc>
      </w:tr>
    </w:tbl>
    <w:bookmarkEnd w:id="97"/>
    <w:bookmarkStart w:id="101" w:name="human-in-the-loop-learning-pipeline-hil"/>
    <w:p>
      <w:pPr>
        <w:pStyle w:val="Heading2"/>
      </w:pPr>
      <w:r>
        <w:t xml:space="preserve">6.7 Human-in-the-Loop Learning Pipeline (HIL)</w:t>
      </w:r>
    </w:p>
    <w:p>
      <w:pPr>
        <w:pStyle w:val="FirstParagraph"/>
      </w:pPr>
      <w:r>
        <w:t xml:space="preserve">The DWS6 platform’s daily operations are managed through an automated Human-in-the-Loop (HIL) learning pipeline, creating a continuous feedback loop between the developer, AI agents, and the codebase.</w:t>
      </w:r>
    </w:p>
    <w:bookmarkStart w:id="98" w:name="pipeline-architecture"/>
    <w:p>
      <w:pPr>
        <w:pStyle w:val="Heading3"/>
      </w:pPr>
      <w:r>
        <w:t xml:space="preserve">Pipeline Architecture</w:t>
      </w:r>
    </w:p>
    <w:p>
      <w:pPr>
        <w:pStyle w:val="SourceCode"/>
      </w:pPr>
      <w:r>
        <w:rPr>
          <w:rStyle w:val="VerbatimChar"/>
        </w:rPr>
        <w:t xml:space="preserve">GitHub (source of truth)</w:t>
      </w:r>
      <w:r>
        <w:br/>
      </w:r>
      <w:r>
        <w:rPr>
          <w:rStyle w:val="VerbatimChar"/>
        </w:rPr>
        <w:t xml:space="preserve">    | git pull (daily, automated via Startup-DailySync.bat)</w:t>
      </w:r>
      <w:r>
        <w:br/>
      </w:r>
      <w:r>
        <w:rPr>
          <w:rStyle w:val="VerbatimChar"/>
        </w:rPr>
        <w:t xml:space="preserve">Local repository (Windows)</w:t>
      </w:r>
      <w:r>
        <w:br/>
      </w:r>
      <w:r>
        <w:rPr>
          <w:rStyle w:val="VerbatimChar"/>
        </w:rPr>
        <w:t xml:space="preserve">    | Sync-ToProton.ps1</w:t>
      </w:r>
      <w:r>
        <w:br/>
      </w:r>
      <w:r>
        <w:rPr>
          <w:rStyle w:val="VerbatimChar"/>
        </w:rPr>
        <w:t xml:space="preserve">Proton Drive (encrypted local backup)</w:t>
      </w:r>
      <w:r>
        <w:br/>
      </w:r>
      <w:r>
        <w:rPr>
          <w:rStyle w:val="VerbatimChar"/>
        </w:rPr>
        <w:t xml:space="preserve">    | Generate-PDFs.ps1 -&gt; styled HTML -&gt; Learn/ folder</w:t>
      </w:r>
      <w:r>
        <w:br/>
      </w:r>
      <w:r>
        <w:rPr>
          <w:rStyle w:val="VerbatimChar"/>
        </w:rPr>
        <w:t xml:space="preserve">    | Sync-ToSupabase.ps1</w:t>
      </w:r>
      <w:r>
        <w:br/>
      </w:r>
      <w:r>
        <w:rPr>
          <w:rStyle w:val="VerbatimChar"/>
        </w:rPr>
        <w:t xml:space="preserve">Supabase Storage (EU cloud backup)</w:t>
      </w:r>
      <w:r>
        <w:br/>
      </w:r>
      <w:r>
        <w:rPr>
          <w:rStyle w:val="VerbatimChar"/>
        </w:rPr>
        <w:t xml:space="preserve">    |</w:t>
      </w:r>
      <w:r>
        <w:br/>
      </w:r>
      <w:r>
        <w:rPr>
          <w:rStyle w:val="VerbatimChar"/>
        </w:rPr>
        <w:t xml:space="preserve">Edge browser (morning review of Learn/ folder content)</w:t>
      </w:r>
      <w:r>
        <w:br/>
      </w:r>
      <w:r>
        <w:rPr>
          <w:rStyle w:val="VerbatimChar"/>
        </w:rPr>
        <w:t xml:space="preserve">    | human reads, learns, decides what needs work</w:t>
      </w:r>
      <w:r>
        <w:br/>
      </w:r>
      <w:r>
        <w:rPr>
          <w:rStyle w:val="VerbatimChar"/>
        </w:rPr>
        <w:t xml:space="preserve">Claude Code session (next action)</w:t>
      </w:r>
      <w:r>
        <w:br/>
      </w:r>
      <w:r>
        <w:rPr>
          <w:rStyle w:val="VerbatimChar"/>
        </w:rPr>
        <w:t xml:space="preserve">    | git push</w:t>
      </w:r>
      <w:r>
        <w:br/>
      </w:r>
      <w:r>
        <w:rPr>
          <w:rStyle w:val="VerbatimChar"/>
        </w:rPr>
        <w:t xml:space="preserve">GitHub -&gt; cycle repeats</w:t>
      </w:r>
    </w:p>
    <w:bookmarkEnd w:id="98"/>
    <w:bookmarkStart w:id="99" w:name="pipeline-components"/>
    <w:p>
      <w:pPr>
        <w:pStyle w:val="Heading3"/>
      </w:pPr>
      <w:r>
        <w:t xml:space="preserve">Pipeline Components</w:t>
      </w:r>
    </w:p>
    <w:tbl>
      <w:tblPr>
        <w:tblStyle w:val="Table"/>
        <w:tblW w:type="pct" w:w="5000"/>
        <w:tblLook w:firstRow="1" w:lastRow="0" w:firstColumn="0" w:lastColumn="0" w:noHBand="0" w:noVBand="0" w:val="0020"/>
        <w:jc w:val="start"/>
      </w:tblPr>
      <w:tblGrid>
        <w:gridCol w:w="360"/>
        <w:gridCol w:w="1890"/>
        <w:gridCol w:w="4050"/>
        <w:gridCol w:w="1620"/>
      </w:tblGrid>
      <w:tr>
        <w:trPr>
          <w:tblHeader w:val="true"/>
        </w:trPr>
        <w:tc>
          <w:tcPr/>
          <w:p>
            <w:pPr>
              <w:pStyle w:val="Compact"/>
              <w:jc w:val="left"/>
            </w:pPr>
            <w:r>
              <w:t xml:space="preserve">Step</w:t>
            </w:r>
          </w:p>
        </w:tc>
        <w:tc>
          <w:tcPr/>
          <w:p>
            <w:pPr>
              <w:pStyle w:val="Compact"/>
              <w:jc w:val="left"/>
            </w:pPr>
            <w:r>
              <w:t xml:space="preserve">Script</w:t>
            </w:r>
          </w:p>
        </w:tc>
        <w:tc>
          <w:tcPr/>
          <w:p>
            <w:pPr>
              <w:pStyle w:val="Compact"/>
              <w:jc w:val="left"/>
            </w:pPr>
            <w:r>
              <w:t xml:space="preserve">Function</w:t>
            </w:r>
          </w:p>
        </w:tc>
        <w:tc>
          <w:tcPr/>
          <w:p>
            <w:pPr>
              <w:pStyle w:val="Compact"/>
              <w:jc w:val="left"/>
            </w:pPr>
            <w:r>
              <w:t xml:space="preserve">Output</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Fetch latest changes from GitHub</w:t>
            </w:r>
          </w:p>
        </w:tc>
        <w:tc>
          <w:tcPr/>
          <w:p>
            <w:pPr>
              <w:pStyle w:val="Compact"/>
              <w:jc w:val="left"/>
            </w:pPr>
            <w:r>
              <w:t xml:space="preserve">Updated local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Copy business files to Proton Drive</w:t>
            </w:r>
          </w:p>
        </w:tc>
        <w:tc>
          <w:tcPr/>
          <w:p>
            <w:pPr>
              <w:pStyle w:val="Compact"/>
              <w:jc w:val="left"/>
            </w:pPr>
            <w:r>
              <w:t xml:space="preserve">Encrypted backup</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Convert 19 markdown files to styled HTML</w:t>
            </w:r>
          </w:p>
        </w:tc>
        <w:tc>
          <w:tcPr/>
          <w:p>
            <w:pPr>
              <w:pStyle w:val="Compact"/>
              <w:jc w:val="left"/>
            </w:pPr>
            <w:r>
              <w:rPr>
                <w:rStyle w:val="VerbatimChar"/>
              </w:rPr>
              <w:t xml:space="preserve">Learn/</w:t>
            </w:r>
            <w:r>
              <w:t xml:space="preserve"> </w:t>
            </w:r>
            <w:r>
              <w:t xml:space="preserve">folder</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Upload code and documents to Supabase Storage</w:t>
            </w:r>
          </w:p>
        </w:tc>
        <w:tc>
          <w:tcPr/>
          <w:p>
            <w:pPr>
              <w:pStyle w:val="Compact"/>
              <w:jc w:val="left"/>
            </w:pPr>
            <w:r>
              <w:t xml:space="preserve">EU cloud backup</w:t>
            </w:r>
          </w:p>
        </w:tc>
      </w:tr>
      <w:tr>
        <w:tc>
          <w:tcPr/>
          <w:p>
            <w:pPr>
              <w:pStyle w:val="Compact"/>
              <w:jc w:val="left"/>
            </w:pPr>
            <w:r>
              <w:t xml:space="preserve">5</w:t>
            </w:r>
          </w:p>
        </w:tc>
        <w:tc>
          <w:tcPr/>
          <w:p>
            <w:pPr>
              <w:pStyle w:val="Compact"/>
              <w:jc w:val="left"/>
            </w:pPr>
            <w:r>
              <w:t xml:space="preserve">Edge browser</w:t>
            </w:r>
          </w:p>
        </w:tc>
        <w:tc>
          <w:tcPr/>
          <w:p>
            <w:pPr>
              <w:pStyle w:val="Compact"/>
              <w:jc w:val="left"/>
            </w:pPr>
            <w:r>
              <w:t xml:space="preserve">Automatically open updated files for review</w:t>
            </w:r>
          </w:p>
        </w:tc>
        <w:tc>
          <w:tcPr/>
          <w:p>
            <w:pPr>
              <w:pStyle w:val="Compact"/>
              <w:jc w:val="left"/>
            </w:pPr>
            <w:r>
              <w:t xml:space="preserve">Human knowledge</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AI-assisted development session</w:t>
            </w:r>
          </w:p>
        </w:tc>
        <w:tc>
          <w:tcPr/>
          <w:p>
            <w:pPr>
              <w:pStyle w:val="Compact"/>
              <w:jc w:val="left"/>
            </w:pPr>
            <w:r>
              <w:t xml:space="preserve">Code changes</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Push changes to GitHub</w:t>
            </w:r>
          </w:p>
        </w:tc>
        <w:tc>
          <w:tcPr/>
          <w:p>
            <w:pPr>
              <w:pStyle w:val="Compact"/>
              <w:jc w:val="left"/>
            </w:pPr>
            <w:r>
              <w:t xml:space="preserve">Cycle completes</w:t>
            </w:r>
          </w:p>
        </w:tc>
      </w:tr>
    </w:tbl>
    <w:bookmarkEnd w:id="99"/>
    <w:bookmarkStart w:id="100" w:name="why-this-pipeline-matters"/>
    <w:p>
      <w:pPr>
        <w:pStyle w:val="Heading3"/>
      </w:pPr>
      <w:r>
        <w:t xml:space="preserve">Why This Pipeline Matters</w:t>
      </w:r>
    </w:p>
    <w:p>
      <w:pPr>
        <w:pStyle w:val="FirstParagraph"/>
      </w:pPr>
      <w:r>
        <w:t xml:space="preserve">The HIL pipeline solves three critical problems:</w:t>
      </w:r>
    </w:p>
    <w:p>
      <w:pPr>
        <w:numPr>
          <w:ilvl w:val="0"/>
          <w:numId w:val="1035"/>
        </w:numPr>
        <w:pStyle w:val="Compact"/>
      </w:pPr>
      <w:r>
        <w:rPr>
          <w:bCs/>
          <w:b/>
        </w:rPr>
        <w:t xml:space="preserve">Knowledge gatekeeper</w:t>
      </w:r>
      <w:r>
        <w:t xml:space="preserve">: Every morning, the human reviews the latest state of all business documents. Nothing drifts unnoticed.</w:t>
      </w:r>
    </w:p>
    <w:p>
      <w:pPr>
        <w:numPr>
          <w:ilvl w:val="0"/>
          <w:numId w:val="1035"/>
        </w:numPr>
        <w:pStyle w:val="Compact"/>
      </w:pPr>
      <w:r>
        <w:rPr>
          <w:bCs/>
          <w:b/>
        </w:rPr>
        <w:t xml:space="preserve">Three-layer backup</w:t>
      </w:r>
      <w:r>
        <w:t xml:space="preserve">: Every change exists in GitHub (version control), Proton Drive (encrypted local), and Supabase (EU cloud). No single point of failure.</w:t>
      </w:r>
    </w:p>
    <w:p>
      <w:pPr>
        <w:numPr>
          <w:ilvl w:val="0"/>
          <w:numId w:val="1035"/>
        </w:numPr>
        <w:pStyle w:val="Compact"/>
      </w:pPr>
      <w:r>
        <w:rPr>
          <w:bCs/>
          <w:b/>
        </w:rPr>
        <w:t xml:space="preserve">Continuous learning loop</w:t>
      </w:r>
      <w:r>
        <w:t xml:space="preserve">: Human reads -&gt; identifies gaps -&gt; uses Claude Code to fix -&gt; pushes changes -&gt; next morning sees the update. The feedback loop closes daily.</w:t>
      </w:r>
    </w:p>
    <w:p>
      <w:r>
        <w:pict>
          <v:rect style="width:0;height:1.5pt" o:hralign="center" o:hrstd="t" o:hr="t"/>
        </w:pict>
      </w:r>
    </w:p>
    <w:bookmarkEnd w:id="100"/>
    <w:bookmarkEnd w:id="101"/>
    <w:bookmarkEnd w:id="102"/>
    <w:bookmarkStart w:id="112" w:name="audio-chat-evolution-roadmap"/>
    <w:p>
      <w:pPr>
        <w:pStyle w:val="Heading1"/>
      </w:pPr>
      <w:r>
        <w:t xml:space="preserve">7. Audio Chat Evolution Roadmap</w:t>
      </w:r>
    </w:p>
    <w:bookmarkStart w:id="103" w:name="vision"/>
    <w:p>
      <w:pPr>
        <w:pStyle w:val="Heading2"/>
      </w:pPr>
      <w:r>
        <w:t xml:space="preserve">7.1 Vision</w:t>
      </w:r>
    </w:p>
    <w:p>
      <w:pPr>
        <w:pStyle w:val="FirstParagraph"/>
      </w:pPr>
      <w:r>
        <w:t xml:space="preserve">Transform customer interactions from text-based to voice-based with intelligent product recommendations using industry-specific carbon footprint calculators and EU regulatory awareness.</w:t>
      </w:r>
    </w:p>
    <w:bookmarkEnd w:id="103"/>
    <w:bookmarkStart w:id="104" w:name="technical-stack"/>
    <w:p>
      <w:pPr>
        <w:pStyle w:val="Heading2"/>
      </w:pPr>
      <w:r>
        <w:t xml:space="preserve">7.2 Technical Stack</w:t>
      </w:r>
    </w:p>
    <w:tbl>
      <w:tblPr>
        <w:tblStyle w:val="Table"/>
        <w:tblW w:type="pct" w:w="5000"/>
        <w:tblLook w:firstRow="1" w:lastRow="0" w:firstColumn="0" w:lastColumn="0" w:noHBand="0" w:noVBand="0" w:val="0020"/>
        <w:jc w:val="start"/>
      </w:tblPr>
      <w:tblGrid>
        <w:gridCol w:w="1440"/>
        <w:gridCol w:w="3291"/>
        <w:gridCol w:w="3188"/>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Rationale</w:t>
            </w:r>
          </w:p>
        </w:tc>
      </w:tr>
      <w:tr>
        <w:tc>
          <w:tcPr/>
          <w:p>
            <w:pPr>
              <w:pStyle w:val="Compact"/>
              <w:jc w:val="left"/>
            </w:pPr>
            <w:r>
              <w:t xml:space="preserve">Speech-to-Text</w:t>
            </w:r>
          </w:p>
        </w:tc>
        <w:tc>
          <w:tcPr/>
          <w:p>
            <w:pPr>
              <w:pStyle w:val="Compact"/>
              <w:jc w:val="left"/>
            </w:pPr>
            <w:r>
              <w:t xml:space="preserve">Whisper API</w:t>
            </w:r>
          </w:p>
        </w:tc>
        <w:tc>
          <w:tcPr/>
          <w:p>
            <w:pPr>
              <w:pStyle w:val="Compact"/>
              <w:jc w:val="left"/>
            </w:pPr>
            <w:r>
              <w:t xml:space="preserve">High accuracy, multilingual</w:t>
            </w:r>
          </w:p>
        </w:tc>
      </w:tr>
      <w:tr>
        <w:tc>
          <w:tcPr/>
          <w:p>
            <w:pPr>
              <w:pStyle w:val="Compact"/>
              <w:jc w:val="left"/>
            </w:pPr>
            <w:r>
              <w:t xml:space="preserve">Text-to-Speech</w:t>
            </w:r>
          </w:p>
        </w:tc>
        <w:tc>
          <w:tcPr/>
          <w:p>
            <w:pPr>
              <w:pStyle w:val="Compact"/>
              <w:jc w:val="left"/>
            </w:pPr>
            <w:r>
              <w:t xml:space="preserve">ElevenLabs</w:t>
            </w:r>
          </w:p>
        </w:tc>
        <w:tc>
          <w:tcPr/>
          <w:p>
            <w:pPr>
              <w:pStyle w:val="Compact"/>
              <w:jc w:val="left"/>
            </w:pPr>
            <w:r>
              <w:t xml:space="preserve">Natural voice output</w:t>
            </w:r>
          </w:p>
        </w:tc>
      </w:tr>
      <w:tr>
        <w:tc>
          <w:tcPr/>
          <w:p>
            <w:pPr>
              <w:pStyle w:val="Compact"/>
              <w:jc w:val="left"/>
            </w:pPr>
            <w:r>
              <w:t xml:space="preserve">LLM</w:t>
            </w:r>
          </w:p>
        </w:tc>
        <w:tc>
          <w:tcPr/>
          <w:p>
            <w:pPr>
              <w:pStyle w:val="Compact"/>
              <w:jc w:val="left"/>
            </w:pPr>
            <w:r>
              <w:t xml:space="preserve">Groq inference with Llama models</w:t>
            </w:r>
          </w:p>
        </w:tc>
        <w:tc>
          <w:tcPr/>
          <w:p>
            <w:pPr>
              <w:pStyle w:val="Compact"/>
              <w:jc w:val="left"/>
            </w:pPr>
            <w:r>
              <w:t xml:space="preserve">Cost-effective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 performance, EU compliance</w:t>
            </w:r>
          </w:p>
        </w:tc>
      </w:tr>
    </w:tbl>
    <w:bookmarkEnd w:id="104"/>
    <w:bookmarkStart w:id="105" w:name="phase-1-foundation-q1-2026"/>
    <w:p>
      <w:pPr>
        <w:pStyle w:val="Heading2"/>
      </w:pPr>
      <w:r>
        <w:t xml:space="preserve">7.3 Phase 1: Foundation (Q1 2026)</w:t>
      </w:r>
    </w:p>
    <w:p>
      <w:pPr>
        <w:pStyle w:val="FirstParagraph"/>
      </w:pPr>
      <w:r>
        <w:rPr>
          <w:bCs/>
          <w:b/>
        </w:rPr>
        <w:t xml:space="preserve">Goal:</w:t>
      </w:r>
      <w:r>
        <w:t xml:space="preserve"> </w:t>
      </w:r>
      <w:r>
        <w:t xml:space="preserve">Basic audio chat with product catalog awareness</w:t>
      </w:r>
    </w:p>
    <w:p>
      <w:pPr>
        <w:pStyle w:val="BodyText"/>
      </w:pPr>
      <w:r>
        <w:rPr>
          <w:bCs/>
          <w:b/>
        </w:rPr>
        <w:t xml:space="preserve">Features:</w:t>
      </w:r>
    </w:p>
    <w:p>
      <w:pPr>
        <w:numPr>
          <w:ilvl w:val="0"/>
          <w:numId w:val="1036"/>
        </w:numPr>
        <w:pStyle w:val="Compact"/>
      </w:pPr>
      <w:r>
        <w:t xml:space="preserve">Voice input/output (Finnish, English, Swedish)</w:t>
      </w:r>
    </w:p>
    <w:p>
      <w:pPr>
        <w:numPr>
          <w:ilvl w:val="0"/>
          <w:numId w:val="1036"/>
        </w:numPr>
        <w:pStyle w:val="Compact"/>
      </w:pPr>
      <w:r>
        <w:t xml:space="preserve">Product catalog search</w:t>
      </w:r>
    </w:p>
    <w:p>
      <w:pPr>
        <w:numPr>
          <w:ilvl w:val="0"/>
          <w:numId w:val="1036"/>
        </w:numPr>
        <w:pStyle w:val="Compact"/>
      </w:pPr>
      <w:r>
        <w:t xml:space="preserve">Basic Q&amp;A about services</w:t>
      </w:r>
    </w:p>
    <w:p>
      <w:pPr>
        <w:numPr>
          <w:ilvl w:val="0"/>
          <w:numId w:val="1036"/>
        </w:numPr>
        <w:pStyle w:val="Compact"/>
      </w:pPr>
      <w:r>
        <w:t xml:space="preserve">Handoff to human support</w:t>
      </w:r>
    </w:p>
    <w:p>
      <w:pPr>
        <w:numPr>
          <w:ilvl w:val="0"/>
          <w:numId w:val="1036"/>
        </w:numPr>
        <w:pStyle w:val="Compact"/>
      </w:pPr>
      <w:r>
        <w:t xml:space="preserve">EU AI Act transparency disclosure</w:t>
      </w:r>
    </w:p>
    <w:bookmarkEnd w:id="105"/>
    <w:bookmarkStart w:id="107" w:name="Xbe2cab1491363c4999c52194565d929d7046e08"/>
    <w:p>
      <w:pPr>
        <w:pStyle w:val="Heading2"/>
      </w:pPr>
      <w:r>
        <w:t xml:space="preserve">7.4 Phase 2: Carbon Footprint Calculator Integration (Q2 2026)</w:t>
      </w:r>
    </w:p>
    <w:p>
      <w:pPr>
        <w:pStyle w:val="FirstParagraph"/>
      </w:pPr>
      <w:r>
        <w:rPr>
          <w:bCs/>
          <w:b/>
        </w:rPr>
        <w:t xml:space="preserve">Goal:</w:t>
      </w:r>
      <w:r>
        <w:t xml:space="preserve"> </w:t>
      </w:r>
      <w:r>
        <w:t xml:space="preserve">Industry-specific carbon footprint calculations with product recommendations</w:t>
      </w:r>
    </w:p>
    <w:bookmarkStart w:id="106" w:name="X7b224d7d0d9a011eeed39c92b9a9d1bef8c9c6e"/>
    <w:p>
      <w:pPr>
        <w:pStyle w:val="Heading3"/>
      </w:pPr>
      <w:r>
        <w:t xml:space="preserve">Industry Carbon Profiles (16 EU Industries)</w:t>
      </w:r>
    </w:p>
    <w:tbl>
      <w:tblPr>
        <w:tblStyle w:val="Table"/>
        <w:tblW w:type="pct" w:w="5000"/>
        <w:tblLook w:firstRow="1" w:lastRow="0" w:firstColumn="0" w:lastColumn="0" w:noHBand="0" w:noVBand="0" w:val="0020"/>
        <w:jc w:val="start"/>
      </w:tblPr>
      <w:tblGrid>
        <w:gridCol w:w="1262"/>
        <w:gridCol w:w="3099"/>
        <w:gridCol w:w="3558"/>
      </w:tblGrid>
      <w:tr>
        <w:trPr>
          <w:tblHeader w:val="true"/>
        </w:trPr>
        <w:tc>
          <w:tcPr/>
          <w:p>
            <w:pPr>
              <w:pStyle w:val="Compact"/>
              <w:jc w:val="left"/>
            </w:pPr>
            <w:r>
              <w:t xml:space="preserve">Industry</w:t>
            </w:r>
          </w:p>
        </w:tc>
        <w:tc>
          <w:tcPr/>
          <w:p>
            <w:pPr>
              <w:pStyle w:val="Compact"/>
              <w:jc w:val="left"/>
            </w:pPr>
            <w:r>
              <w:t xml:space="preserve">Primary Emissions</w:t>
            </w:r>
          </w:p>
        </w:tc>
        <w:tc>
          <w:tcPr/>
          <w:p>
            <w:pPr>
              <w:pStyle w:val="Compact"/>
              <w:jc w:val="left"/>
            </w:pPr>
            <w:r>
              <w:t xml:space="preserve">Recommended Products</w:t>
            </w:r>
          </w:p>
        </w:tc>
      </w:tr>
      <w:tr>
        <w:tc>
          <w:tcPr/>
          <w:p>
            <w:pPr>
              <w:pStyle w:val="Compact"/>
              <w:jc w:val="left"/>
            </w:pPr>
            <w:r>
              <w:t xml:space="preserve">Steel</w:t>
            </w:r>
          </w:p>
        </w:tc>
        <w:tc>
          <w:tcPr/>
          <w:p>
            <w:pPr>
              <w:pStyle w:val="Compact"/>
              <w:jc w:val="left"/>
            </w:pPr>
            <w:r>
              <w:t xml:space="preserve">Process emissions (Scope 1)</w:t>
            </w:r>
          </w:p>
        </w:tc>
        <w:tc>
          <w:tcPr/>
          <w:p>
            <w:pPr>
              <w:pStyle w:val="Compact"/>
              <w:jc w:val="left"/>
            </w:pPr>
            <w:r>
              <w:t xml:space="preserve">DWS IQ v6, Firehorse Automation</w:t>
            </w:r>
          </w:p>
        </w:tc>
      </w:tr>
      <w:tr>
        <w:tc>
          <w:tcPr/>
          <w:p>
            <w:pPr>
              <w:pStyle w:val="Compact"/>
              <w:jc w:val="left"/>
            </w:pPr>
            <w:r>
              <w:t xml:space="preserve">Cement</w:t>
            </w:r>
          </w:p>
        </w:tc>
        <w:tc>
          <w:tcPr/>
          <w:p>
            <w:pPr>
              <w:pStyle w:val="Compact"/>
              <w:jc w:val="left"/>
            </w:pPr>
            <w:r>
              <w:t xml:space="preserve">Process + energy</w:t>
            </w:r>
          </w:p>
        </w:tc>
        <w:tc>
          <w:tcPr/>
          <w:p>
            <w:pPr>
              <w:pStyle w:val="Compact"/>
              <w:jc w:val="left"/>
            </w:pPr>
            <w:r>
              <w:t xml:space="preserve">DWS IQ v6, Climate Bundle</w:t>
            </w:r>
          </w:p>
        </w:tc>
      </w:tr>
      <w:tr>
        <w:tc>
          <w:tcPr/>
          <w:p>
            <w:pPr>
              <w:pStyle w:val="Compact"/>
              <w:jc w:val="left"/>
            </w:pPr>
            <w:r>
              <w:t xml:space="preserve">Chemicals</w:t>
            </w:r>
          </w:p>
        </w:tc>
        <w:tc>
          <w:tcPr/>
          <w:p>
            <w:pPr>
              <w:pStyle w:val="Compact"/>
              <w:jc w:val="left"/>
            </w:pPr>
            <w:r>
              <w:t xml:space="preserve">Supply chain (Scope 3)</w:t>
            </w:r>
          </w:p>
        </w:tc>
        <w:tc>
          <w:tcPr/>
          <w:p>
            <w:pPr>
              <w:pStyle w:val="Compact"/>
              <w:jc w:val="left"/>
            </w:pPr>
            <w:r>
              <w:t xml:space="preserve">Firehorse Report, Consulting</w:t>
            </w:r>
          </w:p>
        </w:tc>
      </w:tr>
      <w:tr>
        <w:tc>
          <w:tcPr/>
          <w:p>
            <w:pPr>
              <w:pStyle w:val="Compact"/>
              <w:jc w:val="left"/>
            </w:pPr>
            <w:r>
              <w:t xml:space="preserve">Automotive</w:t>
            </w:r>
          </w:p>
        </w:tc>
        <w:tc>
          <w:tcPr/>
          <w:p>
            <w:pPr>
              <w:pStyle w:val="Compact"/>
              <w:jc w:val="left"/>
            </w:pPr>
            <w:r>
              <w:t xml:space="preserve">Manufacturing + use phase</w:t>
            </w:r>
          </w:p>
        </w:tc>
        <w:tc>
          <w:tcPr/>
          <w:p>
            <w:pPr>
              <w:pStyle w:val="Compact"/>
              <w:jc w:val="left"/>
            </w:pPr>
            <w:r>
              <w:t xml:space="preserve">DWS IQ v6, Expert Advisory</w:t>
            </w:r>
          </w:p>
        </w:tc>
      </w:tr>
      <w:tr>
        <w:tc>
          <w:tcPr/>
          <w:p>
            <w:pPr>
              <w:pStyle w:val="Compact"/>
              <w:jc w:val="left"/>
            </w:pPr>
            <w:r>
              <w:t xml:space="preserve">Maritime</w:t>
            </w:r>
          </w:p>
        </w:tc>
        <w:tc>
          <w:tcPr/>
          <w:p>
            <w:pPr>
              <w:pStyle w:val="Compact"/>
              <w:jc w:val="left"/>
            </w:pPr>
            <w:r>
              <w:t xml:space="preserve">Fuel consumption</w:t>
            </w:r>
          </w:p>
        </w:tc>
        <w:tc>
          <w:tcPr/>
          <w:p>
            <w:pPr>
              <w:pStyle w:val="Compact"/>
              <w:jc w:val="left"/>
            </w:pPr>
            <w:r>
              <w:t xml:space="preserve">Firehorse Automation, Report</w:t>
            </w:r>
          </w:p>
        </w:tc>
      </w:tr>
      <w:tr>
        <w:tc>
          <w:tcPr/>
          <w:p>
            <w:pPr>
              <w:pStyle w:val="Compact"/>
              <w:jc w:val="left"/>
            </w:pPr>
            <w:r>
              <w:t xml:space="preserve">Aviation</w:t>
            </w:r>
          </w:p>
        </w:tc>
        <w:tc>
          <w:tcPr/>
          <w:p>
            <w:pPr>
              <w:pStyle w:val="Compact"/>
              <w:jc w:val="left"/>
            </w:pPr>
            <w:r>
              <w:t xml:space="preserve">Jet fuel, SAF transition</w:t>
            </w:r>
          </w:p>
        </w:tc>
        <w:tc>
          <w:tcPr/>
          <w:p>
            <w:pPr>
              <w:pStyle w:val="Compact"/>
              <w:jc w:val="left"/>
            </w:pPr>
            <w:r>
              <w:t xml:space="preserve">DWS IQ v6, Consulting Fit55</w:t>
            </w:r>
          </w:p>
        </w:tc>
      </w:tr>
      <w:tr>
        <w:tc>
          <w:tcPr/>
          <w:p>
            <w:pPr>
              <w:pStyle w:val="Compact"/>
              <w:jc w:val="left"/>
            </w:pPr>
            <w:r>
              <w:t xml:space="preserve">Buildings</w:t>
            </w:r>
          </w:p>
        </w:tc>
        <w:tc>
          <w:tcPr/>
          <w:p>
            <w:pPr>
              <w:pStyle w:val="Compact"/>
              <w:jc w:val="left"/>
            </w:pPr>
            <w:r>
              <w:t xml:space="preserve">Energy efficiency</w:t>
            </w:r>
          </w:p>
        </w:tc>
        <w:tc>
          <w:tcPr/>
          <w:p>
            <w:pPr>
              <w:pStyle w:val="Compact"/>
              <w:jc w:val="left"/>
            </w:pPr>
            <w:r>
              <w:t xml:space="preserve">Firehorse CMS, Automation</w:t>
            </w:r>
          </w:p>
        </w:tc>
      </w:tr>
      <w:tr>
        <w:tc>
          <w:tcPr/>
          <w:p>
            <w:pPr>
              <w:pStyle w:val="Compact"/>
              <w:jc w:val="left"/>
            </w:pPr>
            <w:r>
              <w:t xml:space="preserve">Agriculture</w:t>
            </w:r>
          </w:p>
        </w:tc>
        <w:tc>
          <w:tcPr/>
          <w:p>
            <w:pPr>
              <w:pStyle w:val="Compact"/>
              <w:jc w:val="left"/>
            </w:pPr>
            <w:r>
              <w:t xml:space="preserve">Land use, livestock</w:t>
            </w:r>
          </w:p>
        </w:tc>
        <w:tc>
          <w:tcPr/>
          <w:p>
            <w:pPr>
              <w:pStyle w:val="Compact"/>
              <w:jc w:val="left"/>
            </w:pPr>
            <w:r>
              <w:t xml:space="preserve">Climate Bundle, Advisory</w:t>
            </w:r>
          </w:p>
        </w:tc>
      </w:tr>
    </w:tbl>
    <w:bookmarkEnd w:id="106"/>
    <w:bookmarkEnd w:id="107"/>
    <w:bookmarkStart w:id="109" w:name="phase-3-eu-regulatory-awareness-q3-2026"/>
    <w:p>
      <w:pPr>
        <w:pStyle w:val="Heading2"/>
      </w:pPr>
      <w:r>
        <w:t xml:space="preserve">7.5 Phase 3: EU Regulatory Awareness (Q3 2026)</w:t>
      </w:r>
    </w:p>
    <w:p>
      <w:pPr>
        <w:pStyle w:val="FirstParagraph"/>
      </w:pPr>
      <w:r>
        <w:rPr>
          <w:bCs/>
          <w:b/>
        </w:rPr>
        <w:t xml:space="preserve">Goal:</w:t>
      </w:r>
      <w:r>
        <w:t xml:space="preserve"> </w:t>
      </w:r>
      <w:r>
        <w:t xml:space="preserve">Proactive regulatory compliance recommendations</w:t>
      </w:r>
    </w:p>
    <w:bookmarkStart w:id="108" w:name="regulation-trigger-matrix"/>
    <w:p>
      <w:pPr>
        <w:pStyle w:val="Heading3"/>
      </w:pPr>
      <w:r>
        <w:t xml:space="preserve">Regulation Trigger Matrix</w:t>
      </w:r>
    </w:p>
    <w:tbl>
      <w:tblPr>
        <w:tblStyle w:val="Table"/>
        <w:tblW w:type="pct" w:w="5000"/>
        <w:tblLook w:firstRow="1" w:lastRow="0" w:firstColumn="0" w:lastColumn="0" w:noHBand="0" w:noVBand="0" w:val="0020"/>
        <w:jc w:val="start"/>
      </w:tblPr>
      <w:tblGrid>
        <w:gridCol w:w="1237"/>
        <w:gridCol w:w="2846"/>
        <w:gridCol w:w="3836"/>
      </w:tblGrid>
      <w:tr>
        <w:trPr>
          <w:tblHeader w:val="true"/>
        </w:trPr>
        <w:tc>
          <w:tcPr/>
          <w:p>
            <w:pPr>
              <w:pStyle w:val="Compact"/>
              <w:jc w:val="left"/>
            </w:pPr>
            <w:r>
              <w:t xml:space="preserve">Regulation</w:t>
            </w:r>
          </w:p>
        </w:tc>
        <w:tc>
          <w:tcPr/>
          <w:p>
            <w:pPr>
              <w:pStyle w:val="Compact"/>
              <w:jc w:val="left"/>
            </w:pPr>
            <w:r>
              <w:t xml:space="preserve">Trigger Condition</w:t>
            </w:r>
          </w:p>
        </w:tc>
        <w:tc>
          <w:tcPr/>
          <w:p>
            <w:pPr>
              <w:pStyle w:val="Compact"/>
              <w:jc w:val="left"/>
            </w:pPr>
            <w:r>
              <w:t xml:space="preserve">Product Recommendation</w:t>
            </w:r>
          </w:p>
        </w:tc>
      </w:tr>
      <w:tr>
        <w:tc>
          <w:tcPr/>
          <w:p>
            <w:pPr>
              <w:pStyle w:val="Compact"/>
              <w:jc w:val="left"/>
            </w:pPr>
            <w:r>
              <w:t xml:space="preserve">EU AI Act</w:t>
            </w:r>
          </w:p>
        </w:tc>
        <w:tc>
          <w:tcPr/>
          <w:p>
            <w:pPr>
              <w:pStyle w:val="Compact"/>
              <w:jc w:val="left"/>
            </w:pPr>
            <w:r>
              <w:t xml:space="preserve">Uses AI systems</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annually</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employees</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Processes personal data</w:t>
            </w:r>
          </w:p>
        </w:tc>
        <w:tc>
          <w:tcPr/>
          <w:p>
            <w:pPr>
              <w:pStyle w:val="Compact"/>
              <w:jc w:val="left"/>
            </w:pPr>
            <w:r>
              <w:t xml:space="preserve">Protonmail implementation</w:t>
            </w:r>
          </w:p>
        </w:tc>
      </w:tr>
      <w:tr>
        <w:tc>
          <w:tcPr/>
          <w:p>
            <w:pPr>
              <w:pStyle w:val="Compact"/>
              <w:jc w:val="left"/>
            </w:pPr>
            <w:r>
              <w:t xml:space="preserve">NIS2</w:t>
            </w:r>
          </w:p>
        </w:tc>
        <w:tc>
          <w:tcPr/>
          <w:p>
            <w:pPr>
              <w:pStyle w:val="Compact"/>
              <w:jc w:val="left"/>
            </w:pPr>
            <w:r>
              <w:t xml:space="preserve">Critical infrastructure</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Imports from outside EU</w:t>
            </w:r>
          </w:p>
        </w:tc>
        <w:tc>
          <w:tcPr/>
          <w:p>
            <w:pPr>
              <w:pStyle w:val="Compact"/>
              <w:jc w:val="left"/>
            </w:pPr>
            <w:r>
              <w:t xml:space="preserve">DWS IQ, Consulting</w:t>
            </w:r>
          </w:p>
        </w:tc>
      </w:tr>
    </w:tbl>
    <w:bookmarkEnd w:id="108"/>
    <w:bookmarkEnd w:id="109"/>
    <w:bookmarkStart w:id="110" w:name="phase-4-partner-ecosystem-q4-2026"/>
    <w:p>
      <w:pPr>
        <w:pStyle w:val="Heading2"/>
      </w:pPr>
      <w:r>
        <w:t xml:space="preserve">7.6 Phase 4: Partner Ecosystem (Q4 2026)</w:t>
      </w:r>
    </w:p>
    <w:p>
      <w:pPr>
        <w:pStyle w:val="FirstParagraph"/>
      </w:pPr>
      <w:r>
        <w:rPr>
          <w:bCs/>
          <w:b/>
        </w:rPr>
        <w:t xml:space="preserve">Revenue model:</w:t>
      </w:r>
    </w:p>
    <w:p>
      <w:pPr>
        <w:numPr>
          <w:ilvl w:val="0"/>
          <w:numId w:val="1037"/>
        </w:numPr>
        <w:pStyle w:val="Compact"/>
      </w:pPr>
      <w:r>
        <w:t xml:space="preserve">Lifetime products: Direct sales</w:t>
      </w:r>
    </w:p>
    <w:p>
      <w:pPr>
        <w:numPr>
          <w:ilvl w:val="0"/>
          <w:numId w:val="1037"/>
        </w:numPr>
        <w:pStyle w:val="Compact"/>
      </w:pPr>
      <w:r>
        <w:t xml:space="preserve">Partner products: Commission (10-20%)</w:t>
      </w:r>
    </w:p>
    <w:bookmarkEnd w:id="110"/>
    <w:bookmarkStart w:id="111" w:name="proton-security-products-strategy"/>
    <w:p>
      <w:pPr>
        <w:pStyle w:val="Heading2"/>
      </w:pPr>
      <w:r>
        <w:t xml:space="preserve">7.7 Proton Security Products Strategy</w:t>
      </w:r>
    </w:p>
    <w:p>
      <w:pPr>
        <w:pStyle w:val="FirstParagraph"/>
      </w:pPr>
      <w:r>
        <w:t xml:space="preserve">When audio chat detects security/privacy needs: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Description</w:t>
            </w:r>
          </w:p>
        </w:tc>
      </w:tr>
      <w:tr>
        <w:tc>
          <w:tcPr/>
          <w:p>
            <w:pPr>
              <w:pStyle w:val="Compact"/>
              <w:jc w:val="left"/>
            </w:pPr>
            <w:r>
              <w:t xml:space="preserve">Proton Mail</w:t>
            </w:r>
          </w:p>
        </w:tc>
        <w:tc>
          <w:tcPr/>
          <w:p>
            <w:pPr>
              <w:pStyle w:val="Compact"/>
              <w:jc w:val="left"/>
            </w:pPr>
            <w:r>
              <w:t xml:space="preserve">End-to-end encrypted email</w:t>
            </w:r>
          </w:p>
        </w:tc>
      </w:tr>
      <w:tr>
        <w:tc>
          <w:tcPr/>
          <w:p>
            <w:pPr>
              <w:pStyle w:val="Compact"/>
              <w:jc w:val="left"/>
            </w:pPr>
            <w:r>
              <w:t xml:space="preserve">Proton Drive</w:t>
            </w:r>
          </w:p>
        </w:tc>
        <w:tc>
          <w:tcPr/>
          <w:p>
            <w:pPr>
              <w:pStyle w:val="Compact"/>
              <w:jc w:val="left"/>
            </w:pPr>
            <w:r>
              <w:t xml:space="preserve">Encrypted cloud storage</w:t>
            </w:r>
          </w:p>
        </w:tc>
      </w:tr>
      <w:tr>
        <w:tc>
          <w:tcPr/>
          <w:p>
            <w:pPr>
              <w:pStyle w:val="Compact"/>
              <w:jc w:val="left"/>
            </w:pPr>
            <w:r>
              <w:t xml:space="preserve">Proton Pass</w:t>
            </w:r>
          </w:p>
        </w:tc>
        <w:tc>
          <w:tcPr/>
          <w:p>
            <w:pPr>
              <w:pStyle w:val="Compact"/>
              <w:jc w:val="left"/>
            </w:pPr>
            <w:r>
              <w:t xml:space="preserve">Password manager</w:t>
            </w:r>
          </w:p>
        </w:tc>
      </w:tr>
      <w:tr>
        <w:tc>
          <w:tcPr/>
          <w:p>
            <w:pPr>
              <w:pStyle w:val="Compact"/>
              <w:jc w:val="left"/>
            </w:pPr>
            <w:r>
              <w:t xml:space="preserve">Proton VPN</w:t>
            </w:r>
          </w:p>
        </w:tc>
        <w:tc>
          <w:tcPr/>
          <w:p>
            <w:pPr>
              <w:pStyle w:val="Compact"/>
              <w:jc w:val="left"/>
            </w:pPr>
            <w:r>
              <w:t xml:space="preserve">Secure network connection</w:t>
            </w:r>
          </w:p>
        </w:tc>
      </w:tr>
    </w:tbl>
    <w:p>
      <w:r>
        <w:pict>
          <v:rect style="width:0;height:1.5pt" o:hralign="center" o:hrstd="t" o:hr="t"/>
        </w:pict>
      </w:r>
    </w:p>
    <w:bookmarkEnd w:id="111"/>
    <w:bookmarkEnd w:id="112"/>
    <w:bookmarkStart w:id="128" w:name="results-and-analysis"/>
    <w:p>
      <w:pPr>
        <w:pStyle w:val="Heading1"/>
      </w:pPr>
      <w:r>
        <w:t xml:space="preserve">8. Results and Analysis</w:t>
      </w:r>
    </w:p>
    <w:bookmarkStart w:id="113" w:name="operational-efficiency"/>
    <w:p>
      <w:pPr>
        <w:pStyle w:val="Heading2"/>
      </w:pPr>
      <w:r>
        <w:t xml:space="preserve">8.1 Operational Efficiency</w:t>
      </w:r>
    </w:p>
    <w:p>
      <w:pPr>
        <w:pStyle w:val="FirstParagraph"/>
      </w:pPr>
      <w:r>
        <w:t xml:space="preserve">The Firehorse operating model with Claude Code achieved (updated v3.26):</w:t>
      </w:r>
    </w:p>
    <w:tbl>
      <w:tblPr>
        <w:tblStyle w:val="Table"/>
        <w:tblW w:type="pct" w:w="5000"/>
        <w:tblLook w:firstRow="1" w:lastRow="0" w:firstColumn="0" w:lastColumn="0" w:noHBand="0" w:noVBand="0" w:val="0020"/>
        <w:jc w:val="start"/>
      </w:tblPr>
      <w:tblGrid>
        <w:gridCol w:w="2354"/>
        <w:gridCol w:w="1212"/>
        <w:gridCol w:w="2497"/>
        <w:gridCol w:w="1855"/>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Product update time</w:t>
            </w:r>
          </w:p>
        </w:tc>
        <w:tc>
          <w:tcPr/>
          <w:p>
            <w:pPr>
              <w:pStyle w:val="Compact"/>
              <w:jc w:val="left"/>
            </w:pPr>
            <w:r>
              <w:t xml:space="preserve">2 hours</w:t>
            </w:r>
          </w:p>
        </w:tc>
        <w:tc>
          <w:tcPr/>
          <w:p>
            <w:pPr>
              <w:pStyle w:val="Compact"/>
              <w:jc w:val="left"/>
            </w:pPr>
            <w:r>
              <w:t xml:space="preserve">5 minutes</w:t>
            </w:r>
          </w:p>
        </w:tc>
        <w:tc>
          <w:tcPr/>
          <w:p>
            <w:pPr>
              <w:pStyle w:val="Compact"/>
              <w:jc w:val="left"/>
            </w:pPr>
            <w:r>
              <w:t xml:space="preserve">96%</w:t>
            </w:r>
          </w:p>
        </w:tc>
      </w:tr>
      <w:tr>
        <w:tc>
          <w:tcPr/>
          <w:p>
            <w:pPr>
              <w:pStyle w:val="Compact"/>
              <w:jc w:val="left"/>
            </w:pPr>
            <w:r>
              <w:t xml:space="preserve">Feed generation</w:t>
            </w:r>
          </w:p>
        </w:tc>
        <w:tc>
          <w:tcPr/>
          <w:p>
            <w:pPr>
              <w:pStyle w:val="Compact"/>
              <w:jc w:val="left"/>
            </w:pPr>
            <w:r>
              <w:t xml:space="preserve">Manual</w:t>
            </w:r>
          </w:p>
        </w:tc>
        <w:tc>
          <w:tcPr/>
          <w:p>
            <w:pPr>
              <w:pStyle w:val="Compact"/>
              <w:jc w:val="left"/>
            </w:pPr>
            <w:r>
              <w:t xml:space="preserve">Automated</w:t>
            </w:r>
          </w:p>
        </w:tc>
        <w:tc>
          <w:tcPr/>
          <w:p>
            <w:pPr>
              <w:pStyle w:val="Compact"/>
              <w:jc w:val="left"/>
            </w:pPr>
            <w:r>
              <w:t xml:space="preserve">100%</w:t>
            </w:r>
          </w:p>
        </w:tc>
      </w:tr>
      <w:tr>
        <w:tc>
          <w:tcPr/>
          <w:p>
            <w:pPr>
              <w:pStyle w:val="Compact"/>
              <w:jc w:val="left"/>
            </w:pPr>
            <w:r>
              <w:t xml:space="preserve">Documentation creation</w:t>
            </w:r>
          </w:p>
        </w:tc>
        <w:tc>
          <w:tcPr/>
          <w:p>
            <w:pPr>
              <w:pStyle w:val="Compact"/>
              <w:jc w:val="left"/>
            </w:pPr>
            <w:r>
              <w:t xml:space="preserve">1 week</w:t>
            </w:r>
          </w:p>
        </w:tc>
        <w:tc>
          <w:tcPr/>
          <w:p>
            <w:pPr>
              <w:pStyle w:val="Compact"/>
              <w:jc w:val="left"/>
            </w:pPr>
            <w:r>
              <w:t xml:space="preserve">1 hour</w:t>
            </w:r>
          </w:p>
        </w:tc>
        <w:tc>
          <w:tcPr/>
          <w:p>
            <w:pPr>
              <w:pStyle w:val="Compact"/>
              <w:jc w:val="left"/>
            </w:pPr>
            <w:r>
              <w:t xml:space="preserve">99%</w:t>
            </w:r>
          </w:p>
        </w:tc>
      </w:tr>
      <w:tr>
        <w:tc>
          <w:tcPr/>
          <w:p>
            <w:pPr>
              <w:pStyle w:val="Compact"/>
              <w:jc w:val="left"/>
            </w:pPr>
            <w:r>
              <w:t xml:space="preserve">Error rate</w:t>
            </w:r>
          </w:p>
        </w:tc>
        <w:tc>
          <w:tcPr/>
          <w:p>
            <w:pPr>
              <w:pStyle w:val="Compact"/>
              <w:jc w:val="left"/>
            </w:pPr>
            <w:r>
              <w:t xml:space="preserve">5%</w:t>
            </w:r>
          </w:p>
        </w:tc>
        <w:tc>
          <w:tcPr/>
          <w:p>
            <w:pPr>
              <w:pStyle w:val="Compact"/>
              <w:jc w:val="left"/>
            </w:pPr>
            <w:r>
              <w:t xml:space="preserve">&lt;1%</w:t>
            </w:r>
          </w:p>
        </w:tc>
        <w:tc>
          <w:tcPr/>
          <w:p>
            <w:pPr>
              <w:pStyle w:val="Compact"/>
              <w:jc w:val="left"/>
            </w:pPr>
            <w:r>
              <w:t xml:space="preserve">80%</w:t>
            </w:r>
          </w:p>
        </w:tc>
      </w:tr>
      <w:tr>
        <w:tc>
          <w:tcPr/>
          <w:p>
            <w:pPr>
              <w:pStyle w:val="Compact"/>
              <w:jc w:val="left"/>
            </w:pPr>
            <w:r>
              <w:t xml:space="preserve">Store page updates</w:t>
            </w:r>
          </w:p>
        </w:tc>
        <w:tc>
          <w:tcPr/>
          <w:p>
            <w:pPr>
              <w:pStyle w:val="Compact"/>
              <w:jc w:val="left"/>
            </w:pPr>
            <w:r>
              <w:t xml:space="preserve">4 hours</w:t>
            </w:r>
          </w:p>
        </w:tc>
        <w:tc>
          <w:tcPr/>
          <w:p>
            <w:pPr>
              <w:pStyle w:val="Compact"/>
              <w:jc w:val="left"/>
            </w:pPr>
            <w:r>
              <w:t xml:space="preserve">15 minutes</w:t>
            </w:r>
          </w:p>
        </w:tc>
        <w:tc>
          <w:tcPr/>
          <w:p>
            <w:pPr>
              <w:pStyle w:val="Compact"/>
              <w:jc w:val="left"/>
            </w:pPr>
            <w:r>
              <w:t xml:space="preserve">94%</w:t>
            </w:r>
          </w:p>
        </w:tc>
      </w:tr>
      <w:tr>
        <w:tc>
          <w:tcPr/>
          <w:p>
            <w:pPr>
              <w:pStyle w:val="Compact"/>
              <w:jc w:val="left"/>
            </w:pPr>
            <w:r>
              <w:rPr>
                <w:bCs/>
                <w:b/>
              </w:rPr>
              <w:t xml:space="preserve">Harness engineering benchmark</w:t>
            </w:r>
          </w:p>
        </w:tc>
        <w:tc>
          <w:tcPr/>
          <w:p>
            <w:pPr>
              <w:pStyle w:val="Compact"/>
              <w:jc w:val="left"/>
            </w:pPr>
            <w:r>
              <w:rPr>
                <w:bCs/>
                <w:b/>
              </w:rPr>
              <w:t xml:space="preserve">52.8%</w:t>
            </w:r>
          </w:p>
        </w:tc>
        <w:tc>
          <w:tcPr/>
          <w:p>
            <w:pPr>
              <w:pStyle w:val="Compact"/>
              <w:jc w:val="left"/>
            </w:pPr>
            <w:r>
              <w:rPr>
                <w:bCs/>
                <w:b/>
              </w:rPr>
              <w:t xml:space="preserve">66.5%</w:t>
            </w:r>
          </w:p>
        </w:tc>
        <w:tc>
          <w:tcPr/>
          <w:p>
            <w:pPr>
              <w:pStyle w:val="Compact"/>
              <w:jc w:val="left"/>
            </w:pPr>
            <w:r>
              <w:rPr>
                <w:bCs/>
                <w:b/>
              </w:rPr>
              <w:t xml:space="preserve">+26% (model unchanged)</w:t>
            </w:r>
          </w:p>
        </w:tc>
      </w:tr>
      <w:tr>
        <w:tc>
          <w:tcPr/>
          <w:p>
            <w:pPr>
              <w:pStyle w:val="Compact"/>
              <w:jc w:val="left"/>
            </w:pPr>
            <w:r>
              <w:rPr>
                <w:bCs/>
                <w:b/>
              </w:rPr>
              <w:t xml:space="preserve">PR review cycle</w:t>
            </w:r>
          </w:p>
        </w:tc>
        <w:tc>
          <w:tcPr/>
          <w:p>
            <w:pPr>
              <w:pStyle w:val="Compact"/>
              <w:jc w:val="left"/>
            </w:pPr>
            <w:r>
              <w:rPr>
                <w:bCs/>
                <w:b/>
              </w:rPr>
              <w:t xml:space="preserve">Manual (2-4h)</w:t>
            </w:r>
          </w:p>
        </w:tc>
        <w:tc>
          <w:tcPr/>
          <w:p>
            <w:pPr>
              <w:pStyle w:val="Compact"/>
              <w:jc w:val="left"/>
            </w:pPr>
            <w:r>
              <w:rPr>
                <w:bCs/>
                <w:b/>
              </w:rPr>
              <w:t xml:space="preserve">Dual-model AI (15 min)</w:t>
            </w:r>
          </w:p>
        </w:tc>
        <w:tc>
          <w:tcPr/>
          <w:p>
            <w:pPr>
              <w:pStyle w:val="Compact"/>
              <w:jc w:val="left"/>
            </w:pPr>
            <w:r>
              <w:rPr>
                <w:bCs/>
                <w:b/>
              </w:rPr>
              <w:t xml:space="preserve">94%</w:t>
            </w:r>
          </w:p>
        </w:tc>
      </w:tr>
      <w:tr>
        <w:tc>
          <w:tcPr/>
          <w:p>
            <w:pPr>
              <w:pStyle w:val="Compact"/>
              <w:jc w:val="left"/>
            </w:pPr>
            <w:r>
              <w:rPr>
                <w:bCs/>
                <w:b/>
              </w:rPr>
              <w:t xml:space="preserve">Agent fleet size</w:t>
            </w:r>
          </w:p>
        </w:tc>
        <w:tc>
          <w:tcPr/>
          <w:p>
            <w:pPr>
              <w:pStyle w:val="Compact"/>
              <w:jc w:val="left"/>
            </w:pPr>
            <w:r>
              <w:rPr>
                <w:bCs/>
                <w:b/>
              </w:rPr>
              <w:t xml:space="preserve">0 agents</w:t>
            </w:r>
          </w:p>
        </w:tc>
        <w:tc>
          <w:tcPr/>
          <w:p>
            <w:pPr>
              <w:pStyle w:val="Compact"/>
              <w:jc w:val="left"/>
            </w:pPr>
            <w:r>
              <w:rPr>
                <w:bCs/>
                <w:b/>
              </w:rPr>
              <w:t xml:space="preserve">13 agents (Pantheon)</w:t>
            </w:r>
          </w:p>
        </w:tc>
        <w:tc>
          <w:tcPr/>
          <w:p>
            <w:pPr>
              <w:pStyle w:val="Compact"/>
              <w:jc w:val="left"/>
            </w:pPr>
            <w:r>
              <w:rPr>
                <w:bCs/>
                <w:b/>
              </w:rPr>
              <w:t xml:space="preserve">∞</w:t>
            </w:r>
          </w:p>
        </w:tc>
      </w:tr>
      <w:tr>
        <w:tc>
          <w:tcPr/>
          <w:p>
            <w:pPr>
              <w:pStyle w:val="Compact"/>
              <w:jc w:val="left"/>
            </w:pPr>
            <w:r>
              <w:rPr>
                <w:bCs/>
                <w:b/>
              </w:rPr>
              <w:t xml:space="preserve">Customer features shipped</w:t>
            </w:r>
          </w:p>
        </w:tc>
        <w:tc>
          <w:tcPr/>
          <w:p>
            <w:pPr>
              <w:pStyle w:val="Compact"/>
              <w:jc w:val="left"/>
            </w:pPr>
            <w:r>
              <w:rPr>
                <w:bCs/>
                <w:b/>
              </w:rPr>
              <w:t xml:space="preserve">0</w:t>
            </w:r>
          </w:p>
        </w:tc>
        <w:tc>
          <w:tcPr/>
          <w:p>
            <w:pPr>
              <w:pStyle w:val="Compact"/>
              <w:jc w:val="left"/>
            </w:pPr>
            <w:r>
              <w:rPr>
                <w:bCs/>
                <w:b/>
              </w:rPr>
              <w:t xml:space="preserve">3 (API keys, metering, reports)</w:t>
            </w:r>
          </w:p>
        </w:tc>
        <w:tc>
          <w:tcPr/>
          <w:p>
            <w:pPr>
              <w:pStyle w:val="Compact"/>
              <w:jc w:val="left"/>
            </w:pPr>
            <w:r>
              <w:rPr>
                <w:bCs/>
                <w:b/>
              </w:rPr>
              <w:t xml:space="preserve">SaaS-ready</w:t>
            </w:r>
          </w:p>
        </w:tc>
      </w:tr>
    </w:tbl>
    <w:p>
      <w:pPr>
        <w:pStyle w:val="BodyText"/>
      </w:pPr>
      <w:r>
        <w:rPr>
          <w:bCs/>
          <w:b/>
        </w:rPr>
        <w:t xml:space="preserve">New in v3.26:</w:t>
      </w:r>
      <w:r>
        <w:t xml:space="preserve"> </w:t>
      </w:r>
      <w:r>
        <w:t xml:space="preserve">Harness engineering result (section 10.16) demonstrates that system-level improvements (prompt scaffolding, routing, orchestration) alone yield 52.8%→66.5% benchmark gains without changing the underlying model — validating the Firehorse architecture approach.</w:t>
      </w:r>
    </w:p>
    <w:bookmarkEnd w:id="113"/>
    <w:bookmarkStart w:id="114" w:name="google-merchant-center-performance"/>
    <w:p>
      <w:pPr>
        <w:pStyle w:val="Heading2"/>
      </w:pPr>
      <w:r>
        <w:t xml:space="preserve">8.2 Google Merchant Center Performance</w:t>
      </w:r>
    </w:p>
    <w:tbl>
      <w:tblPr>
        <w:tblStyle w:val="Table"/>
        <w:tblW w:type="pct" w:w="5000"/>
        <w:tblLook w:firstRow="1" w:lastRow="0" w:firstColumn="0" w:lastColumn="0" w:noHBand="0" w:noVBand="0" w:val="0020"/>
        <w:jc w:val="start"/>
      </w:tblPr>
      <w:tblGrid>
        <w:gridCol w:w="2864"/>
        <w:gridCol w:w="3117"/>
        <w:gridCol w:w="1937"/>
      </w:tblGrid>
      <w:tr>
        <w:trPr>
          <w:tblHeader w:val="true"/>
        </w:trPr>
        <w:tc>
          <w:tcPr/>
          <w:p>
            <w:pPr>
              <w:pStyle w:val="Compact"/>
              <w:jc w:val="left"/>
            </w:pPr>
            <w:r>
              <w:t xml:space="preserve">Metric</w:t>
            </w:r>
          </w:p>
        </w:tc>
        <w:tc>
          <w:tcPr/>
          <w:p>
            <w:pPr>
              <w:pStyle w:val="Compact"/>
              <w:jc w:val="left"/>
            </w:pPr>
            <w:r>
              <w:t xml:space="preserve">Result</w:t>
            </w:r>
          </w:p>
        </w:tc>
        <w:tc>
          <w:tcPr/>
          <w:p>
            <w:pPr>
              <w:pStyle w:val="Compact"/>
              <w:jc w:val="left"/>
            </w:pPr>
            <w:r>
              <w:t xml:space="preserve">Source</w:t>
            </w:r>
          </w:p>
        </w:tc>
      </w:tr>
      <w:tr>
        <w:tc>
          <w:tcPr/>
          <w:p>
            <w:pPr>
              <w:pStyle w:val="Compact"/>
              <w:jc w:val="left"/>
            </w:pPr>
            <w:r>
              <w:t xml:space="preserve">Product approval rate</w:t>
            </w:r>
          </w:p>
        </w:tc>
        <w:tc>
          <w:tcPr/>
          <w:p>
            <w:pPr>
              <w:pStyle w:val="Compact"/>
              <w:jc w:val="left"/>
            </w:pPr>
            <w:r>
              <w:t xml:space="preserve">100% (30/30 products)</w:t>
            </w:r>
          </w:p>
        </w:tc>
        <w:tc>
          <w:tcPr/>
          <w:p>
            <w:pPr>
              <w:pStyle w:val="Compact"/>
              <w:jc w:val="left"/>
            </w:pPr>
            <w:r>
              <w:t xml:space="preserve">Google Merchant Center</w:t>
            </w:r>
          </w:p>
        </w:tc>
      </w:tr>
      <w:tr>
        <w:tc>
          <w:tcPr/>
          <w:p>
            <w:pPr>
              <w:pStyle w:val="Compact"/>
              <w:jc w:val="left"/>
            </w:pPr>
            <w:r>
              <w:t xml:space="preserve">Feed processing time</w:t>
            </w:r>
          </w:p>
        </w:tc>
        <w:tc>
          <w:tcPr/>
          <w:p>
            <w:pPr>
              <w:pStyle w:val="Compact"/>
              <w:jc w:val="left"/>
            </w:pPr>
            <w:r>
              <w:t xml:space="preserve">&lt;24 hours</w:t>
            </w:r>
          </w:p>
        </w:tc>
        <w:tc>
          <w:tcPr/>
          <w:p>
            <w:pPr>
              <w:pStyle w:val="Compact"/>
              <w:jc w:val="left"/>
            </w:pPr>
            <w:r>
              <w:t xml:space="preserve">Automated SFTP upload</w:t>
            </w:r>
          </w:p>
        </w:tc>
      </w:tr>
      <w:tr>
        <w:tc>
          <w:tcPr/>
          <w:p>
            <w:pPr>
              <w:pStyle w:val="Compact"/>
              <w:jc w:val="left"/>
            </w:pPr>
            <w:r>
              <w:t xml:space="preserve">Checkout conversion</w:t>
            </w:r>
          </w:p>
        </w:tc>
        <w:tc>
          <w:tcPr/>
          <w:p>
            <w:pPr>
              <w:pStyle w:val="Compact"/>
              <w:jc w:val="left"/>
            </w:pPr>
            <w:r>
              <w:t xml:space="preserve">Direct to payment</w:t>
            </w:r>
          </w:p>
        </w:tc>
        <w:tc>
          <w:tcPr/>
          <w:p>
            <w:pPr>
              <w:pStyle w:val="Compact"/>
              <w:jc w:val="left"/>
            </w:pPr>
            <w:r>
              <w:t xml:space="preserve">Revolut Business</w:t>
            </w:r>
          </w:p>
        </w:tc>
      </w:tr>
      <w:tr>
        <w:tc>
          <w:tcPr/>
          <w:p>
            <w:pPr>
              <w:pStyle w:val="Compact"/>
              <w:jc w:val="left"/>
            </w:pPr>
            <w:r>
              <w:t xml:space="preserve">Feed file size</w:t>
            </w:r>
          </w:p>
        </w:tc>
        <w:tc>
          <w:tcPr/>
          <w:p>
            <w:pPr>
              <w:pStyle w:val="Compact"/>
              <w:jc w:val="left"/>
            </w:pPr>
            <w:r>
              <w:t xml:space="preserve">32,893 bytes</w:t>
            </w:r>
          </w:p>
        </w:tc>
        <w:tc>
          <w:tcPr/>
          <w:p>
            <w:pPr>
              <w:pStyle w:val="Compact"/>
              <w:jc w:val="left"/>
            </w:pPr>
            <w:r>
              <w:t xml:space="preserve">XML feed</w:t>
            </w:r>
          </w:p>
        </w:tc>
      </w:tr>
      <w:tr>
        <w:tc>
          <w:tcPr/>
          <w:p>
            <w:pPr>
              <w:pStyle w:val="Compact"/>
              <w:jc w:val="left"/>
            </w:pPr>
            <w:r>
              <w:rPr>
                <w:bCs/>
                <w:b/>
              </w:rPr>
              <w:t xml:space="preserve">A/B test: product descriptions</w:t>
            </w:r>
          </w:p>
        </w:tc>
        <w:tc>
          <w:tcPr/>
          <w:p>
            <w:pPr>
              <w:pStyle w:val="Compact"/>
              <w:jc w:val="left"/>
            </w:pPr>
            <w:r>
              <w:rPr>
                <w:bCs/>
                <w:b/>
              </w:rPr>
              <w:t xml:space="preserve">+18% CTR (AI-generated vs manual)</w:t>
            </w:r>
          </w:p>
        </w:tc>
        <w:tc>
          <w:tcPr/>
          <w:p>
            <w:pPr>
              <w:pStyle w:val="Compact"/>
              <w:jc w:val="left"/>
            </w:pPr>
            <w:r>
              <w:rPr>
                <w:bCs/>
                <w:b/>
              </w:rPr>
              <w:t xml:space="preserve">Google Merchant A/B</w:t>
            </w:r>
          </w:p>
        </w:tc>
      </w:tr>
      <w:tr>
        <w:tc>
          <w:tcPr/>
          <w:p>
            <w:pPr>
              <w:pStyle w:val="Compact"/>
              <w:jc w:val="left"/>
            </w:pPr>
            <w:r>
              <w:rPr>
                <w:bCs/>
                <w:b/>
              </w:rPr>
              <w:t xml:space="preserve">Category page bounce rate</w:t>
            </w:r>
          </w:p>
        </w:tc>
        <w:tc>
          <w:tcPr/>
          <w:p>
            <w:pPr>
              <w:pStyle w:val="Compact"/>
              <w:jc w:val="left"/>
            </w:pPr>
            <w:r>
              <w:rPr>
                <w:bCs/>
                <w:b/>
              </w:rPr>
              <w:t xml:space="preserve">-12% (hierarchical vs flat)</w:t>
            </w:r>
          </w:p>
        </w:tc>
        <w:tc>
          <w:tcPr/>
          <w:p>
            <w:pPr>
              <w:pStyle w:val="Compact"/>
              <w:jc w:val="left"/>
            </w:pPr>
            <w:r>
              <w:rPr>
                <w:bCs/>
                <w:b/>
              </w:rPr>
              <w:t xml:space="preserve">SEO analytics</w:t>
            </w:r>
          </w:p>
        </w:tc>
      </w:tr>
    </w:tbl>
    <w:bookmarkEnd w:id="114"/>
    <w:bookmarkStart w:id="115" w:name="compliance-readiness"/>
    <w:p>
      <w:pPr>
        <w:pStyle w:val="Heading2"/>
      </w:pPr>
      <w:r>
        <w:t xml:space="preserve">8.3 Compliance Readiness</w:t>
      </w:r>
    </w:p>
    <w:tbl>
      <w:tblPr>
        <w:tblStyle w:val="Table"/>
        <w:tblW w:type="pct" w:w="5000"/>
        <w:tblLook w:firstRow="1" w:lastRow="0" w:firstColumn="0" w:lastColumn="0" w:noHBand="0" w:noVBand="0" w:val="0020"/>
        <w:jc w:val="start"/>
      </w:tblPr>
      <w:tblGrid>
        <w:gridCol w:w="1212"/>
        <w:gridCol w:w="404"/>
        <w:gridCol w:w="565"/>
        <w:gridCol w:w="484"/>
        <w:gridCol w:w="5253"/>
      </w:tblGrid>
      <w:tr>
        <w:trPr>
          <w:tblHeader w:val="true"/>
        </w:trPr>
        <w:tc>
          <w:tcPr/>
          <w:p>
            <w:pPr>
              <w:pStyle w:val="Compact"/>
              <w:jc w:val="left"/>
            </w:pPr>
            <w:r>
              <w:t xml:space="preserve">Regulation</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Change</w:t>
            </w:r>
          </w:p>
        </w:tc>
        <w:tc>
          <w:tcPr/>
          <w:p>
            <w:pPr>
              <w:pStyle w:val="Compact"/>
              <w:jc w:val="left"/>
            </w:pPr>
            <w:r>
              <w:t xml:space="preserve">Evidence</w:t>
            </w:r>
          </w:p>
        </w:tc>
      </w:tr>
      <w:tr>
        <w:tc>
          <w:tcPr/>
          <w:p>
            <w:pPr>
              <w:pStyle w:val="Compact"/>
              <w:jc w:val="left"/>
            </w:pPr>
            <w:r>
              <w:t xml:space="preserve">EU AI Act</w:t>
            </w:r>
          </w:p>
        </w:tc>
        <w:tc>
          <w:tcPr/>
          <w:p>
            <w:pPr>
              <w:pStyle w:val="Compact"/>
              <w:jc w:val="left"/>
            </w:pPr>
            <w:r>
              <w:t xml:space="preserve">80%</w:t>
            </w:r>
          </w:p>
        </w:tc>
        <w:tc>
          <w:tcPr/>
          <w:p>
            <w:pPr>
              <w:pStyle w:val="Compact"/>
              <w:jc w:val="left"/>
            </w:pPr>
            <w:r>
              <w:rPr>
                <w:bCs/>
                <w:b/>
              </w:rPr>
              <w:t xml:space="preserve">92%</w:t>
            </w:r>
          </w:p>
        </w:tc>
        <w:tc>
          <w:tcPr/>
          <w:p>
            <w:pPr>
              <w:pStyle w:val="Compact"/>
              <w:jc w:val="left"/>
            </w:pPr>
            <w:r>
              <w:t xml:space="preserve">+12%</w:t>
            </w:r>
          </w:p>
        </w:tc>
        <w:tc>
          <w:tcPr/>
          <w:p>
            <w:pPr>
              <w:pStyle w:val="Compact"/>
              <w:jc w:val="left"/>
            </w:pPr>
            <w:r>
              <w:t xml:space="preserve">Article 12 logging implemented (Pantheon agents), SOUL.md pattern</w:t>
            </w:r>
          </w:p>
        </w:tc>
      </w:tr>
      <w:tr>
        <w:tc>
          <w:tcPr/>
          <w:p>
            <w:pPr>
              <w:pStyle w:val="Compact"/>
              <w:jc w:val="left"/>
            </w:pPr>
            <w:r>
              <w:t xml:space="preserve">GDPR</w:t>
            </w:r>
          </w:p>
        </w:tc>
        <w:tc>
          <w:tcPr/>
          <w:p>
            <w:pPr>
              <w:pStyle w:val="Compact"/>
              <w:jc w:val="left"/>
            </w:pPr>
            <w:r>
              <w:t xml:space="preserve">95%</w:t>
            </w:r>
          </w:p>
        </w:tc>
        <w:tc>
          <w:tcPr/>
          <w:p>
            <w:pPr>
              <w:pStyle w:val="Compact"/>
              <w:jc w:val="left"/>
            </w:pPr>
            <w:r>
              <w:rPr>
                <w:bCs/>
                <w:b/>
              </w:rPr>
              <w:t xml:space="preserve">97%</w:t>
            </w:r>
          </w:p>
        </w:tc>
        <w:tc>
          <w:tcPr/>
          <w:p>
            <w:pPr>
              <w:pStyle w:val="Compact"/>
              <w:jc w:val="left"/>
            </w:pPr>
            <w:r>
              <w:t xml:space="preserve">+2%</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w:t>
            </w:r>
          </w:p>
        </w:tc>
        <w:tc>
          <w:tcPr/>
          <w:p>
            <w:pPr>
              <w:pStyle w:val="Compact"/>
              <w:jc w:val="left"/>
            </w:pPr>
            <w:r>
              <w:rPr>
                <w:bCs/>
                <w:b/>
              </w:rPr>
              <w:t xml:space="preserve">93%</w:t>
            </w:r>
          </w:p>
        </w:tc>
        <w:tc>
          <w:tcPr/>
          <w:p>
            <w:pPr>
              <w:pStyle w:val="Compact"/>
              <w:jc w:val="left"/>
            </w:pPr>
            <w:r>
              <w:t xml:space="preserve">+3%</w:t>
            </w:r>
          </w:p>
        </w:tc>
        <w:tc>
          <w:tcPr/>
          <w:p>
            <w:pPr>
              <w:pStyle w:val="Compact"/>
              <w:jc w:val="left"/>
            </w:pPr>
            <w:r>
              <w:t xml:space="preserve">25+-industry carbon calculator, product catalog</w:t>
            </w:r>
          </w:p>
        </w:tc>
      </w:tr>
      <w:tr>
        <w:tc>
          <w:tcPr/>
          <w:p>
            <w:pPr>
              <w:pStyle w:val="Compact"/>
              <w:jc w:val="left"/>
            </w:pPr>
            <w:r>
              <w:t xml:space="preserve">NIS2</w:t>
            </w:r>
          </w:p>
        </w:tc>
        <w:tc>
          <w:tcPr/>
          <w:p>
            <w:pPr>
              <w:pStyle w:val="Compact"/>
              <w:jc w:val="left"/>
            </w:pPr>
            <w:r>
              <w:t xml:space="preserve">75%</w:t>
            </w:r>
          </w:p>
        </w:tc>
        <w:tc>
          <w:tcPr/>
          <w:p>
            <w:pPr>
              <w:pStyle w:val="Compact"/>
              <w:jc w:val="left"/>
            </w:pPr>
            <w:r>
              <w:rPr>
                <w:bCs/>
                <w:b/>
              </w:rPr>
              <w:t xml:space="preserve">85%</w:t>
            </w:r>
          </w:p>
        </w:tc>
        <w:tc>
          <w:tcPr/>
          <w:p>
            <w:pPr>
              <w:pStyle w:val="Compact"/>
              <w:jc w:val="left"/>
            </w:pPr>
            <w:r>
              <w:t xml:space="preserve">+10%</w:t>
            </w:r>
          </w:p>
        </w:tc>
        <w:tc>
          <w:tcPr/>
          <w:p>
            <w:pPr>
              <w:pStyle w:val="Compact"/>
              <w:jc w:val="left"/>
            </w:pPr>
            <w:r>
              <w:t xml:space="preserve">Security hardening (RC2-RC4), Snyk MCP, agent system hardening</w:t>
            </w:r>
          </w:p>
        </w:tc>
      </w:tr>
      <w:tr>
        <w:tc>
          <w:tcPr/>
          <w:p>
            <w:pPr>
              <w:pStyle w:val="Compact"/>
              <w:jc w:val="left"/>
            </w:pPr>
            <w:r>
              <w:t xml:space="preserve">CSRD</w:t>
            </w:r>
          </w:p>
        </w:tc>
        <w:tc>
          <w:tcPr/>
          <w:p>
            <w:pPr>
              <w:pStyle w:val="Compact"/>
              <w:jc w:val="left"/>
            </w:pPr>
            <w:r>
              <w:t xml:space="preserve">85%</w:t>
            </w:r>
          </w:p>
        </w:tc>
        <w:tc>
          <w:tcPr/>
          <w:p>
            <w:pPr>
              <w:pStyle w:val="Compact"/>
              <w:jc w:val="left"/>
            </w:pPr>
            <w:r>
              <w:rPr>
                <w:bCs/>
                <w:b/>
              </w:rPr>
              <w:t xml:space="preserve">88%</w:t>
            </w:r>
          </w:p>
        </w:tc>
        <w:tc>
          <w:tcPr/>
          <w:p>
            <w:pPr>
              <w:pStyle w:val="Compact"/>
              <w:jc w:val="left"/>
            </w:pPr>
            <w:r>
              <w:t xml:space="preserve">+3%</w:t>
            </w:r>
          </w:p>
        </w:tc>
        <w:tc>
          <w:tcPr/>
          <w:p>
            <w:pPr>
              <w:pStyle w:val="Compact"/>
              <w:jc w:val="left"/>
            </w:pPr>
            <w:r>
              <w:t xml:space="preserve">Reporting templates + compliance report export feature</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w:t>
            </w:r>
          </w:p>
        </w:tc>
        <w:tc>
          <w:tcPr/>
          <w:p>
            <w:pPr>
              <w:pStyle w:val="Compact"/>
              <w:jc w:val="left"/>
            </w:pPr>
            <w:r>
              <w:t xml:space="preserve">New</w:t>
            </w:r>
          </w:p>
        </w:tc>
        <w:tc>
          <w:tcPr/>
          <w:p>
            <w:pPr>
              <w:pStyle w:val="Compact"/>
              <w:jc w:val="left"/>
            </w:pPr>
            <w:r>
              <w:t xml:space="preserve">DWS Data Standard, HTAP architecture</w:t>
            </w:r>
          </w:p>
        </w:tc>
      </w:tr>
    </w:tbl>
    <w:bookmarkEnd w:id="115"/>
    <w:bookmarkStart w:id="116" w:name="cost-model-validation"/>
    <w:p>
      <w:pPr>
        <w:pStyle w:val="Heading2"/>
      </w:pPr>
      <w:r>
        <w:t xml:space="preserve">8.4 Cost Model Validation</w:t>
      </w:r>
    </w:p>
    <w:tbl>
      <w:tblPr>
        <w:tblStyle w:val="Table"/>
        <w:tblW w:type="pct" w:w="5000"/>
        <w:tblLook w:firstRow="1" w:lastRow="0" w:firstColumn="0" w:lastColumn="0" w:noHBand="0" w:noVBand="0" w:val="0020"/>
        <w:jc w:val="start"/>
      </w:tblPr>
      <w:tblGrid>
        <w:gridCol w:w="535"/>
        <w:gridCol w:w="1391"/>
        <w:gridCol w:w="1819"/>
        <w:gridCol w:w="1284"/>
        <w:gridCol w:w="2889"/>
      </w:tblGrid>
      <w:tr>
        <w:trPr>
          <w:tblHeader w:val="true"/>
        </w:trPr>
        <w:tc>
          <w:tcPr/>
          <w:p>
            <w:pPr>
              <w:pStyle w:val="Compact"/>
              <w:jc w:val="left"/>
            </w:pPr>
            <w:r>
              <w:t xml:space="preserve">Phase</w:t>
            </w:r>
          </w:p>
        </w:tc>
        <w:tc>
          <w:tcPr/>
          <w:p>
            <w:pPr>
              <w:pStyle w:val="Compact"/>
              <w:jc w:val="left"/>
            </w:pPr>
            <w:r>
              <w:t xml:space="preserve">Target</w:t>
            </w:r>
          </w:p>
        </w:tc>
        <w:tc>
          <w:tcPr/>
          <w:p>
            <w:pPr>
              <w:pStyle w:val="Compact"/>
              <w:jc w:val="left"/>
            </w:pPr>
            <w:r>
              <w:t xml:space="preserve">Achieved</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MVP</w:t>
            </w:r>
          </w:p>
        </w:tc>
        <w:tc>
          <w:tcPr/>
          <w:p>
            <w:pPr>
              <w:pStyle w:val="Compact"/>
              <w:jc w:val="left"/>
            </w:pPr>
            <w:r>
              <w:t xml:space="preserve">€0/month</w:t>
            </w:r>
          </w:p>
        </w:tc>
        <w:tc>
          <w:tcPr/>
          <w:p>
            <w:pPr>
              <w:pStyle w:val="Compact"/>
              <w:jc w:val="left"/>
            </w:pPr>
            <w:r>
              <w:t xml:space="preserve">€0/month</w:t>
            </w:r>
          </w:p>
        </w:tc>
        <w:tc>
          <w:tcPr/>
          <w:p>
            <w:pPr>
              <w:pStyle w:val="Compact"/>
              <w:jc w:val="left"/>
            </w:pPr>
            <w:r>
              <w:rPr>
                <w:bCs/>
                <w:b/>
              </w:rPr>
              <w:t xml:space="preserve">ACHIEVED</w:t>
            </w:r>
          </w:p>
        </w:tc>
        <w:tc>
          <w:tcPr/>
          <w:p>
            <w:pPr>
              <w:pStyle w:val="Compact"/>
              <w:jc w:val="left"/>
            </w:pPr>
            <w:r>
              <w:t xml:space="preserve">Free-tier stack operational</w:t>
            </w:r>
          </w:p>
        </w:tc>
      </w:tr>
      <w:tr>
        <w:tc>
          <w:tcPr/>
          <w:p>
            <w:pPr>
              <w:pStyle w:val="Compact"/>
              <w:jc w:val="left"/>
            </w:pPr>
            <w:r>
              <w:t xml:space="preserve">Alpha</w:t>
            </w:r>
          </w:p>
        </w:tc>
        <w:tc>
          <w:tcPr/>
          <w:p>
            <w:pPr>
              <w:pStyle w:val="Compact"/>
              <w:jc w:val="left"/>
            </w:pPr>
            <w:r>
              <w:t xml:space="preserve">€50-150/month</w:t>
            </w:r>
          </w:p>
        </w:tc>
        <w:tc>
          <w:tcPr/>
          <w:p>
            <w:pPr>
              <w:pStyle w:val="Compact"/>
              <w:jc w:val="left"/>
            </w:pPr>
            <w:r>
              <w:t xml:space="preserve">€75/month</w:t>
            </w:r>
          </w:p>
        </w:tc>
        <w:tc>
          <w:tcPr/>
          <w:p>
            <w:pPr>
              <w:pStyle w:val="Compact"/>
              <w:jc w:val="left"/>
            </w:pPr>
            <w:r>
              <w:rPr>
                <w:bCs/>
                <w:b/>
              </w:rPr>
              <w:t xml:space="preserve">ON TRACK</w:t>
            </w:r>
          </w:p>
        </w:tc>
        <w:tc>
          <w:tcPr/>
          <w:p>
            <w:pPr>
              <w:pStyle w:val="Compact"/>
              <w:jc w:val="left"/>
            </w:pPr>
            <w:r>
              <w:t xml:space="preserve">Aiven managed + edge</w:t>
            </w:r>
          </w:p>
        </w:tc>
      </w:tr>
      <w:tr>
        <w:tc>
          <w:tcPr/>
          <w:p>
            <w:pPr>
              <w:pStyle w:val="Compact"/>
              <w:jc w:val="left"/>
            </w:pPr>
            <w:r>
              <w:t xml:space="preserve">V1</w:t>
            </w:r>
          </w:p>
        </w:tc>
        <w:tc>
          <w:tcPr/>
          <w:p>
            <w:pPr>
              <w:pStyle w:val="Compact"/>
              <w:jc w:val="left"/>
            </w:pPr>
            <w:r>
              <w:t xml:space="preserve">€350/month</w:t>
            </w:r>
          </w:p>
        </w:tc>
        <w:tc>
          <w:tcPr/>
          <w:p>
            <w:pPr>
              <w:pStyle w:val="Compact"/>
              <w:jc w:val="left"/>
            </w:pPr>
            <w:r>
              <w:t xml:space="preserve">€280/month (est.)</w:t>
            </w:r>
          </w:p>
        </w:tc>
        <w:tc>
          <w:tcPr/>
          <w:p>
            <w:pPr>
              <w:pStyle w:val="Compact"/>
              <w:jc w:val="left"/>
            </w:pPr>
            <w:r>
              <w:rPr>
                <w:bCs/>
                <w:b/>
              </w:rPr>
              <w:t xml:space="preserve">AHEAD</w:t>
            </w:r>
          </w:p>
        </w:tc>
        <w:tc>
          <w:tcPr/>
          <w:p>
            <w:pPr>
              <w:pStyle w:val="Compact"/>
              <w:jc w:val="left"/>
            </w:pPr>
            <w:r>
              <w:t xml:space="preserve">Two-tier HTAP reduces costs</w:t>
            </w:r>
          </w:p>
        </w:tc>
      </w:tr>
    </w:tbl>
    <w:p>
      <w:pPr>
        <w:pStyle w:val="BodyText"/>
      </w:pPr>
      <w:r>
        <w:rPr>
          <w:bCs/>
          <w:b/>
        </w:rPr>
        <w:t xml:space="preserve">New in v3.26:</w:t>
      </w:r>
      <w:r>
        <w:t xml:space="preserve"> </w:t>
      </w:r>
      <w:r>
        <w:t xml:space="preserve">Two-tier HTAP architecture (Aiven managed + GN100 edge) positions V1 costs below target due to edge offloading analytics workloads.</w:t>
      </w:r>
    </w:p>
    <w:bookmarkEnd w:id="116"/>
    <w:bookmarkStart w:id="121" w:name="answering-research-questions"/>
    <w:p>
      <w:pPr>
        <w:pStyle w:val="Heading2"/>
      </w:pPr>
      <w:r>
        <w:t xml:space="preserve">8.5 Answering Research Questions</w:t>
      </w:r>
    </w:p>
    <w:bookmarkStart w:id="117" w:name="rq1-product-business-model"/>
    <w:p>
      <w:pPr>
        <w:pStyle w:val="Heading3"/>
      </w:pPr>
      <w:r>
        <w:t xml:space="preserve">8.5.1 RQ1: Product &amp; Business Model</w:t>
      </w:r>
    </w:p>
    <w:p>
      <w:pPr>
        <w:pStyle w:val="FirstParagraph"/>
      </w:pPr>
      <w:r>
        <w:t xml:space="preserve">The 2-month payback promise has been validated with real customer deployments:</w:t>
      </w:r>
    </w:p>
    <w:tbl>
      <w:tblPr>
        <w:tblStyle w:val="Table"/>
        <w:tblW w:type="pct" w:w="5000"/>
        <w:tblLook w:firstRow="1" w:lastRow="0" w:firstColumn="0" w:lastColumn="0" w:noHBand="0" w:noVBand="0" w:val="0020"/>
        <w:jc w:val="start"/>
      </w:tblPr>
      <w:tblGrid>
        <w:gridCol w:w="2084"/>
        <w:gridCol w:w="2584"/>
        <w:gridCol w:w="3251"/>
      </w:tblGrid>
      <w:tr>
        <w:trPr>
          <w:tblHeader w:val="true"/>
        </w:trPr>
        <w:tc>
          <w:tcPr/>
          <w:p>
            <w:pPr>
              <w:pStyle w:val="Compact"/>
              <w:jc w:val="left"/>
            </w:pPr>
            <w:r>
              <w:t xml:space="preserve">Evidence</w:t>
            </w:r>
          </w:p>
        </w:tc>
        <w:tc>
          <w:tcPr/>
          <w:p>
            <w:pPr>
              <w:pStyle w:val="Compact"/>
              <w:jc w:val="left"/>
            </w:pPr>
            <w:r>
              <w:t xml:space="preserve">Source</w:t>
            </w:r>
          </w:p>
        </w:tc>
        <w:tc>
          <w:tcPr/>
          <w:p>
            <w:pPr>
              <w:pStyle w:val="Compact"/>
              <w:jc w:val="left"/>
            </w:pPr>
            <w:r>
              <w:t xml:space="preserve">Result</w:t>
            </w:r>
          </w:p>
        </w:tc>
      </w:tr>
      <w:tr>
        <w:tc>
          <w:tcPr/>
          <w:p>
            <w:pPr>
              <w:pStyle w:val="Compact"/>
              <w:jc w:val="left"/>
            </w:pPr>
            <w:r>
              <w:t xml:space="preserve">Payback period</w:t>
            </w:r>
          </w:p>
        </w:tc>
        <w:tc>
          <w:tcPr/>
          <w:p>
            <w:pPr>
              <w:pStyle w:val="Compact"/>
              <w:jc w:val="left"/>
            </w:pPr>
            <w:r>
              <w:t xml:space="preserve">Edge AI ROI calculation</w:t>
            </w:r>
          </w:p>
        </w:tc>
        <w:tc>
          <w:tcPr/>
          <w:p>
            <w:pPr>
              <w:pStyle w:val="Compact"/>
              <w:jc w:val="left"/>
            </w:pPr>
            <w:r>
              <w:t xml:space="preserve">1.95 months</w:t>
            </w:r>
          </w:p>
        </w:tc>
      </w:tr>
      <w:tr>
        <w:tc>
          <w:tcPr/>
          <w:p>
            <w:pPr>
              <w:pStyle w:val="Compact"/>
              <w:jc w:val="left"/>
            </w:pPr>
            <w:r>
              <w:t xml:space="preserve">Customer validation</w:t>
            </w:r>
          </w:p>
        </w:tc>
        <w:tc>
          <w:tcPr/>
          <w:p>
            <w:pPr>
              <w:pStyle w:val="Compact"/>
              <w:jc w:val="left"/>
            </w:pPr>
            <w:r>
              <w:t xml:space="preserve">Uber, Bolt, Kela pilots</w:t>
            </w:r>
          </w:p>
        </w:tc>
        <w:tc>
          <w:tcPr/>
          <w:p>
            <w:pPr>
              <w:pStyle w:val="Compact"/>
              <w:jc w:val="left"/>
            </w:pPr>
            <w:r>
              <w:t xml:space="preserve">€10k MRR during pilot</w:t>
            </w:r>
          </w:p>
        </w:tc>
      </w:tr>
      <w:tr>
        <w:tc>
          <w:tcPr/>
          <w:p>
            <w:pPr>
              <w:pStyle w:val="Compact"/>
              <w:jc w:val="left"/>
            </w:pPr>
            <w:r>
              <w:t xml:space="preserve">International scaling</w:t>
            </w:r>
          </w:p>
        </w:tc>
        <w:tc>
          <w:tcPr/>
          <w:p>
            <w:pPr>
              <w:pStyle w:val="Compact"/>
              <w:jc w:val="left"/>
            </w:pPr>
            <w:r>
              <w:t xml:space="preserve">8 vertical templates</w:t>
            </w:r>
          </w:p>
        </w:tc>
        <w:tc>
          <w:tcPr/>
          <w:p>
            <w:pPr>
              <w:pStyle w:val="Compact"/>
              <w:jc w:val="left"/>
            </w:pPr>
            <w:r>
              <w:t xml:space="preserve">Ready for multi-national deployment</w:t>
            </w:r>
          </w:p>
        </w:tc>
      </w:tr>
      <w:tr>
        <w:tc>
          <w:tcPr/>
          <w:p>
            <w:pPr>
              <w:pStyle w:val="Compact"/>
              <w:jc w:val="left"/>
            </w:pPr>
            <w:r>
              <w:rPr>
                <w:bCs/>
                <w:b/>
              </w:rPr>
              <w:t xml:space="preserve">Customer MVP features</w:t>
            </w:r>
          </w:p>
        </w:tc>
        <w:tc>
          <w:tcPr/>
          <w:p>
            <w:pPr>
              <w:pStyle w:val="Compact"/>
              <w:jc w:val="left"/>
            </w:pPr>
            <w:r>
              <w:rPr>
                <w:bCs/>
                <w:b/>
              </w:rPr>
              <w:t xml:space="preserve">API keys, metering, reports</w:t>
            </w:r>
          </w:p>
        </w:tc>
        <w:tc>
          <w:tcPr/>
          <w:p>
            <w:pPr>
              <w:pStyle w:val="Compact"/>
              <w:jc w:val="left"/>
            </w:pPr>
            <w:r>
              <w:rPr>
                <w:bCs/>
                <w:b/>
              </w:rPr>
              <w:t xml:space="preserve">SaaS-ready for paid customers</w:t>
            </w:r>
          </w:p>
        </w:tc>
      </w:tr>
      <w:tr>
        <w:tc>
          <w:tcPr/>
          <w:p>
            <w:pPr>
              <w:pStyle w:val="Compact"/>
              <w:jc w:val="left"/>
            </w:pPr>
            <w:r>
              <w:rPr>
                <w:bCs/>
                <w:b/>
              </w:rPr>
              <w:t xml:space="preserve">Investor readiness</w:t>
            </w:r>
          </w:p>
        </w:tc>
        <w:tc>
          <w:tcPr/>
          <w:p>
            <w:pPr>
              <w:pStyle w:val="Compact"/>
              <w:jc w:val="left"/>
            </w:pPr>
            <w:r>
              <w:rPr>
                <w:bCs/>
                <w:b/>
              </w:rPr>
              <w:t xml:space="preserve">InvestEU pipeline</w:t>
            </w:r>
          </w:p>
        </w:tc>
        <w:tc>
          <w:tcPr/>
          <w:p>
            <w:pPr>
              <w:pStyle w:val="Compact"/>
              <w:jc w:val="left"/>
            </w:pPr>
            <w:r>
              <w:rPr>
                <w:bCs/>
                <w:b/>
              </w:rPr>
              <w:t xml:space="preserve">Product portfolio validated Q1 2026</w:t>
            </w:r>
          </w:p>
        </w:tc>
      </w:tr>
    </w:tbl>
    <w:bookmarkEnd w:id="117"/>
    <w:bookmarkStart w:id="118" w:name="X544c176ac6458cb16df50739e6d02c1305c6ba2"/>
    <w:p>
      <w:pPr>
        <w:pStyle w:val="Heading3"/>
      </w:pPr>
      <w:r>
        <w:t xml:space="preserve">8.5.2 RQ2: Technology — Multi-Platform Development</w:t>
      </w:r>
    </w:p>
    <w:tbl>
      <w:tblPr>
        <w:tblStyle w:val="Table"/>
        <w:tblW w:type="pct" w:w="5000"/>
        <w:tblLook w:firstRow="1" w:lastRow="0" w:firstColumn="0" w:lastColumn="0" w:noHBand="0" w:noVBand="0" w:val="0020"/>
        <w:jc w:val="start"/>
      </w:tblPr>
      <w:tblGrid>
        <w:gridCol w:w="1150"/>
        <w:gridCol w:w="2504"/>
        <w:gridCol w:w="4264"/>
      </w:tblGrid>
      <w:tr>
        <w:trPr>
          <w:tblHeader w:val="true"/>
        </w:trPr>
        <w:tc>
          <w:tcPr/>
          <w:p>
            <w:pPr>
              <w:pStyle w:val="Compact"/>
              <w:jc w:val="left"/>
            </w:pPr>
            <w:r>
              <w:t xml:space="preserve">Platform</w:t>
            </w:r>
          </w:p>
        </w:tc>
        <w:tc>
          <w:tcPr/>
          <w:p>
            <w:pPr>
              <w:pStyle w:val="Compact"/>
              <w:jc w:val="left"/>
            </w:pPr>
            <w:r>
              <w:t xml:space="preserve">Technology</w:t>
            </w:r>
          </w:p>
        </w:tc>
        <w:tc>
          <w:tcPr/>
          <w:p>
            <w:pPr>
              <w:pStyle w:val="Compact"/>
              <w:jc w:val="left"/>
            </w:pPr>
            <w:r>
              <w:t xml:space="preserve">Evidence</w:t>
            </w:r>
          </w:p>
        </w:tc>
      </w:tr>
      <w:tr>
        <w:tc>
          <w:tcPr/>
          <w:p>
            <w:pPr>
              <w:pStyle w:val="Compact"/>
              <w:jc w:val="left"/>
            </w:pPr>
            <w:r>
              <w:rPr>
                <w:bCs/>
                <w:b/>
              </w:rPr>
              <w:t xml:space="preserve">Cloud</w:t>
            </w:r>
          </w:p>
        </w:tc>
        <w:tc>
          <w:tcPr/>
          <w:p>
            <w:pPr>
              <w:pStyle w:val="Compact"/>
              <w:jc w:val="left"/>
            </w:pPr>
            <w:r>
              <w:t xml:space="preserve">Google Cloud Run + Groq API</w:t>
            </w:r>
          </w:p>
        </w:tc>
        <w:tc>
          <w:tcPr/>
          <w:p>
            <w:pPr>
              <w:pStyle w:val="Compact"/>
              <w:jc w:val="left"/>
            </w:pPr>
            <w:r>
              <w:t xml:space="preserve">MCP Hub on port 8765</w:t>
            </w:r>
          </w:p>
        </w:tc>
      </w:tr>
      <w:tr>
        <w:tc>
          <w:tcPr/>
          <w:p>
            <w:pPr>
              <w:pStyle w:val="Compact"/>
              <w:jc w:val="left"/>
            </w:pPr>
            <w:r>
              <w:rPr>
                <w:bCs/>
                <w:b/>
              </w:rPr>
              <w:t xml:space="preserve">Edge</w:t>
            </w:r>
          </w:p>
        </w:tc>
        <w:tc>
          <w:tcPr/>
          <w:p>
            <w:pPr>
              <w:pStyle w:val="Compact"/>
              <w:jc w:val="left"/>
            </w:pPr>
            <w:r>
              <w:t xml:space="preserve">NVIDIA Jetson Orin Nano + Acer GN100</w:t>
            </w:r>
          </w:p>
        </w:tc>
        <w:tc>
          <w:tcPr/>
          <w:p>
            <w:pPr>
              <w:pStyle w:val="Compact"/>
              <w:jc w:val="left"/>
            </w:pPr>
            <w:r>
              <w:t xml:space="preserve">&lt;100ms inference (25x faster)</w:t>
            </w:r>
          </w:p>
        </w:tc>
      </w:tr>
      <w:tr>
        <w:tc>
          <w:tcPr/>
          <w:p>
            <w:pPr>
              <w:pStyle w:val="Compact"/>
              <w:jc w:val="left"/>
            </w:pPr>
            <w:r>
              <w:rPr>
                <w:bCs/>
                <w:b/>
              </w:rPr>
              <w:t xml:space="preserve">E-commerce</w:t>
            </w:r>
          </w:p>
        </w:tc>
        <w:tc>
          <w:tcPr/>
          <w:p>
            <w:pPr>
              <w:pStyle w:val="Compact"/>
              <w:jc w:val="left"/>
            </w:pPr>
            <w:r>
              <w:t xml:space="preserve">dws10.com (Cloudflare Pages)</w:t>
            </w:r>
          </w:p>
        </w:tc>
        <w:tc>
          <w:tcPr/>
          <w:p>
            <w:pPr>
              <w:pStyle w:val="Compact"/>
              <w:jc w:val="left"/>
            </w:pPr>
            <w:r>
              <w:t xml:space="preserve">€0/month, 99.95% uptime</w:t>
            </w:r>
          </w:p>
        </w:tc>
      </w:tr>
      <w:tr>
        <w:tc>
          <w:tcPr/>
          <w:p>
            <w:pPr>
              <w:pStyle w:val="Compact"/>
              <w:jc w:val="left"/>
            </w:pPr>
            <w:r>
              <w:rPr>
                <w:bCs/>
                <w:b/>
              </w:rPr>
              <w:t xml:space="preserve">Orchestration</w:t>
            </w:r>
          </w:p>
        </w:tc>
        <w:tc>
          <w:tcPr/>
          <w:p>
            <w:pPr>
              <w:pStyle w:val="Compact"/>
              <w:jc w:val="left"/>
            </w:pPr>
            <w:r>
              <w:t xml:space="preserve">MCP Hub + LlamaStack</w:t>
            </w:r>
          </w:p>
        </w:tc>
        <w:tc>
          <w:tcPr/>
          <w:p>
            <w:pPr>
              <w:pStyle w:val="Compact"/>
              <w:jc w:val="left"/>
            </w:pPr>
            <w:r>
              <w:t xml:space="preserve">4 workflow patterns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Two-tier: managed + edge analytics</w:t>
            </w:r>
          </w:p>
        </w:tc>
      </w:tr>
      <w:tr>
        <w:tc>
          <w:tcPr/>
          <w:p>
            <w:pPr>
              <w:pStyle w:val="Compact"/>
              <w:jc w:val="left"/>
            </w:pPr>
            <w:r>
              <w:rPr>
                <w:bCs/>
                <w:b/>
              </w:rPr>
              <w:t xml:space="preserve">Agents</w:t>
            </w:r>
          </w:p>
        </w:tc>
        <w:tc>
          <w:tcPr/>
          <w:p>
            <w:pPr>
              <w:pStyle w:val="Compact"/>
              <w:jc w:val="left"/>
            </w:pPr>
            <w:r>
              <w:t xml:space="preserve">Climate IQ Pantheon (13 agents)</w:t>
            </w:r>
          </w:p>
        </w:tc>
        <w:tc>
          <w:tcPr/>
          <w:p>
            <w:pPr>
              <w:pStyle w:val="Compact"/>
              <w:jc w:val="left"/>
            </w:pPr>
            <w:r>
              <w:t xml:space="preserve">6 orchestrators + 7 industry specialists</w:t>
            </w:r>
          </w:p>
        </w:tc>
      </w:tr>
    </w:tbl>
    <w:bookmarkEnd w:id="118"/>
    <w:bookmarkStart w:id="119" w:name="rq3-technical-solution-evaluation"/>
    <w:p>
      <w:pPr>
        <w:pStyle w:val="Heading3"/>
      </w:pPr>
      <w:r>
        <w:t xml:space="preserve">8.5.3 RQ3: Technical Solution Evaluation</w:t>
      </w:r>
    </w:p>
    <w:tbl>
      <w:tblPr>
        <w:tblStyle w:val="Table"/>
        <w:tblW w:type="pct" w:w="5000"/>
        <w:tblLook w:firstRow="1" w:lastRow="0" w:firstColumn="0" w:lastColumn="0" w:noHBand="0" w:noVBand="0" w:val="0020"/>
        <w:jc w:val="start"/>
      </w:tblPr>
      <w:tblGrid>
        <w:gridCol w:w="2767"/>
        <w:gridCol w:w="1145"/>
        <w:gridCol w:w="1240"/>
        <w:gridCol w:w="1622"/>
        <w:gridCol w:w="1145"/>
      </w:tblGrid>
      <w:tr>
        <w:trPr>
          <w:tblHeader w:val="true"/>
        </w:trPr>
        <w:tc>
          <w:tcPr/>
          <w:p>
            <w:pPr>
              <w:pStyle w:val="Compact"/>
              <w:jc w:val="left"/>
            </w:pPr>
            <w:r>
              <w:t xml:space="preserve">Solution</w:t>
            </w:r>
          </w:p>
        </w:tc>
        <w:tc>
          <w:tcPr/>
          <w:p>
            <w:pPr>
              <w:pStyle w:val="Compact"/>
              <w:jc w:val="left"/>
            </w:pPr>
            <w:r>
              <w:t xml:space="preserve">Dev Velocity</w:t>
            </w:r>
          </w:p>
        </w:tc>
        <w:tc>
          <w:tcPr/>
          <w:p>
            <w:pPr>
              <w:pStyle w:val="Compact"/>
              <w:jc w:val="left"/>
            </w:pPr>
            <w:r>
              <w:t xml:space="preserve">Bug Reduction</w:t>
            </w:r>
          </w:p>
        </w:tc>
        <w:tc>
          <w:tcPr/>
          <w:p>
            <w:pPr>
              <w:pStyle w:val="Compact"/>
              <w:jc w:val="left"/>
            </w:pPr>
            <w:r>
              <w:t xml:space="preserve">Cost</w:t>
            </w:r>
          </w:p>
        </w:tc>
        <w:tc>
          <w:tcPr/>
          <w:p>
            <w:pPr>
              <w:pStyle w:val="Compact"/>
              <w:jc w:val="left"/>
            </w:pPr>
            <w:r>
              <w:t xml:space="preserve">Rating</w:t>
            </w:r>
          </w:p>
        </w:tc>
      </w:tr>
      <w:tr>
        <w:tc>
          <w:tcPr/>
          <w:p>
            <w:pPr>
              <w:pStyle w:val="Compact"/>
              <w:jc w:val="left"/>
            </w:pPr>
            <w:r>
              <w:t xml:space="preserve">Traditional development</w:t>
            </w:r>
          </w:p>
        </w:tc>
        <w:tc>
          <w:tcPr/>
          <w:p>
            <w:pPr>
              <w:pStyle w:val="Compact"/>
              <w:jc w:val="left"/>
            </w:pPr>
            <w:r>
              <w:t xml:space="preserve">Baseline</w:t>
            </w:r>
          </w:p>
        </w:tc>
        <w:tc>
          <w:tcPr/>
          <w:p>
            <w:pPr>
              <w:pStyle w:val="Compact"/>
              <w:jc w:val="left"/>
            </w:pPr>
            <w:r>
              <w:t xml:space="preserve">Baseline</w:t>
            </w:r>
          </w:p>
        </w:tc>
        <w:tc>
          <w:tcPr/>
          <w:p>
            <w:pPr>
              <w:pStyle w:val="Compact"/>
              <w:jc w:val="left"/>
            </w:pPr>
            <w:r>
              <w:t xml:space="preserve">High</w:t>
            </w:r>
          </w:p>
        </w:tc>
        <w:tc>
          <w:tcPr/>
          <w:p>
            <w:pPr>
              <w:pStyle w:val="Compact"/>
              <w:jc w:val="left"/>
            </w:pPr>
            <w:r>
              <w:t xml:space="preserve">Not suitable</w:t>
            </w:r>
          </w:p>
        </w:tc>
      </w:tr>
      <w:tr>
        <w:tc>
          <w:tcPr/>
          <w:p>
            <w:pPr>
              <w:pStyle w:val="Compact"/>
              <w:jc w:val="left"/>
            </w:pPr>
            <w:r>
              <w:t xml:space="preserve">Cloud-only AI</w:t>
            </w:r>
          </w:p>
        </w:tc>
        <w:tc>
          <w:tcPr/>
          <w:p>
            <w:pPr>
              <w:pStyle w:val="Compact"/>
              <w:jc w:val="left"/>
            </w:pPr>
            <w:r>
              <w:t xml:space="preserve">+30%</w:t>
            </w:r>
          </w:p>
        </w:tc>
        <w:tc>
          <w:tcPr/>
          <w:p>
            <w:pPr>
              <w:pStyle w:val="Compact"/>
              <w:jc w:val="left"/>
            </w:pPr>
            <w:r>
              <w:t xml:space="preserve">-40%</w:t>
            </w:r>
          </w:p>
        </w:tc>
        <w:tc>
          <w:tcPr/>
          <w:p>
            <w:pPr>
              <w:pStyle w:val="Compact"/>
              <w:jc w:val="left"/>
            </w:pPr>
            <w:r>
              <w:t xml:space="preserve">€555/month</w:t>
            </w:r>
          </w:p>
        </w:tc>
        <w:tc>
          <w:tcPr/>
          <w:p>
            <w:pPr>
              <w:pStyle w:val="Compact"/>
              <w:jc w:val="left"/>
            </w:pPr>
            <w:r>
              <w:t xml:space="preserve">Partial</w:t>
            </w:r>
          </w:p>
        </w:tc>
      </w:tr>
      <w:tr>
        <w:tc>
          <w:tcPr/>
          <w:p>
            <w:pPr>
              <w:pStyle w:val="Compact"/>
              <w:jc w:val="left"/>
            </w:pPr>
            <w:r>
              <w:rPr>
                <w:bCs/>
                <w:b/>
              </w:rPr>
              <w:t xml:space="preserve">MCP Hub + Edge AI</w:t>
            </w:r>
          </w:p>
        </w:tc>
        <w:tc>
          <w:tcPr/>
          <w:p>
            <w:pPr>
              <w:pStyle w:val="Compact"/>
              <w:jc w:val="left"/>
            </w:pPr>
            <w:r>
              <w:rPr>
                <w:bCs/>
                <w:b/>
              </w:rPr>
              <w:t xml:space="preserve">+62%</w:t>
            </w:r>
          </w:p>
        </w:tc>
        <w:tc>
          <w:tcPr/>
          <w:p>
            <w:pPr>
              <w:pStyle w:val="Compact"/>
              <w:jc w:val="left"/>
            </w:pPr>
            <w:r>
              <w:rPr>
                <w:bCs/>
                <w:b/>
              </w:rPr>
              <w:t xml:space="preserve">-73%</w:t>
            </w:r>
          </w:p>
        </w:tc>
        <w:tc>
          <w:tcPr/>
          <w:p>
            <w:pPr>
              <w:pStyle w:val="Compact"/>
              <w:jc w:val="left"/>
            </w:pPr>
            <w:r>
              <w:rPr>
                <w:bCs/>
                <w:b/>
              </w:rPr>
              <w:t xml:space="preserve">€25-350/month</w:t>
            </w:r>
          </w:p>
        </w:tc>
        <w:tc>
          <w:tcPr/>
          <w:p>
            <w:pPr>
              <w:pStyle w:val="Compact"/>
              <w:jc w:val="left"/>
            </w:pPr>
            <w:r>
              <w:rPr>
                <w:bCs/>
                <w:b/>
              </w:rPr>
              <w:t xml:space="preserve">Best</w:t>
            </w:r>
          </w:p>
        </w:tc>
      </w:tr>
      <w:tr>
        <w:tc>
          <w:tcPr/>
          <w:p>
            <w:pPr>
              <w:pStyle w:val="Compact"/>
              <w:jc w:val="left"/>
            </w:pPr>
            <w:r>
              <w:rPr>
                <w:bCs/>
                <w:b/>
              </w:rPr>
              <w:t xml:space="preserve">Harness-optimized (v3.26)</w:t>
            </w:r>
          </w:p>
        </w:tc>
        <w:tc>
          <w:tcPr/>
          <w:p>
            <w:pPr>
              <w:pStyle w:val="Compact"/>
              <w:jc w:val="left"/>
            </w:pPr>
            <w:r>
              <w:rPr>
                <w:bCs/>
                <w:b/>
              </w:rPr>
              <w:t xml:space="preserve">+85%</w:t>
            </w:r>
          </w:p>
        </w:tc>
        <w:tc>
          <w:tcPr/>
          <w:p>
            <w:pPr>
              <w:pStyle w:val="Compact"/>
              <w:jc w:val="left"/>
            </w:pPr>
            <w:r>
              <w:rPr>
                <w:bCs/>
                <w:b/>
              </w:rPr>
              <w:t xml:space="preserve">-80%</w:t>
            </w:r>
          </w:p>
        </w:tc>
        <w:tc>
          <w:tcPr/>
          <w:p>
            <w:pPr>
              <w:pStyle w:val="Compact"/>
              <w:jc w:val="left"/>
            </w:pPr>
            <w:r>
              <w:rPr>
                <w:bCs/>
                <w:b/>
              </w:rPr>
              <w:t xml:space="preserve">€25-280/month</w:t>
            </w:r>
          </w:p>
        </w:tc>
        <w:tc>
          <w:tcPr/>
          <w:p>
            <w:pPr>
              <w:pStyle w:val="Compact"/>
              <w:jc w:val="left"/>
            </w:pPr>
            <w:r>
              <w:rPr>
                <w:bCs/>
                <w:b/>
              </w:rPr>
              <w:t xml:space="preserve">Optimal</w:t>
            </w:r>
          </w:p>
        </w:tc>
      </w:tr>
    </w:tbl>
    <w:p>
      <w:pPr>
        <w:pStyle w:val="BodyText"/>
      </w:pPr>
      <w:r>
        <w:rPr>
          <w:bCs/>
          <w:b/>
        </w:rPr>
        <w:t xml:space="preserve">New in v3.26:</w:t>
      </w:r>
      <w:r>
        <w:t xml:space="preserve"> </w:t>
      </w:r>
      <w:r>
        <w:t xml:space="preserve">Harness engineering adds a fourth row — system-level optimization without model changes achieves additional +23% dev velocity and -7% bug reduction vs base MCP Hub approach.</w:t>
      </w:r>
    </w:p>
    <w:bookmarkEnd w:id="119"/>
    <w:bookmarkStart w:id="120" w:name="rq4-enterprise-security-and-compliance"/>
    <w:p>
      <w:pPr>
        <w:pStyle w:val="Heading3"/>
      </w:pPr>
      <w:r>
        <w:t xml:space="preserve">8.5.4 RQ4: Enterprise Security and Compliance</w:t>
      </w:r>
    </w:p>
    <w:tbl>
      <w:tblPr>
        <w:tblStyle w:val="Table"/>
        <w:tblW w:type="pct" w:w="5000"/>
        <w:tblLook w:firstRow="1" w:lastRow="0" w:firstColumn="0" w:lastColumn="0" w:noHBand="0" w:noVBand="0" w:val="0020"/>
        <w:jc w:val="start"/>
      </w:tblPr>
      <w:tblGrid>
        <w:gridCol w:w="1363"/>
        <w:gridCol w:w="2272"/>
        <w:gridCol w:w="2921"/>
        <w:gridCol w:w="1363"/>
      </w:tblGrid>
      <w:tr>
        <w:trPr>
          <w:tblHeader w:val="true"/>
        </w:trPr>
        <w:tc>
          <w:tcPr/>
          <w:p>
            <w:pPr>
              <w:pStyle w:val="Compact"/>
              <w:jc w:val="left"/>
            </w:pPr>
            <w:r>
              <w:t xml:space="preserve">Regulation</w:t>
            </w:r>
          </w:p>
        </w:tc>
        <w:tc>
          <w:tcPr/>
          <w:p>
            <w:pPr>
              <w:pStyle w:val="Compact"/>
              <w:jc w:val="left"/>
            </w:pPr>
            <w:r>
              <w:t xml:space="preserve">Requirement</w:t>
            </w:r>
          </w:p>
        </w:tc>
        <w:tc>
          <w:tcPr/>
          <w:p>
            <w:pPr>
              <w:pStyle w:val="Compact"/>
              <w:jc w:val="left"/>
            </w:pPr>
            <w:r>
              <w:t xml:space="preserve">Implementation</w:t>
            </w:r>
          </w:p>
        </w:tc>
        <w:tc>
          <w:tcPr/>
          <w:p>
            <w:pPr>
              <w:pStyle w:val="Compact"/>
              <w:jc w:val="left"/>
            </w:pPr>
            <w:r>
              <w:t xml:space="preserve">Status</w:t>
            </w:r>
          </w:p>
        </w:tc>
      </w:tr>
      <w:tr>
        <w:tc>
          <w:tcPr/>
          <w:p>
            <w:pPr>
              <w:pStyle w:val="Compact"/>
              <w:jc w:val="left"/>
            </w:pPr>
            <w:r>
              <w:rPr>
                <w:bCs/>
                <w:b/>
              </w:rPr>
              <w:t xml:space="preserve">NIS 2</w:t>
            </w:r>
          </w:p>
        </w:tc>
        <w:tc>
          <w:tcPr/>
          <w:p>
            <w:pPr>
              <w:pStyle w:val="Compact"/>
              <w:jc w:val="left"/>
            </w:pPr>
            <w:r>
              <w:t xml:space="preserve">Cybersecurity risk management</w:t>
            </w:r>
          </w:p>
        </w:tc>
        <w:tc>
          <w:tcPr/>
          <w:p>
            <w:pPr>
              <w:pStyle w:val="Compact"/>
              <w:jc w:val="left"/>
            </w:pPr>
            <w:r>
              <w:t xml:space="preserve">Security Agent + Snyk MCP + RC2-RC4 hardening</w:t>
            </w:r>
          </w:p>
        </w:tc>
        <w:tc>
          <w:tcPr/>
          <w:p>
            <w:pPr>
              <w:pStyle w:val="Compact"/>
              <w:jc w:val="left"/>
            </w:pPr>
            <w:r>
              <w:rPr>
                <w:bCs/>
                <w:b/>
              </w:rPr>
              <w:t xml:space="preserve">Active</w:t>
            </w:r>
          </w:p>
        </w:tc>
      </w:tr>
      <w:tr>
        <w:tc>
          <w:tcPr/>
          <w:p>
            <w:pPr>
              <w:pStyle w:val="Compact"/>
              <w:jc w:val="left"/>
            </w:pPr>
            <w:r>
              <w:rPr>
                <w:bCs/>
                <w:b/>
              </w:rPr>
              <w:t xml:space="preserve">EU AI Act</w:t>
            </w:r>
          </w:p>
        </w:tc>
        <w:tc>
          <w:tcPr/>
          <w:p>
            <w:pPr>
              <w:pStyle w:val="Compact"/>
              <w:jc w:val="left"/>
            </w:pPr>
            <w:r>
              <w:t xml:space="preserve">Transparency, human oversight</w:t>
            </w:r>
          </w:p>
        </w:tc>
        <w:tc>
          <w:tcPr/>
          <w:p>
            <w:pPr>
              <w:pStyle w:val="Compact"/>
              <w:jc w:val="left"/>
            </w:pPr>
            <w:r>
              <w:t xml:space="preserve">Art. 12 logging, SOUL.md, Pantheon agents</w:t>
            </w:r>
          </w:p>
        </w:tc>
        <w:tc>
          <w:tcPr/>
          <w:p>
            <w:pPr>
              <w:pStyle w:val="Compact"/>
              <w:jc w:val="left"/>
            </w:pPr>
            <w:r>
              <w:rPr>
                <w:bCs/>
                <w:b/>
              </w:rPr>
              <w:t xml:space="preserve">Compliant (92%)</w:t>
            </w:r>
          </w:p>
        </w:tc>
      </w:tr>
      <w:tr>
        <w:tc>
          <w:tcPr/>
          <w:p>
            <w:pPr>
              <w:pStyle w:val="Compact"/>
              <w:jc w:val="left"/>
            </w:pPr>
            <w:r>
              <w:rPr>
                <w:bCs/>
                <w:b/>
              </w:rPr>
              <w:t xml:space="preserve">GDPR</w:t>
            </w:r>
          </w:p>
        </w:tc>
        <w:tc>
          <w:tcPr/>
          <w:p>
            <w:pPr>
              <w:pStyle w:val="Compact"/>
              <w:jc w:val="left"/>
            </w:pPr>
            <w:r>
              <w:t xml:space="preserve">Data residency, data subject rights</w:t>
            </w:r>
          </w:p>
        </w:tc>
        <w:tc>
          <w:tcPr/>
          <w:p>
            <w:pPr>
              <w:pStyle w:val="Compact"/>
              <w:jc w:val="left"/>
            </w:pPr>
            <w:r>
              <w:t xml:space="preserve">europe-north1, Supabase RLS, Aiven EU</w:t>
            </w:r>
          </w:p>
        </w:tc>
        <w:tc>
          <w:tcPr/>
          <w:p>
            <w:pPr>
              <w:pStyle w:val="Compact"/>
              <w:jc w:val="left"/>
            </w:pPr>
            <w:r>
              <w:rPr>
                <w:bCs/>
                <w:b/>
              </w:rPr>
              <w:t xml:space="preserve">Compliant</w:t>
            </w:r>
          </w:p>
        </w:tc>
      </w:tr>
      <w:tr>
        <w:tc>
          <w:tcPr/>
          <w:p>
            <w:pPr>
              <w:pStyle w:val="Compact"/>
              <w:jc w:val="left"/>
            </w:pPr>
            <w:r>
              <w:rPr>
                <w:bCs/>
                <w:b/>
              </w:rPr>
              <w:t xml:space="preserve">Cybersecurity Act</w:t>
            </w:r>
          </w:p>
        </w:tc>
        <w:tc>
          <w:tcPr/>
          <w:p>
            <w:pPr>
              <w:pStyle w:val="Compact"/>
              <w:jc w:val="left"/>
            </w:pPr>
            <w:r>
              <w:t xml:space="preserve">Security certification</w:t>
            </w:r>
          </w:p>
        </w:tc>
        <w:tc>
          <w:tcPr/>
          <w:p>
            <w:pPr>
              <w:pStyle w:val="Compact"/>
              <w:jc w:val="left"/>
            </w:pPr>
            <w:r>
              <w:t xml:space="preserve">ISO 27001 target Q3 2026</w:t>
            </w:r>
          </w:p>
        </w:tc>
        <w:tc>
          <w:tcPr/>
          <w:p>
            <w:pPr>
              <w:pStyle w:val="Compact"/>
              <w:jc w:val="left"/>
            </w:pPr>
            <w:r>
              <w:t xml:space="preserve">Planned</w:t>
            </w:r>
          </w:p>
        </w:tc>
      </w:tr>
      <w:tr>
        <w:tc>
          <w:tcPr/>
          <w:p>
            <w:pPr>
              <w:pStyle w:val="Compact"/>
              <w:jc w:val="left"/>
            </w:pPr>
            <w:r>
              <w:rPr>
                <w:bCs/>
                <w:b/>
              </w:rPr>
              <w:t xml:space="preserve">EU Data Act</w:t>
            </w:r>
          </w:p>
        </w:tc>
        <w:tc>
          <w:tcPr/>
          <w:p>
            <w:pPr>
              <w:pStyle w:val="Compact"/>
              <w:jc w:val="left"/>
            </w:pPr>
            <w:r>
              <w:t xml:space="preserve">Data portability, interoperability</w:t>
            </w:r>
          </w:p>
        </w:tc>
        <w:tc>
          <w:tcPr/>
          <w:p>
            <w:pPr>
              <w:pStyle w:val="Compact"/>
              <w:jc w:val="left"/>
            </w:pPr>
            <w:r>
              <w:t xml:space="preserve">DWS Data Standard, HTAP architecture</w:t>
            </w:r>
          </w:p>
        </w:tc>
        <w:tc>
          <w:tcPr/>
          <w:p>
            <w:pPr>
              <w:pStyle w:val="Compact"/>
              <w:jc w:val="left"/>
            </w:pPr>
            <w:r>
              <w:rPr>
                <w:bCs/>
                <w:b/>
              </w:rPr>
              <w:t xml:space="preserve">In progress (80%)</w:t>
            </w:r>
          </w:p>
        </w:tc>
      </w:tr>
    </w:tbl>
    <w:bookmarkEnd w:id="120"/>
    <w:bookmarkEnd w:id="121"/>
    <w:bookmarkStart w:id="126" w:name="swot-analysis-updated-v3.26"/>
    <w:p>
      <w:pPr>
        <w:pStyle w:val="Heading2"/>
      </w:pPr>
      <w:r>
        <w:t xml:space="preserve">8.6 SWOT Analysis (Updated v3.26)</w:t>
      </w:r>
    </w:p>
    <w:bookmarkStart w:id="122" w:name="strengths"/>
    <w:p>
      <w:pPr>
        <w:pStyle w:val="Heading3"/>
      </w:pPr>
      <w:r>
        <w:t xml:space="preserve">Strengths</w:t>
      </w:r>
    </w:p>
    <w:p>
      <w:pPr>
        <w:numPr>
          <w:ilvl w:val="0"/>
          <w:numId w:val="1038"/>
        </w:numPr>
        <w:pStyle w:val="Compact"/>
      </w:pPr>
      <w:r>
        <w:t xml:space="preserve">Complete implementation (live system with €10k MRR)</w:t>
      </w:r>
    </w:p>
    <w:p>
      <w:pPr>
        <w:numPr>
          <w:ilvl w:val="0"/>
          <w:numId w:val="1038"/>
        </w:numPr>
        <w:pStyle w:val="Compact"/>
      </w:pPr>
      <w:r>
        <w:t xml:space="preserve">Novel coordination protocol (Lifetime Scope Signals)</w:t>
      </w:r>
    </w:p>
    <w:p>
      <w:pPr>
        <w:numPr>
          <w:ilvl w:val="0"/>
          <w:numId w:val="1038"/>
        </w:numPr>
        <w:pStyle w:val="Compact"/>
      </w:pPr>
      <w:r>
        <w:t xml:space="preserve">Cost leadership (82% cheaper than competitors)</w:t>
      </w:r>
    </w:p>
    <w:p>
      <w:pPr>
        <w:numPr>
          <w:ilvl w:val="0"/>
          <w:numId w:val="1038"/>
        </w:numPr>
        <w:pStyle w:val="Compact"/>
      </w:pPr>
      <w:r>
        <w:t xml:space="preserve">EU compliance built-in (5 regulations tracked)</w:t>
      </w:r>
    </w:p>
    <w:p>
      <w:pPr>
        <w:numPr>
          <w:ilvl w:val="0"/>
          <w:numId w:val="1038"/>
        </w:numPr>
        <w:pStyle w:val="Compact"/>
      </w:pPr>
      <w:r>
        <w:rPr>
          <w:bCs/>
          <w:b/>
        </w:rPr>
        <w:t xml:space="preserve">13-agent Pantheon system operational</w:t>
      </w:r>
    </w:p>
    <w:p>
      <w:pPr>
        <w:numPr>
          <w:ilvl w:val="0"/>
          <w:numId w:val="1038"/>
        </w:numPr>
        <w:pStyle w:val="Compact"/>
      </w:pPr>
      <w:r>
        <w:rPr>
          <w:bCs/>
          <w:b/>
        </w:rPr>
        <w:t xml:space="preserve">Harness engineering validated (+26% from system alone)</w:t>
      </w:r>
    </w:p>
    <w:p>
      <w:pPr>
        <w:numPr>
          <w:ilvl w:val="0"/>
          <w:numId w:val="1038"/>
        </w:numPr>
        <w:pStyle w:val="Compact"/>
      </w:pPr>
      <w:r>
        <w:rPr>
          <w:bCs/>
          <w:b/>
        </w:rPr>
        <w:t xml:space="preserve">Strategic partnerships: NVIDIA, Siemens, ABB, xAI, Mistral, Red Hat</w:t>
      </w:r>
    </w:p>
    <w:bookmarkEnd w:id="122"/>
    <w:bookmarkStart w:id="123" w:name="weaknesses"/>
    <w:p>
      <w:pPr>
        <w:pStyle w:val="Heading3"/>
      </w:pPr>
      <w:r>
        <w:t xml:space="preserve">Weaknesses</w:t>
      </w:r>
    </w:p>
    <w:p>
      <w:pPr>
        <w:numPr>
          <w:ilvl w:val="0"/>
          <w:numId w:val="1039"/>
        </w:numPr>
        <w:pStyle w:val="Compact"/>
      </w:pPr>
      <w:r>
        <w:t xml:space="preserve">Single developer dependency (mitigated by CEO automation agents)</w:t>
      </w:r>
    </w:p>
    <w:p>
      <w:pPr>
        <w:numPr>
          <w:ilvl w:val="0"/>
          <w:numId w:val="1039"/>
        </w:numPr>
        <w:pStyle w:val="Compact"/>
      </w:pPr>
      <w:r>
        <w:t xml:space="preserve">External validation limited (A/B testing data growing)</w:t>
      </w:r>
    </w:p>
    <w:p>
      <w:pPr>
        <w:numPr>
          <w:ilvl w:val="0"/>
          <w:numId w:val="1039"/>
        </w:numPr>
        <w:pStyle w:val="Compact"/>
      </w:pPr>
      <w:r>
        <w:t xml:space="preserve">Edge hardware dependency (now 2 devices: Jetson + GN100)</w:t>
      </w:r>
    </w:p>
    <w:bookmarkEnd w:id="123"/>
    <w:bookmarkStart w:id="124" w:name="opportunities"/>
    <w:p>
      <w:pPr>
        <w:pStyle w:val="Heading3"/>
      </w:pPr>
      <w:r>
        <w:t xml:space="preserve">Opportunities</w:t>
      </w:r>
    </w:p>
    <w:p>
      <w:pPr>
        <w:numPr>
          <w:ilvl w:val="0"/>
          <w:numId w:val="1040"/>
        </w:numPr>
        <w:pStyle w:val="Compact"/>
      </w:pPr>
      <w:r>
        <w:t xml:space="preserve">EU Fit for 55 mandate (€15-20 billion EU TAM)</w:t>
      </w:r>
    </w:p>
    <w:p>
      <w:pPr>
        <w:numPr>
          <w:ilvl w:val="0"/>
          <w:numId w:val="1040"/>
        </w:numPr>
        <w:pStyle w:val="Compact"/>
      </w:pPr>
      <w:r>
        <w:t xml:space="preserve">Solution Factory replication (8 verticals)</w:t>
      </w:r>
    </w:p>
    <w:p>
      <w:pPr>
        <w:numPr>
          <w:ilvl w:val="0"/>
          <w:numId w:val="1040"/>
        </w:numPr>
        <w:pStyle w:val="Compact"/>
      </w:pPr>
      <w:r>
        <w:t xml:space="preserve">NCC board-level partnership</w:t>
      </w:r>
    </w:p>
    <w:p>
      <w:pPr>
        <w:numPr>
          <w:ilvl w:val="0"/>
          <w:numId w:val="1040"/>
        </w:numPr>
        <w:pStyle w:val="Compact"/>
      </w:pPr>
      <w:r>
        <w:rPr>
          <w:bCs/>
          <w:b/>
        </w:rPr>
        <w:t xml:space="preserve">EU Data Act compliance as differentiator</w:t>
      </w:r>
    </w:p>
    <w:p>
      <w:pPr>
        <w:numPr>
          <w:ilvl w:val="0"/>
          <w:numId w:val="1040"/>
        </w:numPr>
        <w:pStyle w:val="Compact"/>
      </w:pPr>
      <w:r>
        <w:rPr>
          <w:bCs/>
          <w:b/>
        </w:rPr>
        <w:t xml:space="preserve">Harness engineering as IP moat</w:t>
      </w:r>
    </w:p>
    <w:p>
      <w:pPr>
        <w:numPr>
          <w:ilvl w:val="0"/>
          <w:numId w:val="1040"/>
        </w:numPr>
        <w:pStyle w:val="Compact"/>
      </w:pPr>
      <w:r>
        <w:rPr>
          <w:bCs/>
          <w:b/>
        </w:rPr>
        <w:t xml:space="preserve">$644B GenAI market (2025) with 76.4% YoY growth validates enterprise AI demand</w:t>
      </w:r>
    </w:p>
    <w:p>
      <w:pPr>
        <w:numPr>
          <w:ilvl w:val="0"/>
          <w:numId w:val="1040"/>
        </w:numPr>
        <w:pStyle w:val="Compact"/>
      </w:pPr>
      <w:r>
        <w:rPr>
          <w:bCs/>
          <w:b/>
        </w:rPr>
        <w:t xml:space="preserve">Inference shift: 80%+ accelerators for inference by 2028 validates edge-first architecture</w:t>
      </w:r>
    </w:p>
    <w:bookmarkEnd w:id="124"/>
    <w:bookmarkStart w:id="125" w:name="threats"/>
    <w:p>
      <w:pPr>
        <w:pStyle w:val="Heading3"/>
      </w:pPr>
      <w:r>
        <w:t xml:space="preserve">Threats</w:t>
      </w:r>
    </w:p>
    <w:p>
      <w:pPr>
        <w:numPr>
          <w:ilvl w:val="0"/>
          <w:numId w:val="1041"/>
        </w:numPr>
        <w:pStyle w:val="Compact"/>
      </w:pPr>
      <w:r>
        <w:t xml:space="preserve">Big tech market entry</w:t>
      </w:r>
    </w:p>
    <w:p>
      <w:pPr>
        <w:numPr>
          <w:ilvl w:val="0"/>
          <w:numId w:val="1041"/>
        </w:numPr>
        <w:pStyle w:val="Compact"/>
      </w:pPr>
      <w:r>
        <w:t xml:space="preserve">Credit expiration (12 months)</w:t>
      </w:r>
    </w:p>
    <w:p>
      <w:pPr>
        <w:numPr>
          <w:ilvl w:val="0"/>
          <w:numId w:val="1041"/>
        </w:numPr>
        <w:pStyle w:val="Compact"/>
      </w:pPr>
      <w:r>
        <w:t xml:space="preserve">Competition from established players</w:t>
      </w:r>
    </w:p>
    <w:p>
      <w:pPr>
        <w:numPr>
          <w:ilvl w:val="0"/>
          <w:numId w:val="1041"/>
        </w:numPr>
        <w:pStyle w:val="Compact"/>
      </w:pPr>
      <w:r>
        <w:rPr>
          <w:bCs/>
          <w:b/>
        </w:rPr>
        <w:t xml:space="preserve">EU AI Act enforcement timeline (August 2026)</w:t>
      </w:r>
    </w:p>
    <w:bookmarkEnd w:id="125"/>
    <w:bookmarkEnd w:id="126"/>
    <w:bookmarkStart w:id="127" w:name="ab-testing-and-feedback-channel-results"/>
    <w:p>
      <w:pPr>
        <w:pStyle w:val="Heading2"/>
      </w:pPr>
      <w:r>
        <w:t xml:space="preserve">8.7 A/B Testing and Feedback Channel Results</w:t>
      </w:r>
    </w:p>
    <w:p>
      <w:pPr>
        <w:pStyle w:val="FirstParagraph"/>
      </w:pPr>
      <w:r>
        <w:t xml:space="preserve">Product validation through the four-channel feedback pipeline (section 1.6):</w:t>
      </w:r>
    </w:p>
    <w:tbl>
      <w:tblPr>
        <w:tblStyle w:val="Table"/>
        <w:tblW w:type="pct" w:w="5000"/>
        <w:tblLook w:firstRow="1" w:lastRow="0" w:firstColumn="0" w:lastColumn="0" w:noHBand="0" w:noVBand="0" w:val="0020"/>
        <w:jc w:val="start"/>
      </w:tblPr>
      <w:tblGrid>
        <w:gridCol w:w="1343"/>
        <w:gridCol w:w="2404"/>
        <w:gridCol w:w="1272"/>
        <w:gridCol w:w="2121"/>
        <w:gridCol w:w="777"/>
      </w:tblGrid>
      <w:tr>
        <w:trPr>
          <w:tblHeader w:val="true"/>
        </w:trPr>
        <w:tc>
          <w:tcPr/>
          <w:p>
            <w:pPr>
              <w:pStyle w:val="Compact"/>
              <w:jc w:val="left"/>
            </w:pPr>
            <w:r>
              <w:t xml:space="preserve">Channel</w:t>
            </w:r>
          </w:p>
        </w:tc>
        <w:tc>
          <w:tcPr/>
          <w:p>
            <w:pPr>
              <w:pStyle w:val="Compact"/>
              <w:jc w:val="left"/>
            </w:pPr>
            <w:r>
              <w:t xml:space="preserve">Metric</w:t>
            </w:r>
          </w:p>
        </w:tc>
        <w:tc>
          <w:tcPr/>
          <w:p>
            <w:pPr>
              <w:pStyle w:val="Compact"/>
              <w:jc w:val="left"/>
            </w:pPr>
            <w:r>
              <w:t xml:space="preserve">Baseline (v3.15)</w:t>
            </w:r>
          </w:p>
        </w:tc>
        <w:tc>
          <w:tcPr/>
          <w:p>
            <w:pPr>
              <w:pStyle w:val="Compact"/>
              <w:jc w:val="left"/>
            </w:pPr>
            <w:r>
              <w:t xml:space="preserve">Current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Product approval rate</w:t>
            </w:r>
          </w:p>
        </w:tc>
        <w:tc>
          <w:tcPr/>
          <w:p>
            <w:pPr>
              <w:pStyle w:val="Compact"/>
              <w:jc w:val="left"/>
            </w:pPr>
            <w:r>
              <w:t xml:space="preserve">30/30 (100%)</w:t>
            </w:r>
          </w:p>
        </w:tc>
        <w:tc>
          <w:tcPr/>
          <w:p>
            <w:pPr>
              <w:pStyle w:val="Compact"/>
              <w:jc w:val="left"/>
            </w:pPr>
            <w:r>
              <w:t xml:space="preserve">30/30 (100%)</w:t>
            </w:r>
          </w:p>
        </w:tc>
        <w:tc>
          <w:tcPr/>
          <w:p>
            <w:pPr>
              <w:pStyle w:val="Compact"/>
              <w:jc w:val="left"/>
            </w:pPr>
            <w:r>
              <w:t xml:space="preserve">Maintained</w:t>
            </w:r>
          </w:p>
        </w:tc>
      </w:tr>
      <w:tr>
        <w:tc>
          <w:tcPr/>
          <w:p>
            <w:pPr>
              <w:pStyle w:val="Compact"/>
              <w:jc w:val="left"/>
            </w:pPr>
            <w:r>
              <w:rPr>
                <w:bCs/>
                <w:b/>
              </w:rPr>
              <w:t xml:space="preserve">Google Merchant</w:t>
            </w:r>
          </w:p>
        </w:tc>
        <w:tc>
          <w:tcPr/>
          <w:p>
            <w:pPr>
              <w:pStyle w:val="Compact"/>
              <w:jc w:val="left"/>
            </w:pPr>
            <w:r>
              <w:t xml:space="preserve">Average CTR</w:t>
            </w:r>
          </w:p>
        </w:tc>
        <w:tc>
          <w:tcPr/>
          <w:p>
            <w:pPr>
              <w:pStyle w:val="Compact"/>
              <w:jc w:val="left"/>
            </w:pPr>
            <w:r>
              <w:t xml:space="preserve">1.2%</w:t>
            </w:r>
          </w:p>
        </w:tc>
        <w:tc>
          <w:tcPr/>
          <w:p>
            <w:pPr>
              <w:pStyle w:val="Compact"/>
              <w:jc w:val="left"/>
            </w:pPr>
            <w:r>
              <w:t xml:space="preserve">1.8% (A/B tested descriptions)</w:t>
            </w:r>
          </w:p>
        </w:tc>
        <w:tc>
          <w:tcPr/>
          <w:p>
            <w:pPr>
              <w:pStyle w:val="Compact"/>
              <w:jc w:val="left"/>
            </w:pPr>
            <w:r>
              <w:t xml:space="preserve">+50%</w:t>
            </w:r>
          </w:p>
        </w:tc>
      </w:tr>
      <w:tr>
        <w:tc>
          <w:tcPr/>
          <w:p>
            <w:pPr>
              <w:pStyle w:val="Compact"/>
              <w:jc w:val="left"/>
            </w:pPr>
            <w:r>
              <w:rPr>
                <w:bCs/>
                <w:b/>
              </w:rPr>
              <w:t xml:space="preserve">SEO</w:t>
            </w:r>
          </w:p>
        </w:tc>
        <w:tc>
          <w:tcPr/>
          <w:p>
            <w:pPr>
              <w:pStyle w:val="Compact"/>
              <w:jc w:val="left"/>
            </w:pPr>
            <w:r>
              <w:t xml:space="preserve">Organic keywords ranked</w:t>
            </w:r>
          </w:p>
        </w:tc>
        <w:tc>
          <w:tcPr/>
          <w:p>
            <w:pPr>
              <w:pStyle w:val="Compact"/>
              <w:jc w:val="left"/>
            </w:pPr>
            <w:r>
              <w:t xml:space="preserve">45</w:t>
            </w:r>
          </w:p>
        </w:tc>
        <w:tc>
          <w:tcPr/>
          <w:p>
            <w:pPr>
              <w:pStyle w:val="Compact"/>
              <w:jc w:val="left"/>
            </w:pPr>
            <w:r>
              <w:t xml:space="preserve">78</w:t>
            </w:r>
          </w:p>
        </w:tc>
        <w:tc>
          <w:tcPr/>
          <w:p>
            <w:pPr>
              <w:pStyle w:val="Compact"/>
              <w:jc w:val="left"/>
            </w:pPr>
            <w:r>
              <w:t xml:space="preserve">+73%</w:t>
            </w:r>
          </w:p>
        </w:tc>
      </w:tr>
      <w:tr>
        <w:tc>
          <w:tcPr/>
          <w:p>
            <w:pPr>
              <w:pStyle w:val="Compact"/>
              <w:jc w:val="left"/>
            </w:pPr>
            <w:r>
              <w:rPr>
                <w:bCs/>
                <w:b/>
              </w:rPr>
              <w:t xml:space="preserve">SEO</w:t>
            </w:r>
          </w:p>
        </w:tc>
        <w:tc>
          <w:tcPr/>
          <w:p>
            <w:pPr>
              <w:pStyle w:val="Compact"/>
              <w:jc w:val="left"/>
            </w:pPr>
            <w:r>
              <w:t xml:space="preserve">Average position (target keywords)</w:t>
            </w:r>
          </w:p>
        </w:tc>
        <w:tc>
          <w:tcPr/>
          <w:p>
            <w:pPr>
              <w:pStyle w:val="Compact"/>
              <w:jc w:val="left"/>
            </w:pPr>
            <w:r>
              <w:t xml:space="preserve">32</w:t>
            </w:r>
          </w:p>
        </w:tc>
        <w:tc>
          <w:tcPr/>
          <w:p>
            <w:pPr>
              <w:pStyle w:val="Compact"/>
              <w:jc w:val="left"/>
            </w:pPr>
            <w:r>
              <w:t xml:space="preserve">18</w:t>
            </w:r>
          </w:p>
        </w:tc>
        <w:tc>
          <w:tcPr/>
          <w:p>
            <w:pPr>
              <w:pStyle w:val="Compact"/>
              <w:jc w:val="left"/>
            </w:pPr>
            <w:r>
              <w:t xml:space="preserve">+44%</w:t>
            </w:r>
          </w:p>
        </w:tc>
      </w:tr>
      <w:tr>
        <w:tc>
          <w:tcPr/>
          <w:p>
            <w:pPr>
              <w:pStyle w:val="Compact"/>
              <w:jc w:val="left"/>
            </w:pPr>
            <w:r>
              <w:rPr>
                <w:bCs/>
                <w:b/>
              </w:rPr>
              <w:t xml:space="preserve">Sales</w:t>
            </w:r>
          </w:p>
        </w:tc>
        <w:tc>
          <w:tcPr/>
          <w:p>
            <w:pPr>
              <w:pStyle w:val="Compact"/>
              <w:jc w:val="left"/>
            </w:pPr>
            <w:r>
              <w:t xml:space="preserve">MRR</w:t>
            </w:r>
          </w:p>
        </w:tc>
        <w:tc>
          <w:tcPr/>
          <w:p>
            <w:pPr>
              <w:pStyle w:val="Compact"/>
              <w:jc w:val="left"/>
            </w:pPr>
            <w:r>
              <w:t xml:space="preserve">€10k (pilot)</w:t>
            </w:r>
          </w:p>
        </w:tc>
        <w:tc>
          <w:tcPr/>
          <w:p>
            <w:pPr>
              <w:pStyle w:val="Compact"/>
              <w:jc w:val="left"/>
            </w:pPr>
            <w:r>
              <w:t xml:space="preserve">€10k (stable)</w:t>
            </w:r>
          </w:p>
        </w:tc>
        <w:tc>
          <w:tcPr/>
          <w:p>
            <w:pPr>
              <w:pStyle w:val="Compact"/>
              <w:jc w:val="left"/>
            </w:pPr>
            <w:r>
              <w:t xml:space="preserve">Maintained</w:t>
            </w:r>
          </w:p>
        </w:tc>
      </w:tr>
      <w:tr>
        <w:tc>
          <w:tcPr/>
          <w:p>
            <w:pPr>
              <w:pStyle w:val="Compact"/>
              <w:jc w:val="left"/>
            </w:pPr>
            <w:r>
              <w:rPr>
                <w:bCs/>
                <w:b/>
              </w:rPr>
              <w:t xml:space="preserve">Sales</w:t>
            </w:r>
          </w:p>
        </w:tc>
        <w:tc>
          <w:tcPr/>
          <w:p>
            <w:pPr>
              <w:pStyle w:val="Compact"/>
              <w:jc w:val="left"/>
            </w:pPr>
            <w:r>
              <w:t xml:space="preserve">Conversion rate (store)</w:t>
            </w:r>
          </w:p>
        </w:tc>
        <w:tc>
          <w:tcPr/>
          <w:p>
            <w:pPr>
              <w:pStyle w:val="Compact"/>
              <w:jc w:val="left"/>
            </w:pPr>
            <w:r>
              <w:t xml:space="preserve">2.1%</w:t>
            </w:r>
          </w:p>
        </w:tc>
        <w:tc>
          <w:tcPr/>
          <w:p>
            <w:pPr>
              <w:pStyle w:val="Compact"/>
              <w:jc w:val="left"/>
            </w:pPr>
            <w:r>
              <w:t xml:space="preserve">3.4%</w:t>
            </w:r>
          </w:p>
        </w:tc>
        <w:tc>
          <w:tcPr/>
          <w:p>
            <w:pPr>
              <w:pStyle w:val="Compact"/>
              <w:jc w:val="left"/>
            </w:pPr>
            <w:r>
              <w:t xml:space="preserve">+62%</w:t>
            </w:r>
          </w:p>
        </w:tc>
      </w:tr>
      <w:tr>
        <w:tc>
          <w:tcPr/>
          <w:p>
            <w:pPr>
              <w:pStyle w:val="Compact"/>
              <w:jc w:val="left"/>
            </w:pPr>
            <w:r>
              <w:rPr>
                <w:bCs/>
                <w:b/>
              </w:rPr>
              <w:t xml:space="preserve">Investor</w:t>
            </w:r>
          </w:p>
        </w:tc>
        <w:tc>
          <w:tcPr/>
          <w:p>
            <w:pPr>
              <w:pStyle w:val="Compact"/>
              <w:jc w:val="left"/>
            </w:pPr>
            <w:r>
              <w:t xml:space="preserve">InvestEU readiness</w:t>
            </w:r>
          </w:p>
        </w:tc>
        <w:tc>
          <w:tcPr/>
          <w:p>
            <w:pPr>
              <w:pStyle w:val="Compact"/>
              <w:jc w:val="left"/>
            </w:pPr>
            <w:r>
              <w:t xml:space="preserve">Pipeline</w:t>
            </w:r>
          </w:p>
        </w:tc>
        <w:tc>
          <w:tcPr/>
          <w:p>
            <w:pPr>
              <w:pStyle w:val="Compact"/>
              <w:jc w:val="left"/>
            </w:pPr>
            <w:r>
              <w:t xml:space="preserve">Assessment phase</w:t>
            </w:r>
          </w:p>
        </w:tc>
        <w:tc>
          <w:tcPr/>
          <w:p>
            <w:pPr>
              <w:pStyle w:val="Compact"/>
              <w:jc w:val="left"/>
            </w:pPr>
            <w:r>
              <w:t xml:space="preserve">Progressing</w:t>
            </w:r>
          </w:p>
        </w:tc>
      </w:tr>
      <w:tr>
        <w:tc>
          <w:tcPr/>
          <w:p>
            <w:pPr>
              <w:pStyle w:val="Compact"/>
              <w:jc w:val="left"/>
            </w:pPr>
            <w:r>
              <w:rPr>
                <w:bCs/>
                <w:b/>
              </w:rPr>
              <w:t xml:space="preserve">Investor</w:t>
            </w:r>
          </w:p>
        </w:tc>
        <w:tc>
          <w:tcPr/>
          <w:p>
            <w:pPr>
              <w:pStyle w:val="Compact"/>
              <w:jc w:val="left"/>
            </w:pPr>
            <w:r>
              <w:t xml:space="preserve">Product portfolio score</w:t>
            </w:r>
          </w:p>
        </w:tc>
        <w:tc>
          <w:tcPr/>
          <w:p>
            <w:pPr>
              <w:pStyle w:val="Compact"/>
              <w:jc w:val="left"/>
            </w:pPr>
            <w:r>
              <w:t xml:space="preserve">30 products listed</w:t>
            </w:r>
          </w:p>
        </w:tc>
        <w:tc>
          <w:tcPr/>
          <w:p>
            <w:pPr>
              <w:pStyle w:val="Compact"/>
              <w:jc w:val="left"/>
            </w:pPr>
            <w:r>
              <w:t xml:space="preserve">30 products + 3 SaaS features</w:t>
            </w:r>
          </w:p>
        </w:tc>
        <w:tc>
          <w:tcPr/>
          <w:p>
            <w:pPr>
              <w:pStyle w:val="Compact"/>
              <w:jc w:val="left"/>
            </w:pPr>
            <w:r>
              <w:t xml:space="preserve">Enhanced</w:t>
            </w:r>
          </w:p>
        </w:tc>
      </w:tr>
    </w:tbl>
    <w:p>
      <w:pPr>
        <w:pStyle w:val="BodyText"/>
      </w:pPr>
      <w:r>
        <w:rPr>
          <w:bCs/>
          <w:b/>
        </w:rPr>
        <w:t xml:space="preserve">Key A/B test findings:</w:t>
      </w:r>
    </w:p>
    <w:p>
      <w:pPr>
        <w:numPr>
          <w:ilvl w:val="0"/>
          <w:numId w:val="1042"/>
        </w:numPr>
        <w:pStyle w:val="Compact"/>
      </w:pPr>
      <w:r>
        <w:rPr>
          <w:bCs/>
          <w:b/>
        </w:rPr>
        <w:t xml:space="preserve">AI-generated product descriptions</w:t>
      </w:r>
      <w:r>
        <w:t xml:space="preserve"> </w:t>
      </w:r>
      <w:r>
        <w:t xml:space="preserve">outperform manual descriptions by +18% CTR in Google Merchant</w:t>
      </w:r>
    </w:p>
    <w:p>
      <w:pPr>
        <w:numPr>
          <w:ilvl w:val="0"/>
          <w:numId w:val="1042"/>
        </w:numPr>
        <w:pStyle w:val="Compact"/>
      </w:pPr>
      <w:r>
        <w:rPr>
          <w:bCs/>
          <w:b/>
        </w:rPr>
        <w:t xml:space="preserve">Hierarchical category pages</w:t>
      </w:r>
      <w:r>
        <w:t xml:space="preserve"> </w:t>
      </w:r>
      <w:r>
        <w:t xml:space="preserve">reduce bounce rate by 12% vs flat product listing</w:t>
      </w:r>
    </w:p>
    <w:p>
      <w:pPr>
        <w:numPr>
          <w:ilvl w:val="0"/>
          <w:numId w:val="1042"/>
        </w:numPr>
        <w:pStyle w:val="Compact"/>
      </w:pPr>
      <w:r>
        <w:rPr>
          <w:bCs/>
          <w:b/>
        </w:rPr>
        <w:t xml:space="preserve">Dynamic pricing signals</w:t>
      </w:r>
      <w:r>
        <w:t xml:space="preserve"> </w:t>
      </w:r>
      <w:r>
        <w:t xml:space="preserve">(showing competitor comparison) increase conversion by 8%</w:t>
      </w:r>
    </w:p>
    <w:p>
      <w:pPr>
        <w:numPr>
          <w:ilvl w:val="0"/>
          <w:numId w:val="1042"/>
        </w:numPr>
        <w:pStyle w:val="Compact"/>
      </w:pPr>
      <w:r>
        <w:rPr>
          <w:bCs/>
          <w:b/>
        </w:rPr>
        <w:t xml:space="preserve">Investor feedback</w:t>
      </w:r>
      <w:r>
        <w:t xml:space="preserve"> </w:t>
      </w:r>
      <w:r>
        <w:t xml:space="preserve">confirmed product portfolio breadth as a strength; pricing model feedback led to 3-tier billing implementation</w:t>
      </w:r>
    </w:p>
    <w:p>
      <w:r>
        <w:pict>
          <v:rect style="width:0;height:1.5pt" o:hralign="center" o:hrstd="t" o:hr="t"/>
        </w:pict>
      </w:r>
    </w:p>
    <w:bookmarkEnd w:id="127"/>
    <w:bookmarkEnd w:id="128"/>
    <w:bookmarkStart w:id="139" w:name="discussion"/>
    <w:p>
      <w:pPr>
        <w:pStyle w:val="Heading1"/>
      </w:pPr>
      <w:r>
        <w:t xml:space="preserve">9. Discussion</w:t>
      </w:r>
    </w:p>
    <w:bookmarkStart w:id="130" w:name="key-findings-and-implications"/>
    <w:p>
      <w:pPr>
        <w:pStyle w:val="Heading2"/>
      </w:pPr>
      <w:r>
        <w:t xml:space="preserve">9.1 Key Findings and Implications</w:t>
      </w:r>
    </w:p>
    <w:bookmarkStart w:id="129" w:name="Xe1b2c8116099c1064818009868175ce91100a68"/>
    <w:p>
      <w:pPr>
        <w:pStyle w:val="Heading3"/>
      </w:pPr>
      <w:r>
        <w:t xml:space="preserve">9.1.1 Validation of AI-Assisted Development Model</w:t>
      </w:r>
    </w:p>
    <w:p>
      <w:pPr>
        <w:pStyle w:val="FirstParagraph"/>
      </w:pPr>
      <w:r>
        <w:rPr>
          <w:bCs/>
          <w:b/>
        </w:rPr>
        <w:t xml:space="preserve">Finding 1: Cursor Pro + Claude Code Max enabled rapid MVP development</w:t>
      </w:r>
    </w:p>
    <w:p>
      <w:pPr>
        <w:numPr>
          <w:ilvl w:val="0"/>
          <w:numId w:val="1043"/>
        </w:numPr>
        <w:pStyle w:val="Compact"/>
      </w:pPr>
      <w:r>
        <w:t xml:space="preserve">AI-assisted development tools (Cursor Pro, Claude Code Max subscriptions) enabled a complete MVP in 15 weeks</w:t>
      </w:r>
    </w:p>
    <w:p>
      <w:pPr>
        <w:numPr>
          <w:ilvl w:val="0"/>
          <w:numId w:val="1043"/>
        </w:numPr>
        <w:pStyle w:val="Compact"/>
      </w:pPr>
      <w:r>
        <w:t xml:space="preserve">Minimal cloud credits supplemented by targeted tool subscriptions eliminate the need for early-stage venture capital</w:t>
      </w:r>
    </w:p>
    <w:p>
      <w:pPr>
        <w:pStyle w:val="FirstParagraph"/>
      </w:pPr>
      <w:r>
        <w:rPr>
          <w:bCs/>
          <w:b/>
        </w:rPr>
        <w:t xml:space="preserve">Finding 2: Edge AI provides sustainable cost advantage</w:t>
      </w:r>
    </w:p>
    <w:p>
      <w:pPr>
        <w:numPr>
          <w:ilvl w:val="0"/>
          <w:numId w:val="1044"/>
        </w:numPr>
        <w:pStyle w:val="Compact"/>
      </w:pPr>
      <w:r>
        <w:t xml:space="preserve">82% cost reduction vs. cloud-only architecture</w:t>
      </w:r>
    </w:p>
    <w:p>
      <w:pPr>
        <w:numPr>
          <w:ilvl w:val="0"/>
          <w:numId w:val="1044"/>
        </w:numPr>
        <w:pStyle w:val="Compact"/>
      </w:pPr>
      <w:r>
        <w:t xml:space="preserve">1.95-month payback period on hardware investment</w:t>
      </w:r>
    </w:p>
    <w:bookmarkEnd w:id="129"/>
    <w:bookmarkEnd w:id="130"/>
    <w:bookmarkStart w:id="131" w:name="replicability-the-solution-factory-model"/>
    <w:p>
      <w:pPr>
        <w:pStyle w:val="Heading2"/>
      </w:pPr>
      <w:r>
        <w:t xml:space="preserve">9.2 Replicability: The Solution Factory Model</w:t>
      </w:r>
    </w:p>
    <w:p>
      <w:pPr>
        <w:pStyle w:val="FirstParagraph"/>
      </w:pPr>
      <w:r>
        <w:rPr>
          <w:bCs/>
          <w:b/>
        </w:rPr>
        <w:t xml:space="preserve">Phase 1: Bootstrap (6 months, EUR 0-350/month)</w:t>
      </w:r>
      <w:r>
        <w:t xml:space="preserve"> </w:t>
      </w:r>
      <w:r>
        <w:t xml:space="preserve">— Free tiers, 5 pilot customers</w:t>
      </w:r>
    </w:p>
    <w:p>
      <w:pPr>
        <w:pStyle w:val="BodyText"/>
      </w:pPr>
      <w:r>
        <w:rPr>
          <w:bCs/>
          <w:b/>
        </w:rPr>
        <w:t xml:space="preserve">Phase 2: Validate (6 months, EUR 5-15k MRR)</w:t>
      </w:r>
      <w:r>
        <w:t xml:space="preserve"> </w:t>
      </w:r>
      <w:r>
        <w:t xml:space="preserve">— Paying customers, &lt;2 month payback</w:t>
      </w:r>
    </w:p>
    <w:p>
      <w:pPr>
        <w:pStyle w:val="BodyText"/>
      </w:pPr>
      <w:r>
        <w:rPr>
          <w:bCs/>
          <w:b/>
        </w:rPr>
        <w:t xml:space="preserve">Phase 3: Scale (12 months, EUR 50k+ MRR)</w:t>
      </w:r>
      <w:r>
        <w:t xml:space="preserve"> </w:t>
      </w:r>
      <w:r>
        <w:t xml:space="preserve">— 2-3 verticals, Series A</w:t>
      </w:r>
    </w:p>
    <w:bookmarkEnd w:id="131"/>
    <w:bookmarkStart w:id="132" w:name="limitations"/>
    <w:p>
      <w:pPr>
        <w:pStyle w:val="Heading2"/>
      </w:pPr>
      <w:r>
        <w:t xml:space="preserve">9.3 Limitations</w:t>
      </w:r>
    </w:p>
    <w:tbl>
      <w:tblPr>
        <w:tblStyle w:val="Table"/>
        <w:tblW w:type="pct" w:w="5000"/>
        <w:tblLook w:firstRow="1" w:lastRow="0" w:firstColumn="0" w:lastColumn="0" w:noHBand="0" w:noVBand="0" w:val="0020"/>
        <w:jc w:val="start"/>
      </w:tblPr>
      <w:tblGrid>
        <w:gridCol w:w="1959"/>
        <w:gridCol w:w="2041"/>
        <w:gridCol w:w="3919"/>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 case study</w:t>
            </w:r>
          </w:p>
        </w:tc>
        <w:tc>
          <w:tcPr/>
          <w:p>
            <w:pPr>
              <w:pStyle w:val="Compact"/>
              <w:jc w:val="left"/>
            </w:pPr>
            <w:r>
              <w:t xml:space="preserve">Limited generalizability</w:t>
            </w:r>
          </w:p>
        </w:tc>
        <w:tc>
          <w:tcPr/>
          <w:p>
            <w:pPr>
              <w:pStyle w:val="Compact"/>
              <w:jc w:val="left"/>
            </w:pPr>
            <w:r>
              <w:t xml:space="preserve">Model provides framework for replication studies</w:t>
            </w:r>
          </w:p>
        </w:tc>
      </w:tr>
      <w:tr>
        <w:tc>
          <w:tcPr/>
          <w:p>
            <w:pPr>
              <w:pStyle w:val="Compact"/>
              <w:jc w:val="left"/>
            </w:pPr>
            <w:r>
              <w:t xml:space="preserve">Self-reported metrics</w:t>
            </w:r>
          </w:p>
        </w:tc>
        <w:tc>
          <w:tcPr/>
          <w:p>
            <w:pPr>
              <w:pStyle w:val="Compact"/>
              <w:jc w:val="left"/>
            </w:pPr>
            <w:r>
              <w:t xml:space="preserve">Potential bias</w:t>
            </w:r>
          </w:p>
        </w:tc>
        <w:tc>
          <w:tcPr/>
          <w:p>
            <w:pPr>
              <w:pStyle w:val="Compact"/>
              <w:jc w:val="left"/>
            </w:pPr>
            <w:r>
              <w:t xml:space="preserve">Third-party validation planned Q2 2026</w:t>
            </w:r>
          </w:p>
        </w:tc>
      </w:tr>
      <w:tr>
        <w:tc>
          <w:tcPr/>
          <w:p>
            <w:pPr>
              <w:pStyle w:val="Compact"/>
              <w:jc w:val="left"/>
            </w:pPr>
            <w:r>
              <w:t xml:space="preserve">Short observation period</w:t>
            </w:r>
          </w:p>
        </w:tc>
        <w:tc>
          <w:tcPr/>
          <w:p>
            <w:pPr>
              <w:pStyle w:val="Compact"/>
              <w:jc w:val="left"/>
            </w:pPr>
            <w:r>
              <w:t xml:space="preserve">Long-term effects unknown</w:t>
            </w:r>
          </w:p>
        </w:tc>
        <w:tc>
          <w:tcPr/>
          <w:p>
            <w:pPr>
              <w:pStyle w:val="Compact"/>
              <w:jc w:val="left"/>
            </w:pPr>
            <w:r>
              <w:t xml:space="preserve">Continuous monitoring</w:t>
            </w:r>
          </w:p>
        </w:tc>
      </w:tr>
    </w:tbl>
    <w:bookmarkEnd w:id="132"/>
    <w:bookmarkStart w:id="133" w:name="recommendations"/>
    <w:p>
      <w:pPr>
        <w:pStyle w:val="Heading2"/>
      </w:pPr>
      <w:r>
        <w:t xml:space="preserve">9.4 Recommendations</w:t>
      </w:r>
    </w:p>
    <w:p>
      <w:pPr>
        <w:numPr>
          <w:ilvl w:val="0"/>
          <w:numId w:val="1045"/>
        </w:numPr>
        <w:pStyle w:val="Compact"/>
      </w:pPr>
      <w:r>
        <w:rPr>
          <w:bCs/>
          <w:b/>
        </w:rPr>
        <w:t xml:space="preserve">Execute V1.0 release (23 February 2026)</w:t>
      </w:r>
    </w:p>
    <w:p>
      <w:pPr>
        <w:numPr>
          <w:ilvl w:val="0"/>
          <w:numId w:val="1045"/>
        </w:numPr>
        <w:pStyle w:val="Compact"/>
      </w:pPr>
      <w:r>
        <w:rPr>
          <w:bCs/>
          <w:b/>
        </w:rPr>
        <w:t xml:space="preserve">Document Solution Factory</w:t>
      </w:r>
      <w:r>
        <w:t xml:space="preserve"> </w:t>
      </w:r>
      <w:r>
        <w:t xml:space="preserve">— public cost calculator, AgentFoundry templates</w:t>
      </w:r>
    </w:p>
    <w:p>
      <w:pPr>
        <w:numPr>
          <w:ilvl w:val="0"/>
          <w:numId w:val="1045"/>
        </w:numPr>
        <w:pStyle w:val="Compact"/>
      </w:pPr>
      <w:r>
        <w:rPr>
          <w:bCs/>
          <w:b/>
        </w:rPr>
        <w:t xml:space="preserve">Validate second vertical</w:t>
      </w:r>
      <w:r>
        <w:t xml:space="preserve"> </w:t>
      </w:r>
      <w:r>
        <w:t xml:space="preserve">— Construction (NCC, T2H)</w:t>
      </w:r>
    </w:p>
    <w:bookmarkEnd w:id="133"/>
    <w:bookmarkStart w:id="138" w:name="X1ed1201d73bbf54458553ea5859fce5dfd771ff"/>
    <w:p>
      <w:pPr>
        <w:pStyle w:val="Heading2"/>
      </w:pPr>
      <w:r>
        <w:t xml:space="preserve">9.5 Learn Thinking — A Reflective Learning Framework for AI-Assisted Development</w:t>
      </w:r>
    </w:p>
    <w:p>
      <w:pPr>
        <w:pStyle w:val="FirstParagraph"/>
      </w:pPr>
      <w:r>
        <w:t xml:space="preserve">A critical innovation of the Firehorse operating model is</w:t>
      </w:r>
      <w:r>
        <w:t xml:space="preserve"> </w:t>
      </w:r>
      <w:r>
        <w:rPr>
          <w:bCs/>
          <w:b/>
        </w:rPr>
        <w:t xml:space="preserve">Learn Thinking</w:t>
      </w:r>
      <w:r>
        <w:t xml:space="preserve"> </w:t>
      </w:r>
      <w:r>
        <w:t xml:space="preserve">— a systematic approach where every AI-assisted development session produces not only code and documentation, but also</w:t>
      </w:r>
      <w:r>
        <w:t xml:space="preserve"> </w:t>
      </w:r>
      <w:r>
        <w:rPr>
          <w:bCs/>
          <w:b/>
        </w:rPr>
        <w:t xml:space="preserve">structural learning</w:t>
      </w:r>
      <w:r>
        <w:t xml:space="preserve"> </w:t>
      </w:r>
      <w:r>
        <w:t xml:space="preserve">that returns to the developer the following morning.</w:t>
      </w:r>
    </w:p>
    <w:bookmarkStart w:id="134" w:name="learn-thinking-principles"/>
    <w:p>
      <w:pPr>
        <w:pStyle w:val="Heading3"/>
      </w:pPr>
      <w:r>
        <w:t xml:space="preserve">Learn Thinking Principles</w:t>
      </w:r>
    </w:p>
    <w:tbl>
      <w:tblPr>
        <w:tblStyle w:val="Table"/>
        <w:tblW w:type="pct" w:w="5000"/>
        <w:tblLook w:firstRow="1" w:lastRow="0" w:firstColumn="0" w:lastColumn="0" w:noHBand="0" w:noVBand="0" w:val="0020"/>
        <w:jc w:val="start"/>
      </w:tblPr>
      <w:tblGrid>
        <w:gridCol w:w="1466"/>
        <w:gridCol w:w="3568"/>
        <w:gridCol w:w="2884"/>
      </w:tblGrid>
      <w:tr>
        <w:trPr>
          <w:tblHeader w:val="true"/>
        </w:trPr>
        <w:tc>
          <w:tcPr/>
          <w:p>
            <w:pPr>
              <w:pStyle w:val="Compact"/>
              <w:jc w:val="left"/>
            </w:pPr>
            <w:r>
              <w:t xml:space="preserve">Principle</w:t>
            </w:r>
          </w:p>
        </w:tc>
        <w:tc>
          <w:tcPr/>
          <w:p>
            <w:pPr>
              <w:pStyle w:val="Compact"/>
              <w:jc w:val="left"/>
            </w:pPr>
            <w:r>
              <w:t xml:space="preserve">Implementation</w:t>
            </w:r>
          </w:p>
        </w:tc>
        <w:tc>
          <w:tcPr/>
          <w:p>
            <w:pPr>
              <w:pStyle w:val="Compact"/>
              <w:jc w:val="left"/>
            </w:pPr>
            <w:r>
              <w:t xml:space="preserve">Impact</w:t>
            </w:r>
          </w:p>
        </w:tc>
      </w:tr>
      <w:tr>
        <w:tc>
          <w:tcPr/>
          <w:p>
            <w:pPr>
              <w:pStyle w:val="Compact"/>
              <w:jc w:val="left"/>
            </w:pPr>
            <w:r>
              <w:rPr>
                <w:bCs/>
                <w:b/>
              </w:rPr>
              <w:t xml:space="preserve">Daily reflection</w:t>
            </w:r>
          </w:p>
        </w:tc>
        <w:tc>
          <w:tcPr/>
          <w:p>
            <w:pPr>
              <w:pStyle w:val="Compact"/>
              <w:jc w:val="left"/>
            </w:pPr>
            <w:r>
              <w:t xml:space="preserve">Learn/ folder HTML output opens in Edge every morning</w:t>
            </w:r>
          </w:p>
        </w:tc>
        <w:tc>
          <w:tcPr/>
          <w:p>
            <w:pPr>
              <w:pStyle w:val="Compact"/>
              <w:jc w:val="left"/>
            </w:pPr>
            <w:r>
              <w:t xml:space="preserve">Developer starts each day with a review of the latest state</w:t>
            </w:r>
          </w:p>
        </w:tc>
      </w:tr>
      <w:tr>
        <w:tc>
          <w:tcPr/>
          <w:p>
            <w:pPr>
              <w:pStyle w:val="Compact"/>
              <w:jc w:val="left"/>
            </w:pPr>
            <w:r>
              <w:rPr>
                <w:bCs/>
                <w:b/>
              </w:rPr>
              <w:t xml:space="preserve">Versioned learning journal</w:t>
            </w:r>
          </w:p>
        </w:tc>
        <w:tc>
          <w:tcPr/>
          <w:p>
            <w:pPr>
              <w:pStyle w:val="Compact"/>
              <w:jc w:val="left"/>
            </w:pPr>
            <w:r>
              <w:t xml:space="preserve">Thesis version history = learning journal</w:t>
            </w:r>
          </w:p>
        </w:tc>
        <w:tc>
          <w:tcPr/>
          <w:p>
            <w:pPr>
              <w:pStyle w:val="Compact"/>
              <w:jc w:val="left"/>
            </w:pPr>
            <w:r>
              <w:t xml:space="preserve">Each version documents what was learned and why</w:t>
            </w:r>
          </w:p>
        </w:tc>
      </w:tr>
      <w:tr>
        <w:tc>
          <w:tcPr/>
          <w:p>
            <w:pPr>
              <w:pStyle w:val="Compact"/>
              <w:jc w:val="left"/>
            </w:pPr>
            <w:r>
              <w:rPr>
                <w:bCs/>
                <w:b/>
              </w:rPr>
              <w:t xml:space="preserve">AI as learning partner</w:t>
            </w:r>
          </w:p>
        </w:tc>
        <w:tc>
          <w:tcPr/>
          <w:p>
            <w:pPr>
              <w:pStyle w:val="Compact"/>
              <w:jc w:val="left"/>
            </w:pPr>
            <w:r>
              <w:t xml:space="preserve">Claude Code / Copilot generates content, human validates</w:t>
            </w:r>
          </w:p>
        </w:tc>
        <w:tc>
          <w:tcPr/>
          <w:p>
            <w:pPr>
              <w:pStyle w:val="Compact"/>
              <w:jc w:val="left"/>
            </w:pPr>
            <w:r>
              <w:t xml:space="preserve">Dual loop: AI proposes → human evaluates → AI corrects</w:t>
            </w:r>
          </w:p>
        </w:tc>
      </w:tr>
      <w:tr>
        <w:tc>
          <w:tcPr/>
          <w:p>
            <w:pPr>
              <w:pStyle w:val="Compact"/>
              <w:jc w:val="left"/>
            </w:pPr>
            <w:r>
              <w:rPr>
                <w:bCs/>
                <w:b/>
              </w:rPr>
              <w:t xml:space="preserve">Three-layer memory</w:t>
            </w:r>
          </w:p>
        </w:tc>
        <w:tc>
          <w:tcPr/>
          <w:p>
            <w:pPr>
              <w:pStyle w:val="Compact"/>
              <w:jc w:val="left"/>
            </w:pPr>
            <w:r>
              <w:t xml:space="preserve">GitHub (version control) + Proton Drive (encrypted) + Supabase (EU cloud)</w:t>
            </w:r>
          </w:p>
        </w:tc>
        <w:tc>
          <w:tcPr/>
          <w:p>
            <w:pPr>
              <w:pStyle w:val="Compact"/>
              <w:jc w:val="left"/>
            </w:pPr>
            <w:r>
              <w:t xml:space="preserve">Learning never gets lost — three independent copies</w:t>
            </w:r>
          </w:p>
        </w:tc>
      </w:tr>
      <w:tr>
        <w:tc>
          <w:tcPr/>
          <w:p>
            <w:pPr>
              <w:pStyle w:val="Compact"/>
              <w:jc w:val="left"/>
            </w:pPr>
            <w:r>
              <w:rPr>
                <w:bCs/>
                <w:b/>
              </w:rPr>
              <w:t xml:space="preserve">Research-production bridge</w:t>
            </w:r>
          </w:p>
        </w:tc>
        <w:tc>
          <w:tcPr/>
          <w:p>
            <w:pPr>
              <w:pStyle w:val="Compact"/>
              <w:jc w:val="left"/>
            </w:pPr>
            <w:r>
              <w:t xml:space="preserve">Thesis guides product development, product development validates theory</w:t>
            </w:r>
          </w:p>
        </w:tc>
        <w:tc>
          <w:tcPr/>
          <w:p>
            <w:pPr>
              <w:pStyle w:val="Compact"/>
              <w:jc w:val="left"/>
            </w:pPr>
            <w:r>
              <w:t xml:space="preserve">No separate research and production — same loop</w:t>
            </w:r>
          </w:p>
        </w:tc>
      </w:tr>
    </w:tbl>
    <w:bookmarkEnd w:id="134"/>
    <w:bookmarkStart w:id="135" w:name="learning-loop-structure"/>
    <w:p>
      <w:pPr>
        <w:pStyle w:val="Heading3"/>
      </w:pPr>
      <w:r>
        <w:t xml:space="preserve">Learning Loop Structure</w:t>
      </w:r>
    </w:p>
    <w:p>
      <w:pPr>
        <w:pStyle w:val="SourceCode"/>
      </w:pPr>
      <w:r>
        <w:rPr>
          <w:rStyle w:val="VerbatimChar"/>
        </w:rPr>
        <w:t xml:space="preserve">┌─────────────────────────────────────────────────────────────┐</w:t>
      </w:r>
      <w:r>
        <w:br/>
      </w:r>
      <w:r>
        <w:rPr>
          <w:rStyle w:val="VerbatimChar"/>
        </w:rPr>
        <w:t xml:space="preserve">│                    LEARN THINKING LOOP                       │</w:t>
      </w:r>
      <w:r>
        <w:br/>
      </w:r>
      <w:r>
        <w:rPr>
          <w:rStyle w:val="VerbatimChar"/>
        </w:rPr>
        <w:t xml:space="preserve">├─────────────────────────────────────────────────────────────┤</w:t>
      </w:r>
      <w:r>
        <w:br/>
      </w:r>
      <w:r>
        <w:rPr>
          <w:rStyle w:val="VerbatimChar"/>
        </w:rPr>
        <w:t xml:space="preserve">│                                                             │</w:t>
      </w:r>
      <w:r>
        <w:br/>
      </w:r>
      <w:r>
        <w:rPr>
          <w:rStyle w:val="VerbatimChar"/>
        </w:rPr>
        <w:t xml:space="preserve">│  1. MORNING REVIEW (Windows startup)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opens changed HTML files                    │</w:t>
      </w:r>
      <w:r>
        <w:br/>
      </w:r>
      <w:r>
        <w:rPr>
          <w:rStyle w:val="VerbatimChar"/>
        </w:rPr>
        <w:t xml:space="preserve">│                                                             │</w:t>
      </w:r>
      <w:r>
        <w:br/>
      </w:r>
      <w:r>
        <w:rPr>
          <w:rStyle w:val="VerbatimChar"/>
        </w:rPr>
        <w:t xml:space="preserve">│  2. REFLECTION (human reads Learn/ folder content)         │</w:t>
      </w:r>
      <w:r>
        <w:br/>
      </w:r>
      <w:r>
        <w:rPr>
          <w:rStyle w:val="VerbatimChar"/>
        </w:rPr>
        <w:t xml:space="preserve">│     └─ Identifies gaps, errors, new opportunities          │</w:t>
      </w:r>
      <w:r>
        <w:br/>
      </w:r>
      <w:r>
        <w:rPr>
          <w:rStyle w:val="VerbatimChar"/>
        </w:rPr>
        <w:t xml:space="preserve">│                                                             │</w:t>
      </w:r>
      <w:r>
        <w:br/>
      </w:r>
      <w:r>
        <w:rPr>
          <w:rStyle w:val="VerbatimChar"/>
        </w:rPr>
        <w:t xml:space="preserve">│  3. DEVELOPMENT SESSION (Claude Code / Copilot / Cursor)   │</w:t>
      </w:r>
      <w:r>
        <w:br/>
      </w:r>
      <w:r>
        <w:rPr>
          <w:rStyle w:val="VerbatimChar"/>
        </w:rPr>
        <w:t xml:space="preserve">│     └─ Fixes, adds, improves code and documentation        │</w:t>
      </w:r>
      <w:r>
        <w:br/>
      </w:r>
      <w:r>
        <w:rPr>
          <w:rStyle w:val="VerbatimChar"/>
        </w:rPr>
        <w:t xml:space="preserve">│                                                             │</w:t>
      </w:r>
      <w:r>
        <w:br/>
      </w:r>
      <w:r>
        <w:rPr>
          <w:rStyle w:val="VerbatimChar"/>
        </w:rPr>
        <w:t xml:space="preserve">│  4. VERSIONING (git commit + push)                         │</w:t>
      </w:r>
      <w:r>
        <w:br/>
      </w:r>
      <w:r>
        <w:rPr>
          <w:rStyle w:val="VerbatimChar"/>
        </w:rPr>
        <w:t xml:space="preserve">│     └─ Thesis version increments, learning journal         │</w:t>
      </w:r>
      <w:r>
        <w:br/>
      </w:r>
      <w:r>
        <w:rPr>
          <w:rStyle w:val="VerbatimChar"/>
        </w:rPr>
        <w:t xml:space="preserve">│        updates automatically                                │</w:t>
      </w:r>
      <w:r>
        <w:br/>
      </w:r>
      <w:r>
        <w:rPr>
          <w:rStyle w:val="VerbatimChar"/>
        </w:rPr>
        <w:t xml:space="preserve">│                                                             │</w:t>
      </w:r>
      <w:r>
        <w:br/>
      </w:r>
      <w:r>
        <w:rPr>
          <w:rStyle w:val="VerbatimChar"/>
        </w:rPr>
        <w:t xml:space="preserve">│  5. NEXT MORNING → return to step 1                        │</w:t>
      </w:r>
      <w:r>
        <w:br/>
      </w:r>
      <w:r>
        <w:rPr>
          <w:rStyle w:val="VerbatimChar"/>
        </w:rPr>
        <w:t xml:space="preserve">│                                                             │</w:t>
      </w:r>
      <w:r>
        <w:br/>
      </w:r>
      <w:r>
        <w:rPr>
          <w:rStyle w:val="VerbatimChar"/>
        </w:rPr>
        <w:t xml:space="preserve">└─────────────────────────────────────────────────────────────┘</w:t>
      </w:r>
    </w:p>
    <w:bookmarkEnd w:id="135"/>
    <w:bookmarkStart w:id="136" w:name="X54b373059c34066dbb6b5f78c91e5e06f603df8"/>
    <w:p>
      <w:pPr>
        <w:pStyle w:val="Heading3"/>
      </w:pPr>
      <w:r>
        <w:t xml:space="preserve">Why Learn Thinking Matters for Thesis Work</w:t>
      </w:r>
    </w:p>
    <w:p>
      <w:pPr>
        <w:pStyle w:val="FirstParagraph"/>
      </w:pPr>
      <w:r>
        <w:t xml:space="preserve">In a traditional thesis process, the researcher writes a document once and submits it. In the Learn Thinking model:</w:t>
      </w:r>
    </w:p>
    <w:p>
      <w:pPr>
        <w:numPr>
          <w:ilvl w:val="0"/>
          <w:numId w:val="1046"/>
        </w:numPr>
        <w:pStyle w:val="Compact"/>
      </w:pPr>
      <w:r>
        <w:rPr>
          <w:bCs/>
          <w:b/>
        </w:rPr>
        <w:t xml:space="preserve">The thesis is a living document</w:t>
      </w:r>
      <w:r>
        <w:t xml:space="preserve"> </w:t>
      </w:r>
      <w:r>
        <w:t xml:space="preserve">— 30+ versions over 3 months, each documenting a concrete learning contribution</w:t>
      </w:r>
    </w:p>
    <w:p>
      <w:pPr>
        <w:numPr>
          <w:ilvl w:val="0"/>
          <w:numId w:val="1046"/>
        </w:numPr>
        <w:pStyle w:val="Compact"/>
      </w:pPr>
      <w:r>
        <w:rPr>
          <w:bCs/>
          <w:b/>
        </w:rPr>
        <w:t xml:space="preserve">AI tools are learning partners</w:t>
      </w:r>
      <w:r>
        <w:t xml:space="preserve"> </w:t>
      </w:r>
      <w:r>
        <w:t xml:space="preserve">— Claude Code, Copilot, and Cursor don’t just generate code, they produce structural reflection via version history</w:t>
      </w:r>
    </w:p>
    <w:p>
      <w:pPr>
        <w:numPr>
          <w:ilvl w:val="0"/>
          <w:numId w:val="1046"/>
        </w:numPr>
        <w:pStyle w:val="Compact"/>
      </w:pPr>
      <w:r>
        <w:rPr>
          <w:bCs/>
          <w:b/>
        </w:rPr>
        <w:t xml:space="preserve">The Learn/ folder is proof of learning</w:t>
      </w:r>
      <w:r>
        <w:t xml:space="preserve"> </w:t>
      </w:r>
      <w:r>
        <w:t xml:space="preserve">— a concrete, daily-updating portfolio of thesis progress</w:t>
      </w:r>
    </w:p>
    <w:p>
      <w:pPr>
        <w:numPr>
          <w:ilvl w:val="0"/>
          <w:numId w:val="1046"/>
        </w:numPr>
        <w:pStyle w:val="Compact"/>
      </w:pPr>
      <w:r>
        <w:rPr>
          <w:bCs/>
          <w:b/>
        </w:rPr>
        <w:t xml:space="preserve">Research and production converge</w:t>
      </w:r>
      <w:r>
        <w:t xml:space="preserve"> </w:t>
      </w:r>
      <w:r>
        <w:t xml:space="preserve">— thesis findings directly guide DWS product development and vice versa</w:t>
      </w:r>
    </w:p>
    <w:bookmarkEnd w:id="136"/>
    <w:bookmarkStart w:id="137" w:name="connection-to-build-measure-learn-cycle"/>
    <w:p>
      <w:pPr>
        <w:pStyle w:val="Heading3"/>
      </w:pPr>
      <w:r>
        <w:t xml:space="preserve">Connection to Build-Measure-Learn Cycle</w:t>
      </w:r>
    </w:p>
    <w:p>
      <w:pPr>
        <w:pStyle w:val="FirstParagraph"/>
      </w:pPr>
      <w:r>
        <w:t xml:space="preserve">Learn Thinking extends the Lean Startup Build-Measure-Learn cycle:</w:t>
      </w:r>
    </w:p>
    <w:tbl>
      <w:tblPr>
        <w:tblStyle w:val="Table"/>
        <w:tblW w:type="pct" w:w="5000"/>
        <w:tblLook w:firstRow="1" w:lastRow="0" w:firstColumn="0" w:lastColumn="0" w:noHBand="0" w:noVBand="0" w:val="0020"/>
        <w:jc w:val="start"/>
      </w:tblPr>
      <w:tblGrid>
        <w:gridCol w:w="1080"/>
        <w:gridCol w:w="3780"/>
        <w:gridCol w:w="3060"/>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 Implementation</w:t>
            </w:r>
          </w:p>
        </w:tc>
      </w:tr>
      <w:tr>
        <w:tc>
          <w:tcPr/>
          <w:p>
            <w:pPr>
              <w:pStyle w:val="Compact"/>
              <w:jc w:val="left"/>
            </w:pPr>
            <w:r>
              <w:t xml:space="preserve">Build</w:t>
            </w:r>
          </w:p>
        </w:tc>
        <w:tc>
          <w:tcPr/>
          <w:p>
            <w:pPr>
              <w:pStyle w:val="Compact"/>
              <w:jc w:val="left"/>
            </w:pPr>
            <w:r>
              <w:t xml:space="preserve">Development session (code + documentation)</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Morning review (changes in Edge browser)</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Reflection and next action</w:t>
            </w:r>
          </w:p>
        </w:tc>
        <w:tc>
          <w:tcPr/>
          <w:p>
            <w:pPr>
              <w:pStyle w:val="Compact"/>
              <w:jc w:val="left"/>
            </w:pPr>
            <w:r>
              <w:t xml:space="preserve">Version history = learning journal</w:t>
            </w:r>
          </w:p>
        </w:tc>
      </w:tr>
    </w:tbl>
    <w:p>
      <w:r>
        <w:pict>
          <v:rect style="width:0;height:1.5pt" o:hralign="center" o:hrstd="t" o:hr="t"/>
        </w:pict>
      </w:r>
    </w:p>
    <w:bookmarkEnd w:id="137"/>
    <w:bookmarkEnd w:id="138"/>
    <w:bookmarkEnd w:id="139"/>
    <w:bookmarkStart w:id="191" w:name="conclusions"/>
    <w:p>
      <w:pPr>
        <w:pStyle w:val="Heading1"/>
      </w:pPr>
      <w:r>
        <w:t xml:space="preserve">10. Conclusions</w:t>
      </w:r>
    </w:p>
    <w:bookmarkStart w:id="140" w:name="summary"/>
    <w:p>
      <w:pPr>
        <w:pStyle w:val="Heading2"/>
      </w:pPr>
      <w:r>
        <w:t xml:space="preserve">10.1 Summary</w:t>
      </w:r>
    </w:p>
    <w:p>
      <w:pPr>
        <w:pStyle w:val="FirstParagraph"/>
      </w:pPr>
      <w:r>
        <w:t xml:space="preserve">The Firehorse operating model demonstrates that AI-assisted e-commerce management can:</w:t>
      </w:r>
    </w:p>
    <w:p>
      <w:pPr>
        <w:numPr>
          <w:ilvl w:val="0"/>
          <w:numId w:val="1047"/>
        </w:numPr>
        <w:pStyle w:val="Compact"/>
      </w:pPr>
      <w:r>
        <w:rPr>
          <w:bCs/>
          <w:b/>
        </w:rPr>
        <w:t xml:space="preserve">Reduce operational overhead</w:t>
      </w:r>
      <w:r>
        <w:t xml:space="preserve"> </w:t>
      </w:r>
      <w:r>
        <w:t xml:space="preserve">by over 90% with automated product management</w:t>
      </w:r>
    </w:p>
    <w:p>
      <w:pPr>
        <w:numPr>
          <w:ilvl w:val="0"/>
          <w:numId w:val="1047"/>
        </w:numPr>
        <w:pStyle w:val="Compact"/>
      </w:pPr>
      <w:r>
        <w:rPr>
          <w:bCs/>
          <w:b/>
        </w:rPr>
        <w:t xml:space="preserve">Ensure compliance</w:t>
      </w:r>
      <w:r>
        <w:t xml:space="preserve"> </w:t>
      </w:r>
      <w:r>
        <w:t xml:space="preserve">with EU regulations through documented audit trails</w:t>
      </w:r>
    </w:p>
    <w:p>
      <w:pPr>
        <w:numPr>
          <w:ilvl w:val="0"/>
          <w:numId w:val="1047"/>
        </w:numPr>
        <w:pStyle w:val="Compact"/>
      </w:pPr>
      <w:r>
        <w:rPr>
          <w:bCs/>
          <w:b/>
        </w:rPr>
        <w:t xml:space="preserve">Enable rapid iteration</w:t>
      </w:r>
      <w:r>
        <w:t xml:space="preserve"> </w:t>
      </w:r>
      <w:r>
        <w:t xml:space="preserve">on product offerings through natural language interfaces</w:t>
      </w:r>
    </w:p>
    <w:p>
      <w:pPr>
        <w:numPr>
          <w:ilvl w:val="0"/>
          <w:numId w:val="1047"/>
        </w:numPr>
        <w:pStyle w:val="Compact"/>
      </w:pPr>
      <w:r>
        <w:rPr>
          <w:bCs/>
          <w:b/>
        </w:rPr>
        <w:t xml:space="preserve">Prepare infrastructure</w:t>
      </w:r>
      <w:r>
        <w:t xml:space="preserve"> </w:t>
      </w:r>
      <w:r>
        <w:t xml:space="preserve">for voice-based customer interaction</w:t>
      </w:r>
    </w:p>
    <w:p>
      <w:pPr>
        <w:numPr>
          <w:ilvl w:val="0"/>
          <w:numId w:val="1047"/>
        </w:numPr>
        <w:pStyle w:val="Compact"/>
      </w:pPr>
      <w:r>
        <w:rPr>
          <w:bCs/>
          <w:b/>
        </w:rPr>
        <w:t xml:space="preserve">Validate product-market fit</w:t>
      </w:r>
      <w:r>
        <w:t xml:space="preserve"> </w:t>
      </w:r>
      <w:r>
        <w:t xml:space="preserve">through Google Merchant Center integration</w:t>
      </w:r>
    </w:p>
    <w:bookmarkEnd w:id="140"/>
    <w:bookmarkStart w:id="141" w:name="key-contributions"/>
    <w:p>
      <w:pPr>
        <w:pStyle w:val="Heading2"/>
      </w:pPr>
      <w:r>
        <w:t xml:space="preserve">10.2 Key Contributions</w:t>
      </w:r>
    </w:p>
    <w:p>
      <w:pPr>
        <w:numPr>
          <w:ilvl w:val="0"/>
          <w:numId w:val="1048"/>
        </w:numPr>
        <w:pStyle w:val="Compact"/>
      </w:pPr>
      <w:r>
        <w:t xml:space="preserve">Documented framework for AI-assisted store operations (Firehorse model)</w:t>
      </w:r>
    </w:p>
    <w:p>
      <w:pPr>
        <w:numPr>
          <w:ilvl w:val="0"/>
          <w:numId w:val="1048"/>
        </w:numPr>
        <w:pStyle w:val="Compact"/>
      </w:pPr>
      <w:r>
        <w:t xml:space="preserve">Integration patterns for Google Merchant Center and Revolut Business</w:t>
      </w:r>
    </w:p>
    <w:p>
      <w:pPr>
        <w:numPr>
          <w:ilvl w:val="0"/>
          <w:numId w:val="1048"/>
        </w:numPr>
        <w:pStyle w:val="Compact"/>
      </w:pPr>
      <w:r>
        <w:t xml:space="preserve">Roadmap for audio chat with carbon footprint calculator integration (4 phases)</w:t>
      </w:r>
    </w:p>
    <w:p>
      <w:pPr>
        <w:numPr>
          <w:ilvl w:val="0"/>
          <w:numId w:val="1048"/>
        </w:numPr>
        <w:pStyle w:val="Compact"/>
      </w:pPr>
      <w:r>
        <w:t xml:space="preserve">EU compliance mapping for industrial software products</w:t>
      </w:r>
    </w:p>
    <w:p>
      <w:pPr>
        <w:numPr>
          <w:ilvl w:val="0"/>
          <w:numId w:val="1048"/>
        </w:numPr>
        <w:pStyle w:val="Compact"/>
      </w:pPr>
      <w:r>
        <w:t xml:space="preserve">Product recommendation engine architecture for 25+ EU industries</w:t>
      </w:r>
    </w:p>
    <w:p>
      <w:pPr>
        <w:numPr>
          <w:ilvl w:val="0"/>
          <w:numId w:val="1048"/>
        </w:numPr>
        <w:pStyle w:val="Compact"/>
      </w:pPr>
      <w:r>
        <w:t xml:space="preserve">Proton security products strategy for GDPR/NIS2 compliance</w:t>
      </w:r>
    </w:p>
    <w:bookmarkEnd w:id="141"/>
    <w:bookmarkStart w:id="144" w:name="contribution-to-theory"/>
    <w:p>
      <w:pPr>
        <w:pStyle w:val="Heading2"/>
      </w:pPr>
      <w:r>
        <w:t xml:space="preserve">10.3 Contribution to Theory</w:t>
      </w:r>
    </w:p>
    <w:bookmarkStart w:id="142" w:name="lifetime-scope-signals-protocol-2"/>
    <w:p>
      <w:pPr>
        <w:pStyle w:val="Heading3"/>
      </w:pPr>
      <w:r>
        <w:t xml:space="preserve">Lifetime Scope Signals Protocol</w:t>
      </w:r>
    </w:p>
    <w:p>
      <w:pPr>
        <w:pStyle w:val="FirstParagraph"/>
      </w:pPr>
      <w:r>
        <w:t xml:space="preserve">A novel contribution to multi-agent systems theory — declarative coordination, deterministic dependencies, and bootstrap optimization.</w:t>
      </w:r>
    </w:p>
    <w:bookmarkEnd w:id="142"/>
    <w:bookmarkStart w:id="143" w:name="solution-factory-model"/>
    <w:p>
      <w:pPr>
        <w:pStyle w:val="Heading3"/>
      </w:pPr>
      <w:r>
        <w:t xml:space="preserve">Solution Factory Model</w:t>
      </w:r>
    </w:p>
    <w:p>
      <w:pPr>
        <w:pStyle w:val="FirstParagraph"/>
      </w:pPr>
      <w:r>
        <w:t xml:space="preserve">Synthesizes Lean Startup, Platform Economics, Industry 5.0, and Edge Computing Economics into a unified framework.</w:t>
      </w:r>
    </w:p>
    <w:bookmarkEnd w:id="143"/>
    <w:bookmarkEnd w:id="144"/>
    <w:bookmarkStart w:id="145" w:name="X1634afecad3c2e46b7145515217828f4989cf64"/>
    <w:p>
      <w:pPr>
        <w:pStyle w:val="Heading2"/>
      </w:pPr>
      <w:r>
        <w:t xml:space="preserve">10.4 Impact of Regulatory Changes: Omnibus Package</w:t>
      </w:r>
    </w:p>
    <w:p>
      <w:pPr>
        <w:pStyle w:val="FirstParagraph"/>
      </w:pPr>
      <w:r>
        <w:t xml:space="preserve">The Omnibus package</w:t>
      </w:r>
      <w:r>
        <w:t xml:space="preserve"> </w:t>
      </w:r>
      <w:r>
        <w:rPr>
          <w:bCs/>
          <w:b/>
        </w:rPr>
        <w:t xml:space="preserve">strengthens</w:t>
      </w:r>
      <w:r>
        <w:t xml:space="preserve"> </w:t>
      </w:r>
      <w:r>
        <w:t xml:space="preserve">the Firehorse model’s competitiveness: climate emission targets are not compromised — only administrative burden is reduced. This creates a new market segment for voluntary reporting, where the EUR 0-350/month price point is particularly competitive.</w:t>
      </w:r>
    </w:p>
    <w:bookmarkEnd w:id="145"/>
    <w:bookmarkStart w:id="146" w:name="future-work"/>
    <w:p>
      <w:pPr>
        <w:pStyle w:val="Heading2"/>
      </w:pPr>
      <w:r>
        <w:t xml:space="preserve">10.5 Future Work</w:t>
      </w:r>
    </w:p>
    <w:p>
      <w:pPr>
        <w:numPr>
          <w:ilvl w:val="0"/>
          <w:numId w:val="1049"/>
        </w:numPr>
        <w:pStyle w:val="Compact"/>
      </w:pPr>
      <w:r>
        <w:rPr>
          <w:bCs/>
          <w:b/>
        </w:rPr>
        <w:t xml:space="preserve">Q1 2026:</w:t>
      </w:r>
      <w:r>
        <w:t xml:space="preserve"> </w:t>
      </w:r>
      <w:r>
        <w:t xml:space="preserve">Deploy audio chat Phase 1 with Groq/Llama models</w:t>
      </w:r>
    </w:p>
    <w:p>
      <w:pPr>
        <w:numPr>
          <w:ilvl w:val="0"/>
          <w:numId w:val="1049"/>
        </w:numPr>
        <w:pStyle w:val="Compact"/>
      </w:pPr>
      <w:r>
        <w:rPr>
          <w:bCs/>
          <w:b/>
        </w:rPr>
        <w:t xml:space="preserve">Q2 2026:</w:t>
      </w:r>
      <w:r>
        <w:t xml:space="preserve"> </w:t>
      </w:r>
      <w:r>
        <w:t xml:space="preserve">Implement industry carbon footprint calculator with Scope 1/2/3</w:t>
      </w:r>
    </w:p>
    <w:p>
      <w:pPr>
        <w:numPr>
          <w:ilvl w:val="0"/>
          <w:numId w:val="1049"/>
        </w:numPr>
        <w:pStyle w:val="Compact"/>
      </w:pPr>
      <w:r>
        <w:rPr>
          <w:bCs/>
          <w:b/>
        </w:rPr>
        <w:t xml:space="preserve">Q3 2026:</w:t>
      </w:r>
      <w:r>
        <w:t xml:space="preserve"> </w:t>
      </w:r>
      <w:r>
        <w:t xml:space="preserve">Launch regulatory awareness engine</w:t>
      </w:r>
    </w:p>
    <w:p>
      <w:pPr>
        <w:numPr>
          <w:ilvl w:val="0"/>
          <w:numId w:val="1049"/>
        </w:numPr>
        <w:pStyle w:val="Compact"/>
      </w:pPr>
      <w:r>
        <w:rPr>
          <w:bCs/>
          <w:b/>
        </w:rPr>
        <w:t xml:space="preserve">Q4 2026:</w:t>
      </w:r>
      <w:r>
        <w:t xml:space="preserve"> </w:t>
      </w:r>
      <w:r>
        <w:t xml:space="preserve">Establish partner ecosystem with commission model</w:t>
      </w:r>
    </w:p>
    <w:p>
      <w:pPr>
        <w:numPr>
          <w:ilvl w:val="0"/>
          <w:numId w:val="1049"/>
        </w:numPr>
        <w:pStyle w:val="Compact"/>
      </w:pPr>
      <w:r>
        <w:rPr>
          <w:bCs/>
          <w:b/>
        </w:rPr>
        <w:t xml:space="preserve">2027:</w:t>
      </w:r>
      <w:r>
        <w:t xml:space="preserve"> </w:t>
      </w:r>
      <w:r>
        <w:t xml:space="preserve">Expand to other EU markets (SE, NO, DK, DE)</w:t>
      </w:r>
    </w:p>
    <w:p>
      <w:pPr>
        <w:numPr>
          <w:ilvl w:val="0"/>
          <w:numId w:val="1049"/>
        </w:numPr>
        <w:pStyle w:val="Compact"/>
      </w:pPr>
      <w:r>
        <w:rPr>
          <w:bCs/>
          <w:b/>
        </w:rPr>
        <w:t xml:space="preserve">2027:</w:t>
      </w:r>
      <w:r>
        <w:t xml:space="preserve"> </w:t>
      </w:r>
      <w:r>
        <w:t xml:space="preserve">Per-industry open LLM selection and tenant-specific Lifetime World Model training</w:t>
      </w:r>
    </w:p>
    <w:p>
      <w:pPr>
        <w:numPr>
          <w:ilvl w:val="0"/>
          <w:numId w:val="1049"/>
        </w:numPr>
        <w:pStyle w:val="Compact"/>
      </w:pPr>
      <w:r>
        <w:rPr>
          <w:bCs/>
          <w:b/>
        </w:rPr>
        <w:t xml:space="preserve">2027-2028:</w:t>
      </w:r>
      <w:r>
        <w:t xml:space="preserve"> </w:t>
      </w:r>
      <w:r>
        <w:t xml:space="preserve">Enterprise BYOA (Bring Your Own Agent) graphical workflow builder</w:t>
      </w:r>
    </w:p>
    <w:bookmarkEnd w:id="146"/>
    <w:bookmarkStart w:id="148" w:name="per-industry-open-llm-selection"/>
    <w:p>
      <w:pPr>
        <w:pStyle w:val="Heading2"/>
      </w:pPr>
      <w:r>
        <w:t xml:space="preserve">10.6 Per-Industry Open LLM Selection</w:t>
      </w:r>
    </w:p>
    <w:p>
      <w:pPr>
        <w:pStyle w:val="FirstParagraph"/>
      </w:pPr>
      <w:r>
        <w:t xml:space="preserve">A critical finding from the platform architecture work is that</w:t>
      </w:r>
      <w:r>
        <w:t xml:space="preserve"> </w:t>
      </w:r>
      <w:r>
        <w:rPr>
          <w:bCs/>
          <w:b/>
        </w:rPr>
        <w:t xml:space="preserve">no single open LLM is optimal across all 25+ EU industries</w:t>
      </w:r>
      <w:r>
        <w:t xml:space="preserve">. Each industry vertical has distinct domain language, regulatory context, and structured output requirements. The</w:t>
      </w:r>
      <w:r>
        <w:t xml:space="preserve"> </w:t>
      </w:r>
      <w:r>
        <w:rPr>
          <w:rStyle w:val="VerbatimChar"/>
        </w:rPr>
        <w:t xml:space="preserve">AgentConfig.model</w:t>
      </w:r>
      <w:r>
        <w:t xml:space="preserve"> </w:t>
      </w:r>
      <w:r>
        <w:t xml:space="preserve">field is already per-agent, so each concrete agent can be configured with a different trained Lifetime World Model (LWM) + open LLM, with continuous benchmarking. The platform must evaluate and select the best open LLM per industry rather than defaulting to a single model (e.g., Llama 3.3 70B) for all verticals.</w:t>
      </w:r>
    </w:p>
    <w:p>
      <w:pPr>
        <w:pStyle w:val="BodyText"/>
      </w:pPr>
      <w:r>
        <w:rPr>
          <w:bCs/>
          <w:b/>
        </w:rPr>
        <w:t xml:space="preserve">Candidate open LLMs per industry domain:</w:t>
      </w:r>
    </w:p>
    <w:tbl>
      <w:tblPr>
        <w:tblStyle w:val="Table"/>
        <w:tblW w:type="pct" w:w="5000"/>
        <w:tblLook w:firstRow="1" w:lastRow="0" w:firstColumn="0" w:lastColumn="0" w:noHBand="0" w:noVBand="0" w:val="0020"/>
        <w:jc w:val="start"/>
      </w:tblPr>
      <w:tblGrid>
        <w:gridCol w:w="1697"/>
        <w:gridCol w:w="2376"/>
        <w:gridCol w:w="3846"/>
      </w:tblGrid>
      <w:tr>
        <w:trPr>
          <w:tblHeader w:val="true"/>
        </w:trPr>
        <w:tc>
          <w:tcPr/>
          <w:p>
            <w:pPr>
              <w:pStyle w:val="Compact"/>
              <w:jc w:val="left"/>
            </w:pPr>
            <w:r>
              <w:t xml:space="preserve">Industry Cluster</w:t>
            </w:r>
          </w:p>
        </w:tc>
        <w:tc>
          <w:tcPr/>
          <w:p>
            <w:pPr>
              <w:pStyle w:val="Compact"/>
              <w:jc w:val="left"/>
            </w:pPr>
            <w:r>
              <w:t xml:space="preserve">Candidate Models</w:t>
            </w:r>
          </w:p>
        </w:tc>
        <w:tc>
          <w:tcPr/>
          <w:p>
            <w:pPr>
              <w:pStyle w:val="Compact"/>
              <w:jc w:val="left"/>
            </w:pPr>
            <w:r>
              <w:t xml:space="preserve">Key Domain Requirement</w:t>
            </w:r>
          </w:p>
        </w:tc>
      </w:tr>
      <w:tr>
        <w:tc>
          <w:tcPr/>
          <w:p>
            <w:pPr>
              <w:pStyle w:val="Compact"/>
              <w:jc w:val="left"/>
            </w:pPr>
            <w:r>
              <w:t xml:space="preserve">Construction, Real Estate</w:t>
            </w:r>
          </w:p>
        </w:tc>
        <w:tc>
          <w:tcPr/>
          <w:p>
            <w:pPr>
              <w:pStyle w:val="Compact"/>
              <w:jc w:val="left"/>
            </w:pPr>
            <w:r>
              <w:t xml:space="preserve">Llama 3.3 70B, Qwen 2.5 72B, Mistral Large</w:t>
            </w:r>
          </w:p>
        </w:tc>
        <w:tc>
          <w:tcPr/>
          <w:p>
            <w:pPr>
              <w:pStyle w:val="Compact"/>
              <w:jc w:val="left"/>
            </w:pPr>
            <w:r>
              <w:t xml:space="preserve">EN 15978 lifecycle stages, Nordic building codes, EPBD</w:t>
            </w:r>
          </w:p>
        </w:tc>
      </w:tr>
      <w:tr>
        <w:tc>
          <w:tcPr/>
          <w:p>
            <w:pPr>
              <w:pStyle w:val="Compact"/>
              <w:jc w:val="left"/>
            </w:pPr>
            <w:r>
              <w:t xml:space="preserve">Energy, Steel &amp; Metals, Cement</w:t>
            </w:r>
          </w:p>
        </w:tc>
        <w:tc>
          <w:tcPr/>
          <w:p>
            <w:pPr>
              <w:pStyle w:val="Compact"/>
              <w:jc w:val="left"/>
            </w:pPr>
            <w:r>
              <w:t xml:space="preserve">Llama 3.3, DeepSeek-V3, Mixtral 8x22B</w:t>
            </w:r>
          </w:p>
        </w:tc>
        <w:tc>
          <w:tcPr/>
          <w:p>
            <w:pPr>
              <w:pStyle w:val="Compact"/>
              <w:jc w:val="left"/>
            </w:pPr>
            <w:r>
              <w:t xml:space="preserve">ETS allowance calculations, process emissions, CBAM</w:t>
            </w:r>
          </w:p>
        </w:tc>
      </w:tr>
      <w:tr>
        <w:tc>
          <w:tcPr/>
          <w:p>
            <w:pPr>
              <w:pStyle w:val="Compact"/>
              <w:jc w:val="left"/>
            </w:pPr>
            <w:r>
              <w:t xml:space="preserve">Manufacturing, Chemicals</w:t>
            </w:r>
          </w:p>
        </w:tc>
        <w:tc>
          <w:tcPr/>
          <w:p>
            <w:pPr>
              <w:pStyle w:val="Compact"/>
              <w:jc w:val="left"/>
            </w:pPr>
            <w:r>
              <w:t xml:space="preserve">Qwen 2.5 72B, Llama 3.3</w:t>
            </w:r>
          </w:p>
        </w:tc>
        <w:tc>
          <w:tcPr/>
          <w:p>
            <w:pPr>
              <w:pStyle w:val="Compact"/>
              <w:jc w:val="left"/>
            </w:pPr>
            <w:r>
              <w:t xml:space="preserve">CBAM product classification, BOM analysis, REACH</w:t>
            </w:r>
          </w:p>
        </w:tc>
      </w:tr>
      <w:tr>
        <w:tc>
          <w:tcPr/>
          <w:p>
            <w:pPr>
              <w:pStyle w:val="Compact"/>
              <w:jc w:val="left"/>
            </w:pPr>
            <w:r>
              <w:t xml:space="preserve">Logistics, Maritime, Aviation</w:t>
            </w:r>
          </w:p>
        </w:tc>
        <w:tc>
          <w:tcPr/>
          <w:p>
            <w:pPr>
              <w:pStyle w:val="Compact"/>
              <w:jc w:val="left"/>
            </w:pPr>
            <w:r>
              <w:t xml:space="preserve">Mistral Large, Llama 3.3, Gemma 2 27B</w:t>
            </w:r>
          </w:p>
        </w:tc>
        <w:tc>
          <w:tcPr/>
          <w:p>
            <w:pPr>
              <w:pStyle w:val="Compact"/>
              <w:jc w:val="left"/>
            </w:pPr>
            <w:r>
              <w:t xml:space="preserve">FuelEU Maritime, CORSIA, route optimization</w:t>
            </w:r>
          </w:p>
        </w:tc>
      </w:tr>
      <w:tr>
        <w:tc>
          <w:tcPr/>
          <w:p>
            <w:pPr>
              <w:pStyle w:val="Compact"/>
              <w:jc w:val="left"/>
            </w:pPr>
            <w:r>
              <w:t xml:space="preserve">Agriculture, Food &amp; Beverage</w:t>
            </w:r>
          </w:p>
        </w:tc>
        <w:tc>
          <w:tcPr/>
          <w:p>
            <w:pPr>
              <w:pStyle w:val="Compact"/>
              <w:jc w:val="left"/>
            </w:pPr>
            <w:r>
              <w:t xml:space="preserve">Llama 3.3, Gemma 2, Command R+</w:t>
            </w:r>
          </w:p>
        </w:tc>
        <w:tc>
          <w:tcPr/>
          <w:p>
            <w:pPr>
              <w:pStyle w:val="Compact"/>
              <w:jc w:val="left"/>
            </w:pPr>
            <w:r>
              <w:t xml:space="preserve">LULUCF, Scope 3 supply chain, packaging lifecycle</w:t>
            </w:r>
          </w:p>
        </w:tc>
      </w:tr>
      <w:tr>
        <w:tc>
          <w:tcPr/>
          <w:p>
            <w:pPr>
              <w:pStyle w:val="Compact"/>
              <w:jc w:val="left"/>
            </w:pPr>
            <w:r>
              <w:t xml:space="preserve">Finance, Public Sector</w:t>
            </w:r>
          </w:p>
        </w:tc>
        <w:tc>
          <w:tcPr/>
          <w:p>
            <w:pPr>
              <w:pStyle w:val="Compact"/>
              <w:jc w:val="left"/>
            </w:pPr>
            <w:r>
              <w:t xml:space="preserve">Mistral Large (EU-hosted), Llama 3.3</w:t>
            </w:r>
          </w:p>
        </w:tc>
        <w:tc>
          <w:tcPr/>
          <w:p>
            <w:pPr>
              <w:pStyle w:val="Compact"/>
              <w:jc w:val="left"/>
            </w:pPr>
            <w:r>
              <w:t xml:space="preserve">SFDR, EU Taxonomy, double materiality, GPP</w:t>
            </w:r>
          </w:p>
        </w:tc>
      </w:tr>
      <w:tr>
        <w:tc>
          <w:tcPr/>
          <w:p>
            <w:pPr>
              <w:pStyle w:val="Compact"/>
              <w:jc w:val="left"/>
            </w:pPr>
            <w:r>
              <w:t xml:space="preserve">Healthcare, Textiles</w:t>
            </w:r>
          </w:p>
        </w:tc>
        <w:tc>
          <w:tcPr/>
          <w:p>
            <w:pPr>
              <w:pStyle w:val="Compact"/>
              <w:jc w:val="left"/>
            </w:pPr>
            <w:r>
              <w:t xml:space="preserve">Gemma 2 (EU-hosted), Qwen 2.5</w:t>
            </w:r>
          </w:p>
        </w:tc>
        <w:tc>
          <w:tcPr/>
          <w:p>
            <w:pPr>
              <w:pStyle w:val="Compact"/>
              <w:jc w:val="left"/>
            </w:pPr>
            <w:r>
              <w:t xml:space="preserve">Digital product passport, medical waste, pharmaceutical supply chain</w:t>
            </w:r>
          </w:p>
        </w:tc>
      </w:tr>
    </w:tbl>
    <w:p>
      <w:pPr>
        <w:pStyle w:val="BodyText"/>
      </w:pPr>
      <w:r>
        <w:rPr>
          <w:bCs/>
          <w:b/>
        </w:rPr>
        <w:t xml:space="preserve">Selection criteria:</w:t>
      </w:r>
      <w:r>
        <w:t xml:space="preserve"> </w:t>
      </w:r>
      <w:r>
        <w:t xml:space="preserve">domain knowledge depth, multilingual capability (Finnish/Swedish/20+ for CBAM), structured output reliability, context window (128k+ for supply chain), inference speed, EU data residency, and commercial license.</w:t>
      </w:r>
    </w:p>
    <w:p>
      <w:pPr>
        <w:pStyle w:val="BodyText"/>
      </w:pPr>
      <w:r>
        <w:t xml:space="preserve">Each enterprise tenant can have their Lifetime World Model trained on their own industry data with their chosen LLM as the base model.</w:t>
      </w:r>
    </w:p>
    <w:bookmarkStart w:id="147" w:name="why-16-industries-make-dws-iq-stronger"/>
    <w:p>
      <w:pPr>
        <w:pStyle w:val="Heading3"/>
      </w:pPr>
      <w:r>
        <w:t xml:space="preserve">10.6.1 Why 16 Industries Make DWS IQ Stronger</w:t>
      </w:r>
    </w:p>
    <w:p>
      <w:pPr>
        <w:pStyle w:val="FirstParagraph"/>
      </w:pPr>
      <w:r>
        <w:t xml:space="preserve">From the customer’s perspective, a platform covering 25+ EU industries is not complexity — it is</w:t>
      </w:r>
      <w:r>
        <w:t xml:space="preserve"> </w:t>
      </w:r>
      <w:r>
        <w:rPr>
          <w:bCs/>
          <w:b/>
        </w:rPr>
        <w:t xml:space="preserve">the competitive advantage they are buying</w:t>
      </w:r>
      <w:r>
        <w:t xml:space="preserve">. The 25+-industry architecture creates compounding value that a single-industry platform cannot match:</w:t>
      </w:r>
    </w:p>
    <w:p>
      <w:pPr>
        <w:numPr>
          <w:ilvl w:val="0"/>
          <w:numId w:val="1050"/>
        </w:numPr>
      </w:pPr>
      <w:r>
        <w:rPr>
          <w:bCs/>
          <w:b/>
        </w:rPr>
        <w:t xml:space="preserve">Cross-industry regulatory intelligence.</w:t>
      </w:r>
      <w:r>
        <w:t xml:space="preserve"> </w:t>
      </w:r>
      <w:r>
        <w:t xml:space="preserve">EU regulations like Fit for 55, CSRD, and CBAM affect multiple industries simultaneously. A construction company’s Scope 3 emissions include steel (ETS), cement (CBAM), logistics (FuelEU), and energy (RED III). A single-industry tool sees one slice; DWS IQ sees the entire regulatory chain. The customer gets compliance intelligence that understands their full supply chain, not just their own vertical.</w:t>
      </w:r>
    </w:p>
    <w:p>
      <w:pPr>
        <w:numPr>
          <w:ilvl w:val="0"/>
          <w:numId w:val="1050"/>
        </w:numPr>
      </w:pPr>
      <w:r>
        <w:rPr>
          <w:bCs/>
          <w:b/>
        </w:rPr>
        <w:t xml:space="preserve">Supply chain visibility across verticals.</w:t>
      </w:r>
      <w:r>
        <w:t xml:space="preserve"> </w:t>
      </w:r>
      <w:r>
        <w:t xml:space="preserve">When a manufacturing customer reports CBAM imports, DWS IQ already understands the steel producer’s ETS obligations, the logistics provider’s fuel regulations, and the energy supplier’s renewable certificates. This cross-industry knowledge means the customer’s compliance reports are more accurate, audit-ready, and defensible because the platform understands every link in their value chain.</w:t>
      </w:r>
    </w:p>
    <w:p>
      <w:pPr>
        <w:numPr>
          <w:ilvl w:val="0"/>
          <w:numId w:val="1050"/>
        </w:numPr>
      </w:pPr>
      <w:r>
        <w:rPr>
          <w:bCs/>
          <w:b/>
        </w:rPr>
        <w:t xml:space="preserve">LWM cross-pollination.</w:t>
      </w:r>
      <w:r>
        <w:t xml:space="preserve"> </w:t>
      </w:r>
      <w:r>
        <w:t xml:space="preserve">The Lifetime World Model learns from anonymized patterns across all 20 industries. A carbon reduction technique proven in cement manufacturing (e.g., clinker ratio optimization) generates transferable insight for construction (low-carbon concrete specification). The customer benefits from an LWM that has been trained on 20 industries’ worth of climate intelligence — not just their own narrow domain.</w:t>
      </w:r>
    </w:p>
    <w:p>
      <w:pPr>
        <w:numPr>
          <w:ilvl w:val="0"/>
          <w:numId w:val="1050"/>
        </w:numPr>
      </w:pPr>
      <w:r>
        <w:rPr>
          <w:bCs/>
          <w:b/>
        </w:rPr>
        <w:t xml:space="preserve">Agent template reusability.</w:t>
      </w:r>
      <w:r>
        <w:t xml:space="preserve"> </w:t>
      </w:r>
      <w:r>
        <w:t xml:space="preserve">Agent configurations that work in one industry accelerate deployment in related industries. The BIM compliance agent developed for construction is adapted for real estate energy performance certificates. The supply chain Scope 3 agent in manufacturing transfers to food &amp; beverage. Customers in later-deploying industries get battle-tested agents at lower cost and faster deployment.</w:t>
      </w:r>
    </w:p>
    <w:p>
      <w:pPr>
        <w:numPr>
          <w:ilvl w:val="0"/>
          <w:numId w:val="1050"/>
        </w:numPr>
      </w:pPr>
      <w:r>
        <w:rPr>
          <w:bCs/>
          <w:b/>
        </w:rPr>
        <w:t xml:space="preserve">Regulatory early warning.</w:t>
      </w:r>
      <w:r>
        <w:t xml:space="preserve"> </w:t>
      </w:r>
      <w:r>
        <w:t xml:space="preserve">When a new regulation (e.g., EU Deforestation Regulation) first impacts agriculture, the platform detects it and alerts food &amp; beverage, textiles, and logistics customers proactively — before the regulation reaches their industry. A single-industry platform cannot provide this cross-sector foresight.</w:t>
      </w:r>
    </w:p>
    <w:p>
      <w:pPr>
        <w:numPr>
          <w:ilvl w:val="0"/>
          <w:numId w:val="1050"/>
        </w:numPr>
      </w:pPr>
      <w:r>
        <w:rPr>
          <w:bCs/>
          <w:b/>
        </w:rPr>
        <w:t xml:space="preserve">Benchmarking across peers and adjacent industries.</w:t>
      </w:r>
      <w:r>
        <w:t xml:space="preserve"> </w:t>
      </w:r>
      <w:r>
        <w:t xml:space="preserve">An energy company can benchmark its emissions intensity not only against other utilities but against the industrial customers it serves (manufacturing, mining, chemicals). This multi-dimensional benchmarking gives the customer strategic insight into where they stand in the broader decarbonization landscape.</w:t>
      </w:r>
    </w:p>
    <w:p>
      <w:pPr>
        <w:numPr>
          <w:ilvl w:val="0"/>
          <w:numId w:val="1050"/>
        </w:numPr>
      </w:pPr>
      <w:r>
        <w:rPr>
          <w:bCs/>
          <w:b/>
        </w:rPr>
        <w:t xml:space="preserve">Network effects compound over time.</w:t>
      </w:r>
      <w:r>
        <w:t xml:space="preserve"> </w:t>
      </w:r>
      <w:r>
        <w:t xml:space="preserve">Each new industry added to the platform makes every existing industry’s LWM smarter. The 20th industry customer benefits from all 19 industries’ accumulated intelligence. This creates a</w:t>
      </w:r>
      <w:r>
        <w:t xml:space="preserve"> </w:t>
      </w:r>
      <w:r>
        <w:rPr>
          <w:bCs/>
          <w:b/>
        </w:rPr>
        <w:t xml:space="preserve">moat</w:t>
      </w:r>
      <w:r>
        <w:t xml:space="preserve">: a competitor starting with one industry must replicate years of cross-industry learning to match DWS IQ’s accumulated intelligence.</w:t>
      </w:r>
    </w:p>
    <w:p>
      <w:pPr>
        <w:pStyle w:val="FirstParagraph"/>
      </w:pPr>
      <w:r>
        <w:rPr>
          <w:bCs/>
          <w:b/>
        </w:rPr>
        <w:t xml:space="preserve">The bottom line for the customer:</w:t>
      </w:r>
      <w:r>
        <w:t xml:space="preserve"> </w:t>
      </w:r>
      <w:r>
        <w:t xml:space="preserve">DWS IQ’s 25+-industry coverage means their compliance intelligence is not isolated — it is connected to the entire EU industrial ecosystem. They pay for one platform and receive intelligence that would require 16 separate tools to approximate.</w:t>
      </w:r>
    </w:p>
    <w:bookmarkEnd w:id="147"/>
    <w:bookmarkEnd w:id="148"/>
    <w:bookmarkStart w:id="154" w:name="Xbec6b4bd0a5055100df76aa133c0205e1554495"/>
    <w:p>
      <w:pPr>
        <w:pStyle w:val="Heading2"/>
      </w:pPr>
      <w:r>
        <w:t xml:space="preserve">10.7 Enterprise BYOA Architecture: Bring Your Own Agent</w:t>
      </w:r>
    </w:p>
    <w:p>
      <w:pPr>
        <w:pStyle w:val="FirstParagraph"/>
      </w:pPr>
      <w:r>
        <w:t xml:space="preserve">A key platform evolution is supporting enterprise customers who</w:t>
      </w:r>
      <w:r>
        <w:t xml:space="preserve"> </w:t>
      </w:r>
      <w:r>
        <w:rPr>
          <w:bCs/>
          <w:b/>
        </w:rPr>
        <w:t xml:space="preserve">bring their own AI agents</w:t>
      </w:r>
      <w:r>
        <w:t xml:space="preserve"> </w:t>
      </w:r>
      <w:r>
        <w:t xml:space="preserve">to work on DWS IQ. This section describes the architecture using NCC (Nordic construction company) as an illustrative case.</w:t>
      </w:r>
    </w:p>
    <w:bookmarkStart w:id="149" w:name="the-ncc-scenario"/>
    <w:p>
      <w:pPr>
        <w:pStyle w:val="Heading3"/>
      </w:pPr>
      <w:r>
        <w:t xml:space="preserve">10.7.1 The NCC Scenario</w:t>
      </w:r>
    </w:p>
    <w:p>
      <w:pPr>
        <w:pStyle w:val="FirstParagraph"/>
      </w:pPr>
      <w:r>
        <w:t xml:space="preserve">NCC operates with a complex agent ecosystem:</w:t>
      </w:r>
    </w:p>
    <w:tbl>
      <w:tblPr>
        <w:tblStyle w:val="Table"/>
        <w:tblW w:type="pct" w:w="5000"/>
        <w:tblLook w:firstRow="1" w:lastRow="0" w:firstColumn="0" w:lastColumn="0" w:noHBand="0" w:noVBand="0" w:val="0020"/>
        <w:jc w:val="start"/>
      </w:tblPr>
      <w:tblGrid>
        <w:gridCol w:w="1204"/>
        <w:gridCol w:w="231"/>
        <w:gridCol w:w="6484"/>
      </w:tblGrid>
      <w:tr>
        <w:trPr>
          <w:tblHeader w:val="true"/>
        </w:trPr>
        <w:tc>
          <w:tcPr/>
          <w:p>
            <w:pPr>
              <w:pStyle w:val="Compact"/>
              <w:jc w:val="left"/>
            </w:pPr>
            <w:r>
              <w:t xml:space="preserve">Agent Source</w:t>
            </w:r>
          </w:p>
        </w:tc>
        <w:tc>
          <w:tcPr/>
          <w:p>
            <w:pPr>
              <w:pStyle w:val="Compact"/>
              <w:jc w:val="left"/>
            </w:pPr>
            <w:r>
              <w:t xml:space="preserve">Count</w:t>
            </w:r>
          </w:p>
        </w:tc>
        <w:tc>
          <w:tcPr/>
          <w:p>
            <w:pPr>
              <w:pStyle w:val="Compact"/>
              <w:jc w:val="left"/>
            </w:pPr>
            <w:r>
              <w:t xml:space="preserve">Examples</w:t>
            </w:r>
          </w:p>
        </w:tc>
      </w:tr>
      <w:tr>
        <w:tc>
          <w:tcPr/>
          <w:p>
            <w:pPr>
              <w:pStyle w:val="Compact"/>
              <w:jc w:val="left"/>
            </w:pPr>
            <w:r>
              <w:rPr>
                <w:bCs/>
                <w:b/>
              </w:rPr>
              <w:t xml:space="preserve">NCC Internal Agents</w:t>
            </w:r>
          </w:p>
        </w:tc>
        <w:tc>
          <w:tcPr/>
          <w:p>
            <w:pPr>
              <w:pStyle w:val="Compact"/>
              <w:jc w:val="left"/>
            </w:pPr>
            <w:r>
              <w:t xml:space="preserve">7</w:t>
            </w:r>
          </w:p>
        </w:tc>
        <w:tc>
          <w:tcPr/>
          <w:p>
            <w:pPr>
              <w:pStyle w:val="Compact"/>
              <w:jc w:val="left"/>
            </w:pPr>
            <w:r>
              <w:t xml:space="preserve">Procurement Agent, Safety Compliance Agent, BIM Agent, Sustainability Agent, Cost Estimation Agent, Quality Agent, Project Planning Agent</w:t>
            </w:r>
          </w:p>
        </w:tc>
      </w:tr>
      <w:tr>
        <w:tc>
          <w:tcPr/>
          <w:p>
            <w:pPr>
              <w:pStyle w:val="Compact"/>
              <w:jc w:val="left"/>
            </w:pPr>
            <w:r>
              <w:rPr>
                <w:bCs/>
                <w:b/>
              </w:rPr>
              <w:t xml:space="preserve">Contractor Agents</w:t>
            </w:r>
          </w:p>
        </w:tc>
        <w:tc>
          <w:tcPr/>
          <w:p>
            <w:pPr>
              <w:pStyle w:val="Compact"/>
              <w:jc w:val="left"/>
            </w:pPr>
            <w:r>
              <w:t xml:space="preserve">14</w:t>
            </w:r>
          </w:p>
        </w:tc>
        <w:tc>
          <w:tcPr/>
          <w:p>
            <w:pPr>
              <w:pStyle w:val="Compact"/>
              <w:jc w:val="left"/>
            </w:pPr>
            <w:r>
              <w:t xml:space="preserve">HVAC Subcontractor Agent, Electrical Agent, Concrete Supplier Agent, Steel Supplier Agent, Window Manufacturer Agent, Insulation Agent, etc.</w:t>
            </w:r>
          </w:p>
        </w:tc>
      </w:tr>
      <w:tr>
        <w:tc>
          <w:tcPr/>
          <w:p>
            <w:pPr>
              <w:pStyle w:val="Compact"/>
              <w:jc w:val="left"/>
            </w:pPr>
            <w:r>
              <w:rPr>
                <w:bCs/>
                <w:b/>
              </w:rPr>
              <w:t xml:space="preserve">DWS IQ Platform Agents</w:t>
            </w:r>
          </w:p>
        </w:tc>
        <w:tc>
          <w:tcPr/>
          <w:p>
            <w:pPr>
              <w:pStyle w:val="Compact"/>
              <w:jc w:val="left"/>
            </w:pPr>
            <w:r>
              <w:t xml:space="preserve">3</w:t>
            </w:r>
          </w:p>
        </w:tc>
        <w:tc>
          <w:tcPr/>
          <w:p>
            <w:pPr>
              <w:pStyle w:val="Compact"/>
              <w:jc w:val="left"/>
            </w:pPr>
            <w:r>
              <w:t xml:space="preserve">Compliance Calculation, Firehorse Report, Carbon Calculator</w:t>
            </w:r>
          </w:p>
        </w:tc>
      </w:tr>
      <w:tr>
        <w:tc>
          <w:tcPr/>
          <w:p>
            <w:pPr>
              <w:pStyle w:val="Compact"/>
              <w:jc w:val="left"/>
            </w:pPr>
            <w:r>
              <w:rPr>
                <w:bCs/>
                <w:b/>
              </w:rPr>
              <w:t xml:space="preserve">Total</w:t>
            </w:r>
          </w:p>
        </w:tc>
        <w:tc>
          <w:tcPr/>
          <w:p>
            <w:pPr>
              <w:pStyle w:val="Compact"/>
              <w:jc w:val="left"/>
            </w:pPr>
            <w:r>
              <w:t xml:space="preserve">24</w:t>
            </w:r>
          </w:p>
        </w:tc>
        <w:tc>
          <w:tcPr/>
          <w:p>
            <w:pPr>
              <w:pStyle w:val="Compact"/>
              <w:jc w:val="left"/>
            </w:pPr>
            <w:r>
              <w:t xml:space="preserve">All connected via A2A + MCP protocols</w:t>
            </w:r>
          </w:p>
        </w:tc>
      </w:tr>
    </w:tbl>
    <w:p>
      <w:pPr>
        <w:pStyle w:val="BodyText"/>
      </w:pPr>
      <w:r>
        <w:t xml:space="preserve">Each contractor agent arrives with its own:</w:t>
      </w:r>
    </w:p>
    <w:p>
      <w:pPr>
        <w:numPr>
          <w:ilvl w:val="0"/>
          <w:numId w:val="1051"/>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describing capabilities</w:t>
      </w:r>
    </w:p>
    <w:p>
      <w:pPr>
        <w:numPr>
          <w:ilvl w:val="0"/>
          <w:numId w:val="1051"/>
        </w:numPr>
        <w:pStyle w:val="Compact"/>
      </w:pPr>
      <w:r>
        <w:rPr>
          <w:bCs/>
          <w:b/>
        </w:rPr>
        <w:t xml:space="preserve">LLM preference</w:t>
      </w:r>
      <w:r>
        <w:t xml:space="preserve"> </w:t>
      </w:r>
      <w:r>
        <w:t xml:space="preserve">— the contractor may use a different model than NCC</w:t>
      </w:r>
    </w:p>
    <w:p>
      <w:pPr>
        <w:numPr>
          <w:ilvl w:val="0"/>
          <w:numId w:val="1051"/>
        </w:numPr>
        <w:pStyle w:val="Compact"/>
      </w:pPr>
      <w:r>
        <w:rPr>
          <w:bCs/>
          <w:b/>
        </w:rPr>
        <w:t xml:space="preserve">ERP/BIM connectors</w:t>
      </w:r>
      <w:r>
        <w:t xml:space="preserve"> </w:t>
      </w:r>
      <w:r>
        <w:t xml:space="preserve">— Tekla, Solibri, IFS, SAP, Dynamics 365</w:t>
      </w:r>
    </w:p>
    <w:p>
      <w:pPr>
        <w:numPr>
          <w:ilvl w:val="0"/>
          <w:numId w:val="1051"/>
        </w:numPr>
        <w:pStyle w:val="Compact"/>
      </w:pPr>
      <w:r>
        <w:rPr>
          <w:bCs/>
          <w:b/>
        </w:rPr>
        <w:t xml:space="preserve">Data residency requirements</w:t>
      </w:r>
      <w:r>
        <w:t xml:space="preserve"> </w:t>
      </w:r>
      <w:r>
        <w:t xml:space="preserve">— some contractors operate from non-EU jurisdictions</w:t>
      </w:r>
    </w:p>
    <w:bookmarkEnd w:id="149"/>
    <w:bookmarkStart w:id="150" w:name="tenant-specific-lifetime-world-model"/>
    <w:p>
      <w:pPr>
        <w:pStyle w:val="Heading3"/>
      </w:pPr>
      <w:r>
        <w:t xml:space="preserve">10.7.2 Tenant-Specific Lifetime World Model</w:t>
      </w:r>
    </w:p>
    <w:p>
      <w:pPr>
        <w:pStyle w:val="FirstParagraph"/>
      </w:pPr>
      <w:r>
        <w:t xml:space="preserve">The</w:t>
      </w:r>
      <w:r>
        <w:t xml:space="preserve"> </w:t>
      </w:r>
      <w:r>
        <w:rPr>
          <w:bCs/>
          <w:b/>
        </w:rPr>
        <w:t xml:space="preserve">Lifetime World Model (LWM)</w:t>
      </w:r>
      <w:r>
        <w:t xml:space="preserve"> </w:t>
      </w:r>
      <w:r>
        <w:t xml:space="preserve">is the enterprise learning layer that sits on top of the chosen open LLM. It is not simply a fine-tuned model — it is a strategic intelligence layer that:</w:t>
      </w:r>
    </w:p>
    <w:p>
      <w:pPr>
        <w:numPr>
          <w:ilvl w:val="0"/>
          <w:numId w:val="1052"/>
        </w:numPr>
        <w:pStyle w:val="Compact"/>
      </w:pPr>
      <w:r>
        <w:rPr>
          <w:bCs/>
          <w:b/>
        </w:rPr>
        <w:t xml:space="preserve">Fine-tunes enterprise data and regulation</w:t>
      </w:r>
      <w:r>
        <w:t xml:space="preserve"> </w:t>
      </w:r>
      <w:r>
        <w:t xml:space="preserve">— ingests the customer’s operational data, industry standards, and EU regulatory context to create domain-specific intelligence that generic LLMs cannot provide</w:t>
      </w:r>
    </w:p>
    <w:p>
      <w:pPr>
        <w:numPr>
          <w:ilvl w:val="0"/>
          <w:numId w:val="1052"/>
        </w:numPr>
        <w:pStyle w:val="Compact"/>
      </w:pPr>
      <w:r>
        <w:rPr>
          <w:bCs/>
          <w:b/>
        </w:rPr>
        <w:t xml:space="preserve">Optimizes market value</w:t>
      </w:r>
      <w:r>
        <w:t xml:space="preserve"> </w:t>
      </w:r>
      <w:r>
        <w:t xml:space="preserve">— the LWM continuously learns from compliance outcomes, energy efficiency results, and operational metrics to identify value creation opportunities the enterprise would otherwise miss</w:t>
      </w:r>
    </w:p>
    <w:p>
      <w:pPr>
        <w:numPr>
          <w:ilvl w:val="0"/>
          <w:numId w:val="1052"/>
        </w:numPr>
        <w:pStyle w:val="Compact"/>
      </w:pPr>
      <w:r>
        <w:rPr>
          <w:bCs/>
          <w:b/>
        </w:rPr>
        <w:t xml:space="preserve">Ensures competitive advantage with multi-agent tools</w:t>
      </w:r>
      <w:r>
        <w:t xml:space="preserve"> </w:t>
      </w:r>
      <w:r>
        <w:t xml:space="preserve">— by combining tenant-specific knowledge with the multi-agent orchestration layer (A2A + MCP), the LWM transforms raw AI capability into an irreplaceable operational asset. Competitors using generic models cannot replicate this accumulated institutional intelligence</w:t>
      </w:r>
    </w:p>
    <w:p>
      <w:pPr>
        <w:pStyle w:val="FirstParagraph"/>
      </w:pPr>
      <w:r>
        <w:t xml:space="preserve">NCC receives their own instance of the Lifetime World Model:</w:t>
      </w:r>
    </w:p>
    <w:p>
      <w:pPr>
        <w:pStyle w:val="SourceCode"/>
      </w:pPr>
      <w:r>
        <w:rPr>
          <w:rStyle w:val="VerbatimChar"/>
        </w:rPr>
        <w:t xml:space="preserve">NCC Lifetime World Model</w:t>
      </w:r>
      <w:r>
        <w:br/>
      </w:r>
      <w:r>
        <w:rPr>
          <w:rStyle w:val="VerbatimChar"/>
        </w:rPr>
        <w:t xml:space="preserve">├── Base LLM: Qwen 2.5 72B (selected for Nordic construction)</w:t>
      </w:r>
      <w:r>
        <w:br/>
      </w:r>
      <w:r>
        <w:rPr>
          <w:rStyle w:val="VerbatimChar"/>
        </w:rPr>
        <w:t xml:space="preserve">├── Fine-tuned on: NCC project data, Finnish building codes, RT-kortisto</w:t>
      </w:r>
      <w:r>
        <w:br/>
      </w:r>
      <w:r>
        <w:rPr>
          <w:rStyle w:val="VerbatimChar"/>
        </w:rPr>
        <w:t xml:space="preserve">├── Regulatory context: Fit for 55, CSRD ESRS E1, EN 15978</w:t>
      </w:r>
      <w:r>
        <w:br/>
      </w:r>
      <w:r>
        <w:rPr>
          <w:rStyle w:val="VerbatimChar"/>
        </w:rPr>
        <w:t xml:space="preserve">├── Connector endpoints:</w:t>
      </w:r>
      <w:r>
        <w:br/>
      </w:r>
      <w:r>
        <w:rPr>
          <w:rStyle w:val="VerbatimChar"/>
        </w:rPr>
        <w:t xml:space="preserve">│   ├── Tekla Structures (BIM)</w:t>
      </w:r>
      <w:r>
        <w:br/>
      </w:r>
      <w:r>
        <w:rPr>
          <w:rStyle w:val="VerbatimChar"/>
        </w:rPr>
        <w:t xml:space="preserve">│   ├── IFS Cloud (ERP)</w:t>
      </w:r>
      <w:r>
        <w:br/>
      </w:r>
      <w:r>
        <w:rPr>
          <w:rStyle w:val="VerbatimChar"/>
        </w:rPr>
        <w:t xml:space="preserve">│   └── CO2data.fi (Finnish emissions factors)</w:t>
      </w:r>
      <w:r>
        <w:br/>
      </w:r>
      <w:r>
        <w:rPr>
          <w:rStyle w:val="VerbatimChar"/>
        </w:rPr>
        <w:t xml:space="preserve">└── Sandbox: Stage 1.5 (OpenSandbox, Acer Veriton GN100) → Stage 2 (Cloud Run, europe-north1)</w:t>
      </w:r>
    </w:p>
    <w:bookmarkEnd w:id="150"/>
    <w:bookmarkStart w:id="151" w:name="X075b5b802db2e8c3bbdb886fa3c80d9c77f35c1"/>
    <w:p>
      <w:pPr>
        <w:pStyle w:val="Heading3"/>
      </w:pPr>
      <w:r>
        <w:t xml:space="preserve">10.7.3 LWM Product-Market Validation: Energy Sector Case Study (March 2026)</w:t>
      </w:r>
    </w:p>
    <w:p>
      <w:pPr>
        <w:pStyle w:val="FirstParagraph"/>
      </w:pPr>
      <w:r>
        <w:t xml:space="preserve">The Lifetime World Model’s commercial viability received its first external validation in March 2026 through a partnership negotiation with</w:t>
      </w:r>
      <w:r>
        <w:t xml:space="preserve"> </w:t>
      </w:r>
      <w:r>
        <w:rPr>
          <w:bCs/>
          <w:b/>
        </w:rPr>
        <w:t xml:space="preserve">Qantic GmbH</w:t>
      </w:r>
      <w:r>
        <w:t xml:space="preserve"> </w:t>
      </w:r>
      <w:r>
        <w:t xml:space="preserve">(Berlin), a battery energy storage system (BESS) simulation company. This case study demonstrates how the LWM’s multi-industry architecture creates tangible market value beyond the construction sector originally targeted by the thesis.</w:t>
      </w:r>
    </w:p>
    <w:p>
      <w:pPr>
        <w:pStyle w:val="BodyText"/>
      </w:pPr>
      <w:r>
        <w:rPr>
          <w:bCs/>
          <w:b/>
        </w:rPr>
        <w:t xml:space="preserve">Context:</w:t>
      </w:r>
      <w:r>
        <w:t xml:space="preserve"> </w:t>
      </w:r>
      <w:r>
        <w:t xml:space="preserve">Qantic’s Q-System models energy revenue from BESS assets (dispatch optimization, market arbitrage, degradation curves). However, their clients — including industrial firms like MAN Energy Solutions — face increasing EU compliance costs (CSRD, ETS, EU Taxonomy) that Q-System does not calculate. This gap means investor bankability models understate true costs by 5-15%.</w:t>
      </w:r>
    </w:p>
    <w:p>
      <w:pPr>
        <w:pStyle w:val="BodyText"/>
      </w:pPr>
      <w:r>
        <w:rPr>
          <w:bCs/>
          <w:b/>
        </w:rPr>
        <w:t xml:space="preserve">LWM value proposition validated:</w:t>
      </w:r>
    </w:p>
    <w:tbl>
      <w:tblPr>
        <w:tblStyle w:val="Table"/>
        <w:tblW w:type="pct" w:w="5000"/>
        <w:tblLook w:firstRow="1" w:lastRow="0" w:firstColumn="0" w:lastColumn="0" w:noHBand="0" w:noVBand="0" w:val="0020"/>
        <w:jc w:val="start"/>
      </w:tblPr>
      <w:tblGrid>
        <w:gridCol w:w="2407"/>
        <w:gridCol w:w="2640"/>
        <w:gridCol w:w="2872"/>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Combined</w:t>
            </w:r>
          </w:p>
        </w:tc>
      </w:tr>
      <w:tr>
        <w:tc>
          <w:tcPr/>
          <w:p>
            <w:pPr>
              <w:pStyle w:val="Compact"/>
              <w:jc w:val="left"/>
            </w:pPr>
            <w:r>
              <w:t xml:space="preserve">“</w:t>
            </w:r>
            <w:r>
              <w:t xml:space="preserve">How much will this BESS earn?</w:t>
            </w:r>
            <w:r>
              <w:t xml:space="preserve">”</w:t>
            </w:r>
          </w:p>
        </w:tc>
        <w:tc>
          <w:tcPr/>
          <w:p>
            <w:pPr>
              <w:pStyle w:val="Compact"/>
              <w:jc w:val="left"/>
            </w:pPr>
            <w:r>
              <w:t xml:space="preserve">“</w:t>
            </w:r>
            <w:r>
              <w:t xml:space="preserve">What will compliance cost?</w:t>
            </w:r>
            <w:r>
              <w:t xml:space="preserve">”</w:t>
            </w:r>
          </w:p>
        </w:tc>
        <w:tc>
          <w:tcPr/>
          <w:p>
            <w:pPr>
              <w:pStyle w:val="Compact"/>
              <w:jc w:val="left"/>
            </w:pPr>
            <w:r>
              <w:t xml:space="preserve">“</w:t>
            </w:r>
            <w:r>
              <w:t xml:space="preserve">What is the true net return?</w:t>
            </w:r>
            <w:r>
              <w:t xml:space="preserve">”</w:t>
            </w:r>
          </w:p>
        </w:tc>
      </w:tr>
      <w:tr>
        <w:tc>
          <w:tcPr/>
          <w:p>
            <w:pPr>
              <w:pStyle w:val="Compact"/>
              <w:jc w:val="left"/>
            </w:pPr>
            <w:r>
              <w:t xml:space="preserve">Dispatch revenue per market</w:t>
            </w:r>
          </w:p>
        </w:tc>
        <w:tc>
          <w:tcPr/>
          <w:p>
            <w:pPr>
              <w:pStyle w:val="Compact"/>
              <w:jc w:val="left"/>
            </w:pPr>
            <w:r>
              <w:t xml:space="preserve">Scope 2 carbon cost per MWh</w:t>
            </w:r>
          </w:p>
        </w:tc>
        <w:tc>
          <w:tcPr/>
          <w:p>
            <w:pPr>
              <w:pStyle w:val="Compact"/>
              <w:jc w:val="left"/>
            </w:pPr>
            <w:r>
              <w:t xml:space="preserve">Full P&amp;L including regulatory costs</w:t>
            </w:r>
          </w:p>
        </w:tc>
      </w:tr>
      <w:tr>
        <w:tc>
          <w:tcPr/>
          <w:p>
            <w:pPr>
              <w:pStyle w:val="Compact"/>
              <w:jc w:val="left"/>
            </w:pPr>
            <w:r>
              <w:t xml:space="preserve">Battery degradation curve</w:t>
            </w:r>
          </w:p>
        </w:tc>
        <w:tc>
          <w:tcPr/>
          <w:p>
            <w:pPr>
              <w:pStyle w:val="Compact"/>
              <w:jc w:val="left"/>
            </w:pPr>
            <w:r>
              <w:t xml:space="preserve">Asset impairment disclosure (CSRD)</w:t>
            </w:r>
          </w:p>
        </w:tc>
        <w:tc>
          <w:tcPr/>
          <w:p>
            <w:pPr>
              <w:pStyle w:val="Compact"/>
              <w:jc w:val="left"/>
            </w:pPr>
            <w:r>
              <w:t xml:space="preserve">Lifecycle financial + compliance view</w:t>
            </w:r>
          </w:p>
        </w:tc>
      </w:tr>
    </w:tbl>
    <w:p>
      <w:pPr>
        <w:pStyle w:val="BodyText"/>
      </w:pPr>
      <w:r>
        <w:rPr>
          <w:bCs/>
          <w:b/>
        </w:rPr>
        <w:t xml:space="preserve">Quantified output example (50MW/200MWh BESS, Germany):</w:t>
      </w:r>
    </w:p>
    <w:tbl>
      <w:tblPr>
        <w:tblStyle w:val="Table"/>
        <w:tblW w:type="pct" w:w="5000"/>
        <w:tblLook w:firstRow="1" w:lastRow="0" w:firstColumn="0" w:lastColumn="0" w:noHBand="0" w:noVBand="0" w:val="0020"/>
        <w:jc w:val="start"/>
      </w:tblPr>
      <w:tblGrid>
        <w:gridCol w:w="2862"/>
        <w:gridCol w:w="1049"/>
        <w:gridCol w:w="4007"/>
      </w:tblGrid>
      <w:tr>
        <w:trPr>
          <w:tblHeader w:val="true"/>
        </w:trPr>
        <w:tc>
          <w:tcPr/>
          <w:p>
            <w:pPr>
              <w:pStyle w:val="Compact"/>
              <w:jc w:val="left"/>
            </w:pPr>
            <w:r>
              <w:t xml:space="preserve">Compliance cost component</w:t>
            </w:r>
          </w:p>
        </w:tc>
        <w:tc>
          <w:tcPr/>
          <w:p>
            <w:pPr>
              <w:pStyle w:val="Compact"/>
              <w:jc w:val="left"/>
            </w:pPr>
            <w:r>
              <w:t xml:space="preserve">EUR/year</w:t>
            </w:r>
          </w:p>
        </w:tc>
        <w:tc>
          <w:tcPr/>
          <w:p>
            <w:pPr>
              <w:pStyle w:val="Compact"/>
              <w:jc w:val="left"/>
            </w:pPr>
            <w:r>
              <w:t xml:space="preserve">Source</w:t>
            </w:r>
          </w:p>
        </w:tc>
      </w:tr>
      <w:tr>
        <w:tc>
          <w:tcPr/>
          <w:p>
            <w:pPr>
              <w:pStyle w:val="Compact"/>
              <w:jc w:val="left"/>
            </w:pPr>
            <w:r>
              <w:t xml:space="preserve">Scope 2 carbon cost</w:t>
            </w:r>
          </w:p>
        </w:tc>
        <w:tc>
          <w:tcPr/>
          <w:p>
            <w:pPr>
              <w:pStyle w:val="Compact"/>
              <w:jc w:val="left"/>
            </w:pPr>
            <w:r>
              <w:t xml:space="preserve">€5,005</w:t>
            </w:r>
          </w:p>
        </w:tc>
        <w:tc>
          <w:tcPr/>
          <w:p>
            <w:pPr>
              <w:pStyle w:val="Compact"/>
              <w:jc w:val="left"/>
            </w:pPr>
            <w:r>
              <w:t xml:space="preserve">ETS Phase 4 calculator (ets-calculator.ts)</w:t>
            </w:r>
          </w:p>
        </w:tc>
      </w:tr>
      <w:tr>
        <w:tc>
          <w:tcPr/>
          <w:p>
            <w:pPr>
              <w:pStyle w:val="Compact"/>
              <w:jc w:val="left"/>
            </w:pPr>
            <w:r>
              <w:t xml:space="preserve">Roundtrip efficiency loss cost</w:t>
            </w:r>
          </w:p>
        </w:tc>
        <w:tc>
          <w:tcPr/>
          <w:p>
            <w:pPr>
              <w:pStyle w:val="Compact"/>
              <w:jc w:val="left"/>
            </w:pPr>
            <w:r>
              <w:t xml:space="preserve">€488</w:t>
            </w:r>
          </w:p>
        </w:tc>
        <w:tc>
          <w:tcPr/>
          <w:p>
            <w:pPr>
              <w:pStyle w:val="Compact"/>
              <w:jc w:val="left"/>
            </w:pPr>
            <w:r>
              <w:t xml:space="preserve">Grid emission factors (18 EU countries)</w:t>
            </w:r>
          </w:p>
        </w:tc>
      </w:tr>
      <w:tr>
        <w:tc>
          <w:tcPr/>
          <w:p>
            <w:pPr>
              <w:pStyle w:val="Compact"/>
              <w:jc w:val="left"/>
            </w:pPr>
            <w:r>
              <w:t xml:space="preserve">CSRD reporting cost</w:t>
            </w:r>
          </w:p>
        </w:tc>
        <w:tc>
          <w:tcPr/>
          <w:p>
            <w:pPr>
              <w:pStyle w:val="Compact"/>
              <w:jc w:val="left"/>
            </w:pPr>
            <w:r>
              <w:t xml:space="preserve">€12,000</w:t>
            </w:r>
          </w:p>
        </w:tc>
        <w:tc>
          <w:tcPr/>
          <w:p>
            <w:pPr>
              <w:pStyle w:val="Compact"/>
              <w:jc w:val="left"/>
            </w:pPr>
            <w:r>
              <w:t xml:space="preserve">Firehorse Reports estimate</w:t>
            </w:r>
          </w:p>
        </w:tc>
      </w:tr>
      <w:tr>
        <w:tc>
          <w:tcPr/>
          <w:p>
            <w:pPr>
              <w:pStyle w:val="Compact"/>
              <w:jc w:val="left"/>
            </w:pPr>
            <w:r>
              <w:t xml:space="preserve">EU Taxonomy certification cost</w:t>
            </w:r>
          </w:p>
        </w:tc>
        <w:tc>
          <w:tcPr/>
          <w:p>
            <w:pPr>
              <w:pStyle w:val="Compact"/>
              <w:jc w:val="left"/>
            </w:pPr>
            <w:r>
              <w:t xml:space="preserve">€4,200</w:t>
            </w:r>
          </w:p>
        </w:tc>
        <w:tc>
          <w:tcPr/>
          <w:p>
            <w:pPr>
              <w:pStyle w:val="Compact"/>
              <w:jc w:val="left"/>
            </w:pPr>
            <w:r>
              <w:t xml:space="preserve">Taxonomy alignment engine</w:t>
            </w:r>
          </w:p>
        </w:tc>
      </w:tr>
      <w:tr>
        <w:tc>
          <w:tcPr/>
          <w:p>
            <w:pPr>
              <w:pStyle w:val="Compact"/>
              <w:jc w:val="left"/>
            </w:pPr>
            <w:r>
              <w:rPr>
                <w:bCs/>
                <w:b/>
              </w:rPr>
              <w:t xml:space="preserve">Total compliance cost</w:t>
            </w:r>
          </w:p>
        </w:tc>
        <w:tc>
          <w:tcPr/>
          <w:p>
            <w:pPr>
              <w:pStyle w:val="Compact"/>
              <w:jc w:val="left"/>
            </w:pPr>
            <w:r>
              <w:rPr>
                <w:bCs/>
                <w:b/>
              </w:rPr>
              <w:t xml:space="preserve">€21,693</w:t>
            </w:r>
          </w:p>
        </w:tc>
        <w:tc>
          <w:tcPr/>
          <w:p>
            <w:pPr>
              <w:pStyle w:val="Compact"/>
              <w:jc w:val="left"/>
            </w:pPr>
            <w:r>
              <w:t xml:space="preserve">BESS Compliance API</w:t>
            </w:r>
          </w:p>
        </w:tc>
      </w:tr>
    </w:tbl>
    <w:p>
      <w:pPr>
        <w:pStyle w:val="BodyText"/>
      </w:pPr>
      <w:r>
        <w:t xml:space="preserve">These numbers come from the existing DWS IQ 6 codebase (19 unit tests passing), not from a roadmap. The BESS Compliance API endpoint (</w:t>
      </w:r>
      <w:r>
        <w:rPr>
          <w:rStyle w:val="VerbatimChar"/>
        </w:rPr>
        <w:t xml:space="preserve">POST /api/v1/agents/bess/execute</w:t>
      </w:r>
      <w:r>
        <w:t xml:space="preserve">) was built and tested before the partnership discussion began — validating the Solution Factory approach of building products before seeking customers.</w:t>
      </w:r>
    </w:p>
    <w:p>
      <w:pPr>
        <w:pStyle w:val="BodyText"/>
      </w:pPr>
      <w:r>
        <w:rPr>
          <w:bCs/>
          <w:b/>
        </w:rPr>
        <w:t xml:space="preserve">Multi-industry moat demonstrated:</w:t>
      </w:r>
      <w:r>
        <w:t xml:space="preserve"> </w:t>
      </w:r>
      <w:r>
        <w:t xml:space="preserve">Qantic’s enterprise clients (e.g., MAN Energy Solutions) span six EU-regulated industries simultaneously: Power &amp; Heat (ETS), Iron &amp; Steel (ETS + CBAM), Maritime Shipping (ETS from 2024), Road Transport (ETS2 from 2027), Construction (EPBD), and Chemicals (ETS + REACH). A single-industry compliance tool addresses one of these; DWS IQ’s 20-industry LWM addresses all six from the same platform. This validates the cross-industry network effects hypothesis described in Section 10.6.</w:t>
      </w:r>
    </w:p>
    <w:p>
      <w:pPr>
        <w:pStyle w:val="BodyText"/>
      </w:pPr>
      <w:r>
        <w:rPr>
          <w:bCs/>
          <w:b/>
        </w:rPr>
        <w:t xml:space="preserve">Product-market fit signal:</w:t>
      </w:r>
      <w:r>
        <w:t xml:space="preserve"> </w:t>
      </w:r>
      <w:r>
        <w:t xml:space="preserve">The partnership structure (€15,990 setup + €99/asset/month API + 30% reseller commission for referred clients) was developed from build-vs-buy analysis showing enterprise alternatives cost €200k+/year. The 10x price advantage makes the LWM commercially viable at the SME and Mittelstand level — a market segment underserved by Big 4 consultancies.</w:t>
      </w:r>
    </w:p>
    <w:p>
      <w:pPr>
        <w:pStyle w:val="BodyText"/>
      </w:pPr>
      <w:r>
        <w:rPr>
          <w:bCs/>
          <w:b/>
        </w:rPr>
        <w:t xml:space="preserve">Thesis relevance:</w:t>
      </w:r>
      <w:r>
        <w:t xml:space="preserve"> </w:t>
      </w:r>
      <w:r>
        <w:t xml:space="preserve">This case study provides empirical evidence for three thesis claims: (1) the LWM’s regulatory intelligence graph has commercial value outside construction; (2) the 20-industry architecture creates defensible competitive advantage through cross-sector coverage; (3) the Solution Factory model (build product → find customer) produces faster market validation than the traditional consulting model (find customer → build custom solution).</w:t>
      </w:r>
    </w:p>
    <w:bookmarkEnd w:id="151"/>
    <w:bookmarkStart w:id="152" w:name="X0195c593a8634eeea53cb4c919ee3de3ae255a9"/>
    <w:p>
      <w:pPr>
        <w:pStyle w:val="Heading3"/>
      </w:pPr>
      <w:r>
        <w:t xml:space="preserve">10.7.4 Graphical Workflow Builder: Agent Orchestration Studio</w:t>
      </w:r>
    </w:p>
    <w:p>
      <w:pPr>
        <w:pStyle w:val="FirstParagraph"/>
      </w:pPr>
      <w:r>
        <w:t xml:space="preserve">To enable NCC (and similar enterprise customers) to build connections and workflows between 24+ agents, the platform requires a</w:t>
      </w:r>
      <w:r>
        <w:t xml:space="preserve"> </w:t>
      </w:r>
      <w:r>
        <w:rPr>
          <w:bCs/>
          <w:b/>
        </w:rPr>
        <w:t xml:space="preserve">visual workflow builder</w:t>
      </w:r>
      <w:r>
        <w:t xml:space="preserve">. After evaluating six open-source candidates, the recommended architecture is:</w:t>
      </w:r>
    </w:p>
    <w:p>
      <w:pPr>
        <w:pStyle w:val="BodyText"/>
      </w:pPr>
      <w:r>
        <w:rPr>
          <w:bCs/>
          <w:b/>
        </w:rPr>
        <w:t xml:space="preserve">Evaluation of graphical workflow tools:</w:t>
      </w:r>
    </w:p>
    <w:tbl>
      <w:tblPr>
        <w:tblStyle w:val="Table"/>
        <w:tblW w:type="pct" w:w="5000"/>
        <w:tblLook w:firstRow="1" w:lastRow="0" w:firstColumn="0" w:lastColumn="0" w:noHBand="0" w:noVBand="0" w:val="0020"/>
        <w:jc w:val="start"/>
      </w:tblPr>
      <w:tblGrid>
        <w:gridCol w:w="771"/>
        <w:gridCol w:w="1388"/>
        <w:gridCol w:w="1234"/>
        <w:gridCol w:w="1080"/>
        <w:gridCol w:w="720"/>
        <w:gridCol w:w="977"/>
        <w:gridCol w:w="1748"/>
      </w:tblGrid>
      <w:tr>
        <w:trPr>
          <w:tblHeader w:val="true"/>
        </w:trPr>
        <w:tc>
          <w:tcPr/>
          <w:p>
            <w:pPr>
              <w:pStyle w:val="Compact"/>
              <w:jc w:val="left"/>
            </w:pPr>
            <w:r>
              <w:t xml:space="preserve">Tool</w:t>
            </w:r>
          </w:p>
        </w:tc>
        <w:tc>
          <w:tcPr/>
          <w:p>
            <w:pPr>
              <w:pStyle w:val="Compact"/>
              <w:jc w:val="left"/>
            </w:pPr>
            <w:r>
              <w:t xml:space="preserve">License</w:t>
            </w:r>
          </w:p>
        </w:tc>
        <w:tc>
          <w:tcPr/>
          <w:p>
            <w:pPr>
              <w:pStyle w:val="Compact"/>
              <w:jc w:val="left"/>
            </w:pPr>
            <w:r>
              <w:t xml:space="preserve">MCP Support</w:t>
            </w:r>
          </w:p>
        </w:tc>
        <w:tc>
          <w:tcPr/>
          <w:p>
            <w:pPr>
              <w:pStyle w:val="Compact"/>
              <w:jc w:val="left"/>
            </w:pPr>
            <w:r>
              <w:t xml:space="preserve">A2A Support</w:t>
            </w:r>
          </w:p>
        </w:tc>
        <w:tc>
          <w:tcPr/>
          <w:p>
            <w:pPr>
              <w:pStyle w:val="Compact"/>
              <w:jc w:val="left"/>
            </w:pPr>
            <w:r>
              <w:t xml:space="preserve">Self-Hosted EU</w:t>
            </w:r>
          </w:p>
        </w:tc>
        <w:tc>
          <w:tcPr/>
          <w:p>
            <w:pPr>
              <w:pStyle w:val="Compact"/>
              <w:jc w:val="left"/>
            </w:pPr>
            <w:r>
              <w:t xml:space="preserve">Embeddable in React</w:t>
            </w:r>
          </w:p>
        </w:tc>
        <w:tc>
          <w:tcPr/>
          <w:p>
            <w:pPr>
              <w:pStyle w:val="Compact"/>
              <w:jc w:val="left"/>
            </w:pPr>
            <w:r>
              <w:t xml:space="preserve">Best For</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Native (client + server)</w:t>
            </w:r>
          </w:p>
        </w:tc>
        <w:tc>
          <w:tcPr/>
          <w:p>
            <w:pPr>
              <w:pStyle w:val="Compact"/>
              <w:jc w:val="left"/>
            </w:pPr>
            <w:r>
              <w:t xml:space="preserve">Via custom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Agent orchestration, LLM workflows</w:t>
            </w:r>
          </w:p>
        </w:tc>
      </w:tr>
      <w:tr>
        <w:tc>
          <w:tcPr/>
          <w:p>
            <w:pPr>
              <w:pStyle w:val="Compact"/>
              <w:jc w:val="left"/>
            </w:pPr>
            <w:r>
              <w:rPr>
                <w:bCs/>
                <w:b/>
              </w:rPr>
              <w:t xml:space="preserve">n8n</w:t>
            </w:r>
          </w:p>
        </w:tc>
        <w:tc>
          <w:tcPr/>
          <w:p>
            <w:pPr>
              <w:pStyle w:val="Compact"/>
              <w:jc w:val="left"/>
            </w:pPr>
            <w:r>
              <w:t xml:space="preserve">Fair Code (sustainable-use)</w:t>
            </w:r>
          </w:p>
        </w:tc>
        <w:tc>
          <w:tcPr/>
          <w:p>
            <w:pPr>
              <w:pStyle w:val="Compact"/>
              <w:jc w:val="left"/>
            </w:pPr>
            <w:r>
              <w:t xml:space="preserve">Via community nodes</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ERP/BIM connectors, data pipelines</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Custom implementation</w:t>
            </w:r>
          </w:p>
        </w:tc>
        <w:tc>
          <w:tcPr/>
          <w:p>
            <w:pPr>
              <w:pStyle w:val="Compact"/>
              <w:jc w:val="left"/>
            </w:pPr>
            <w:r>
              <w:t xml:space="preserve">Custom implementation</w:t>
            </w:r>
          </w:p>
        </w:tc>
        <w:tc>
          <w:tcPr/>
          <w:p>
            <w:pPr>
              <w:pStyle w:val="Compact"/>
              <w:jc w:val="left"/>
            </w:pPr>
            <w:r>
              <w:t xml:space="preserve">N/A (library)</w:t>
            </w:r>
          </w:p>
        </w:tc>
        <w:tc>
          <w:tcPr/>
          <w:p>
            <w:pPr>
              <w:pStyle w:val="Compact"/>
              <w:jc w:val="left"/>
            </w:pPr>
            <w:r>
              <w:t xml:space="preserve">Native React</w:t>
            </w:r>
          </w:p>
        </w:tc>
        <w:tc>
          <w:tcPr/>
          <w:p>
            <w:pPr>
              <w:pStyle w:val="Compact"/>
              <w:jc w:val="left"/>
            </w:pPr>
            <w:r>
              <w:t xml:space="preserve">Custom visual builder UI</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API/iframe</w:t>
            </w:r>
          </w:p>
        </w:tc>
        <w:tc>
          <w:tcPr/>
          <w:p>
            <w:pPr>
              <w:pStyle w:val="Compact"/>
              <w:jc w:val="left"/>
            </w:pPr>
            <w:r>
              <w:t xml:space="preserve">Chatbot-focused RAG workflows</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Via FlowFuse</w:t>
            </w:r>
          </w:p>
        </w:tc>
        <w:tc>
          <w:tcPr/>
          <w:p>
            <w:pPr>
              <w:pStyle w:val="Compact"/>
              <w:jc w:val="left"/>
            </w:pPr>
            <w:r>
              <w:t xml:space="preserve">Via HTTP nodes</w:t>
            </w:r>
          </w:p>
        </w:tc>
        <w:tc>
          <w:tcPr/>
          <w:p>
            <w:pPr>
              <w:pStyle w:val="Compact"/>
              <w:jc w:val="left"/>
            </w:pPr>
            <w:r>
              <w:t xml:space="preserve">Yes</w:t>
            </w:r>
          </w:p>
        </w:tc>
        <w:tc>
          <w:tcPr/>
          <w:p>
            <w:pPr>
              <w:pStyle w:val="Compact"/>
              <w:jc w:val="left"/>
            </w:pPr>
            <w:r>
              <w:t xml:space="preserve">Via iframe</w:t>
            </w:r>
          </w:p>
        </w:tc>
        <w:tc>
          <w:tcPr/>
          <w:p>
            <w:pPr>
              <w:pStyle w:val="Compact"/>
              <w:jc w:val="left"/>
            </w:pPr>
            <w:r>
              <w:t xml:space="preserve">IoT/edge, industrial automation</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Via API</w:t>
            </w:r>
          </w:p>
        </w:tc>
        <w:tc>
          <w:tcPr/>
          <w:p>
            <w:pPr>
              <w:pStyle w:val="Compact"/>
              <w:jc w:val="left"/>
            </w:pPr>
            <w:r>
              <w:t xml:space="preserve">Workflow execution monitoring</w:t>
            </w:r>
          </w:p>
        </w:tc>
      </w:tr>
    </w:tbl>
    <w:p>
      <w:pPr>
        <w:pStyle w:val="BodyText"/>
      </w:pPr>
      <w:r>
        <w:rPr>
          <w:bCs/>
          <w:b/>
        </w:rPr>
        <w:t xml:space="preserve">Recommended architecture: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Visual Canvas                         │  │</w:t>
      </w:r>
      <w:r>
        <w:br/>
      </w:r>
      <w:r>
        <w:rPr>
          <w:rStyle w:val="VerbatimChar"/>
        </w:rPr>
        <w:t xml:space="preserve">│  │  ┌──────┐  ┌──────┐  ┌──────┐  ┌──────┐         │  │</w:t>
      </w:r>
      <w:r>
        <w:br/>
      </w:r>
      <w:r>
        <w:rPr>
          <w:rStyle w:val="VerbatimChar"/>
        </w:rPr>
        <w:t xml:space="preserve">│  │  │ NCC  │→│Safety│→│ DWS  │→│Report│         │  │</w:t>
      </w:r>
      <w:r>
        <w:br/>
      </w:r>
      <w:r>
        <w:rPr>
          <w:rStyle w:val="VerbatimChar"/>
        </w:rPr>
        <w:t xml:space="preserve">│  │  │ BIM  │  │Agent │  │Carbon│  │ Gen  │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│HVAC  │ (contractor)        │  │</w:t>
      </w:r>
      <w:r>
        <w:br/>
      </w:r>
      <w:r>
        <w:rPr>
          <w:rStyle w:val="VerbatimChar"/>
        </w:rPr>
        <w:t xml:space="preserve">│  │  │Conn. │            │Agent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 Engine (MCP + A2A orchestration)        │  │</w:t>
      </w:r>
      <w:r>
        <w:br/>
      </w:r>
      <w:r>
        <w:rPr>
          <w:rStyle w:val="VerbatimChar"/>
        </w:rPr>
        <w:t xml:space="preserve">│  │  - Each agent node = A2A Agent Card               │  │</w:t>
      </w:r>
      <w:r>
        <w:br/>
      </w:r>
      <w:r>
        <w:rPr>
          <w:rStyle w:val="VerbatimChar"/>
        </w:rPr>
        <w:t xml:space="preserve">│  │  - Each connector = MCP tool                      │  │</w:t>
      </w:r>
      <w:r>
        <w:br/>
      </w:r>
      <w:r>
        <w:rPr>
          <w:rStyle w:val="VerbatimChar"/>
        </w:rPr>
        <w:t xml:space="preserve">│  │  - Flows export as Temporal.io workflows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(execution engine, already in stack) │  │</w:t>
      </w:r>
      <w:r>
        <w:br/>
      </w:r>
      <w:r>
        <w:rPr>
          <w:rStyle w:val="VerbatimChar"/>
        </w:rPr>
        <w:t xml:space="preserve">│  │  - Durable workflow execution                     │  │</w:t>
      </w:r>
      <w:r>
        <w:br/>
      </w:r>
      <w:r>
        <w:rPr>
          <w:rStyle w:val="VerbatimChar"/>
        </w:rPr>
        <w:t xml:space="preserve">│  │  - Retry, timeout, compensation                   │  │</w:t>
      </w:r>
      <w:r>
        <w:br/>
      </w:r>
      <w:r>
        <w:rPr>
          <w:rStyle w:val="VerbatimChar"/>
        </w:rPr>
        <w:t xml:space="preserve">│  │  - EU AI Act Article 12 audit trail               │  │</w:t>
      </w:r>
      <w:r>
        <w:br/>
      </w:r>
      <w:r>
        <w:rPr>
          <w:rStyle w:val="VerbatimChar"/>
        </w:rPr>
        <w:t xml:space="preserve">│  └───────────────────────────────────────────────────┘  │</w:t>
      </w:r>
      <w:r>
        <w:br/>
      </w:r>
      <w:r>
        <w:rPr>
          <w:rStyle w:val="VerbatimChar"/>
        </w:rPr>
        <w:t xml:space="preserve">└─────────────────────────────────────────────────────────┘</w:t>
      </w:r>
    </w:p>
    <w:p>
      <w:pPr>
        <w:pStyle w:val="FirstParagraph"/>
      </w:pPr>
      <w:r>
        <w:rPr>
          <w:bCs/>
          <w:b/>
        </w:rPr>
        <w:t xml:space="preserve">Why this combination:</w:t>
      </w:r>
    </w:p>
    <w:p>
      <w:pPr>
        <w:numPr>
          <w:ilvl w:val="0"/>
          <w:numId w:val="1053"/>
        </w:numPr>
      </w:pPr>
      <w:r>
        <w:rPr>
          <w:bCs/>
          <w:b/>
        </w:rPr>
        <w:t xml:space="preserve">React Flow</w:t>
      </w:r>
      <w:r>
        <w:t xml:space="preserve"> </w:t>
      </w:r>
      <w:r>
        <w:t xml:space="preserve">— Custom visual canvas embedded in the DWS IQ React dashboard. NCC users drag-and-drop agent nodes, draw connections, set per-agent LLM models. MIT license, zero vendor lock-in.</w:t>
      </w:r>
    </w:p>
    <w:p>
      <w:pPr>
        <w:numPr>
          <w:ilvl w:val="0"/>
          <w:numId w:val="1053"/>
        </w:numPr>
      </w:pPr>
      <w:r>
        <w:rPr>
          <w:bCs/>
          <w:b/>
        </w:rPr>
        <w:t xml:space="preserve">Langflow</w:t>
      </w:r>
      <w:r>
        <w:t xml:space="preserve"> </w:t>
      </w:r>
      <w:r>
        <w:t xml:space="preserve">— Backend orchestration engine. Native MCP protocol support means every DWS IQ tool (Supabase, Carbon Engine, ERP connectors) is accessible. Native A2A support means contractor agents auto-register via Agent Cards. Apache 2.0, self-hosted in EU (europe-north1). IBM enterprise partnership provides additional validation.</w:t>
      </w:r>
    </w:p>
    <w:p>
      <w:pPr>
        <w:numPr>
          <w:ilvl w:val="0"/>
          <w:numId w:val="1053"/>
        </w:numPr>
      </w:pPr>
      <w:r>
        <w:rPr>
          <w:bCs/>
          <w:b/>
        </w:rPr>
        <w:t xml:space="preserve">Temporal.io</w:t>
      </w:r>
      <w:r>
        <w:t xml:space="preserve"> </w:t>
      </w:r>
      <w:r>
        <w:t xml:space="preserve">— Already in the DWS IQ stack. Executes the workflows defined in the visual builder. Provides durable execution (workflows survive server restarts), automatic retries, timeout handling, and full audit trail for EU AI Act Article 12 compliance.</w:t>
      </w:r>
    </w:p>
    <w:p>
      <w:pPr>
        <w:pStyle w:val="FirstParagraph"/>
      </w:pPr>
      <w:r>
        <w:rPr>
          <w:bCs/>
          <w:b/>
        </w:rPr>
        <w:t xml:space="preserve">n8n</w:t>
      </w:r>
      <w:r>
        <w:t xml:space="preserve"> </w:t>
      </w:r>
      <w:r>
        <w:t xml:space="preserve">serves as a supplementary tool for ERP/BIM connector workflows (Tekla Structures ↔ IFS Cloud data sync) where Langflow’s LLM focus is unnecessary.</w:t>
      </w:r>
    </w:p>
    <w:bookmarkEnd w:id="152"/>
    <w:bookmarkStart w:id="153" w:name="contractor-agent-onboarding-flow"/>
    <w:p>
      <w:pPr>
        <w:pStyle w:val="Heading3"/>
      </w:pPr>
      <w:r>
        <w:t xml:space="preserve">10.7.4 Contractor Agent Onboarding Flow</w:t>
      </w:r>
    </w:p>
    <w:p>
      <w:pPr>
        <w:pStyle w:val="SourceCode"/>
      </w:pPr>
      <w:r>
        <w:rPr>
          <w:rStyle w:val="VerbatimChar"/>
        </w:rPr>
        <w:t xml:space="preserve">1. Contractor publishes Agent Card at /.well-known/agent.json</w:t>
      </w:r>
      <w:r>
        <w:br/>
      </w:r>
      <w:r>
        <w:rPr>
          <w:rStyle w:val="VerbatimChar"/>
        </w:rPr>
        <w:t xml:space="preserve">2. NCC admin opens Agent Orchestration Studio</w:t>
      </w:r>
      <w:r>
        <w:br/>
      </w:r>
      <w:r>
        <w:rPr>
          <w:rStyle w:val="VerbatimChar"/>
        </w:rPr>
        <w:t xml:space="preserve">3. Studio discovers contractor agent via A2A protocol</w:t>
      </w:r>
      <w:r>
        <w:br/>
      </w:r>
      <w:r>
        <w:rPr>
          <w:rStyle w:val="VerbatimChar"/>
        </w:rPr>
        <w:t xml:space="preserve">4. NCC admin drags contractor agent onto canvas</w:t>
      </w:r>
      <w:r>
        <w:br/>
      </w:r>
      <w:r>
        <w:rPr>
          <w:rStyle w:val="VerbatimChar"/>
        </w:rPr>
        <w:t xml:space="preserve">5. NCC admin connects contractor to relevant workflows</w:t>
      </w:r>
      <w:r>
        <w:br/>
      </w:r>
      <w:r>
        <w:rPr>
          <w:rStyle w:val="VerbatimChar"/>
        </w:rPr>
        <w:t xml:space="preserve">6. Studio validates connectivity (A2A health check)</w:t>
      </w:r>
      <w:r>
        <w:br/>
      </w:r>
      <w:r>
        <w:rPr>
          <w:rStyle w:val="VerbatimChar"/>
        </w:rPr>
        <w:t xml:space="preserve">7. Workflow deploys to Temporal.io for execution</w:t>
      </w:r>
      <w:r>
        <w:br/>
      </w:r>
      <w:r>
        <w:rPr>
          <w:rStyle w:val="VerbatimChar"/>
        </w:rPr>
        <w:t xml:space="preserve">8. All agent interactions logged per EU AI Act Article 12</w:t>
      </w:r>
    </w:p>
    <w:p>
      <w:pPr>
        <w:pStyle w:val="FirstParagraph"/>
      </w:pPr>
      <w:r>
        <w:t xml:space="preserve">This architecture enables NCC to manage 24+ agents visually without writing code, while maintaining full EU data residency, audit compliance, and per-agent LLM flexibility.</w:t>
      </w:r>
    </w:p>
    <w:bookmarkEnd w:id="153"/>
    <w:bookmarkEnd w:id="154"/>
    <w:bookmarkStart w:id="158" w:name="X92f5601af86c3975dc71a1d632564a2dec4821d"/>
    <w:p>
      <w:pPr>
        <w:pStyle w:val="Heading2"/>
      </w:pPr>
      <w:r>
        <w:t xml:space="preserve">10.6 DWS Product Standard — Resolving Enterprise Product Chaos</w:t>
      </w:r>
    </w:p>
    <w:bookmarkStart w:id="155" w:name="problem-statement"/>
    <w:p>
      <w:pPr>
        <w:pStyle w:val="Heading3"/>
      </w:pPr>
      <w:r>
        <w:t xml:space="preserve">Problem Statement</w:t>
      </w:r>
    </w:p>
    <w:p>
      <w:pPr>
        <w:pStyle w:val="FirstParagraph"/>
      </w:pPr>
      <w:r>
        <w:t xml:space="preserve">As the Firehorse product catalog grew to 30 unique products duplicated across 5 catalog files, pricing inconsistencies emerged that threatened commercial credibility. The same product appeared with different prices depending on which file a sales agent, investor, or customer consulted:</w:t>
      </w:r>
    </w:p>
    <w:tbl>
      <w:tblPr>
        <w:tblStyle w:val="Table"/>
        <w:tblW w:type="pct" w:w="5000"/>
        <w:tblLook w:firstRow="1" w:lastRow="0" w:firstColumn="0" w:lastColumn="0" w:noHBand="0" w:noVBand="0" w:val="0020"/>
        <w:jc w:val="start"/>
      </w:tblPr>
      <w:tblGrid>
        <w:gridCol w:w="2520"/>
        <w:gridCol w:w="2160"/>
        <w:gridCol w:w="2280"/>
        <w:gridCol w:w="960"/>
      </w:tblGrid>
      <w:tr>
        <w:trPr>
          <w:tblHeader w:val="true"/>
        </w:trPr>
        <w:tc>
          <w:tcPr/>
          <w:p>
            <w:pPr>
              <w:pStyle w:val="Compact"/>
              <w:jc w:val="left"/>
            </w:pPr>
            <w:r>
              <w:t xml:space="preserve">Product</w:t>
            </w:r>
          </w:p>
        </w:tc>
        <w:tc>
          <w:tcPr/>
          <w:p>
            <w:pPr>
              <w:pStyle w:val="Compact"/>
              <w:jc w:val="left"/>
            </w:pPr>
            <w:r>
              <w:t xml:space="preserve">Lowest Price Found</w:t>
            </w:r>
          </w:p>
        </w:tc>
        <w:tc>
          <w:tcPr/>
          <w:p>
            <w:pPr>
              <w:pStyle w:val="Compact"/>
              <w:jc w:val="left"/>
            </w:pPr>
            <w:r>
              <w:t xml:space="preserve">Highest Price Found</w:t>
            </w:r>
          </w:p>
        </w:tc>
        <w:tc>
          <w:tcPr/>
          <w:p>
            <w:pPr>
              <w:pStyle w:val="Compact"/>
              <w:jc w:val="left"/>
            </w:pPr>
            <w:r>
              <w:t xml:space="preserve">Variance</w:t>
            </w:r>
          </w:p>
        </w:tc>
      </w:tr>
      <w:tr>
        <w:tc>
          <w:tcPr/>
          <w:p>
            <w:pPr>
              <w:pStyle w:val="Compact"/>
              <w:jc w:val="left"/>
            </w:pPr>
            <w:r>
              <w:t xml:space="preserve">DWS IQ Platform</w:t>
            </w:r>
          </w:p>
        </w:tc>
        <w:tc>
          <w:tcPr/>
          <w:p>
            <w:pPr>
              <w:pStyle w:val="Compact"/>
              <w:jc w:val="left"/>
            </w:pPr>
            <w:r>
              <w:t xml:space="preserve">€4,999</w:t>
            </w:r>
          </w:p>
        </w:tc>
        <w:tc>
          <w:tcPr/>
          <w:p>
            <w:pPr>
              <w:pStyle w:val="Compact"/>
              <w:jc w:val="left"/>
            </w:pPr>
            <w:r>
              <w:t xml:space="preserve">€12,500</w:t>
            </w:r>
          </w:p>
        </w:tc>
        <w:tc>
          <w:tcPr/>
          <w:p>
            <w:pPr>
              <w:pStyle w:val="Compact"/>
              <w:jc w:val="left"/>
            </w:pPr>
            <w:r>
              <w:t xml:space="preserve">2.5×</w:t>
            </w:r>
          </w:p>
        </w:tc>
      </w:tr>
      <w:tr>
        <w:tc>
          <w:tcPr/>
          <w:p>
            <w:pPr>
              <w:pStyle w:val="Compact"/>
              <w:jc w:val="left"/>
            </w:pPr>
            <w:r>
              <w:t xml:space="preserve">Consulting Hourly</w:t>
            </w:r>
          </w:p>
        </w:tc>
        <w:tc>
          <w:tcPr/>
          <w:p>
            <w:pPr>
              <w:pStyle w:val="Compact"/>
              <w:jc w:val="left"/>
            </w:pPr>
            <w:r>
              <w:t xml:space="preserve">€98/hr</w:t>
            </w:r>
          </w:p>
        </w:tc>
        <w:tc>
          <w:tcPr/>
          <w:p>
            <w:pPr>
              <w:pStyle w:val="Compact"/>
              <w:jc w:val="left"/>
            </w:pPr>
            <w:r>
              <w:t xml:space="preserve">€350/hr</w:t>
            </w:r>
          </w:p>
        </w:tc>
        <w:tc>
          <w:tcPr/>
          <w:p>
            <w:pPr>
              <w:pStyle w:val="Compact"/>
              <w:jc w:val="left"/>
            </w:pPr>
            <w:r>
              <w:t xml:space="preserve">3.6×</w:t>
            </w:r>
          </w:p>
        </w:tc>
      </w:tr>
      <w:tr>
        <w:tc>
          <w:tcPr/>
          <w:p>
            <w:pPr>
              <w:pStyle w:val="Compact"/>
              <w:jc w:val="left"/>
            </w:pPr>
            <w:r>
              <w:t xml:space="preserve">Workshop 3 Days</w:t>
            </w:r>
          </w:p>
        </w:tc>
        <w:tc>
          <w:tcPr/>
          <w:p>
            <w:pPr>
              <w:pStyle w:val="Compact"/>
              <w:jc w:val="left"/>
            </w:pPr>
            <w:r>
              <w:t xml:space="preserve">€4,500</w:t>
            </w:r>
          </w:p>
        </w:tc>
        <w:tc>
          <w:tcPr/>
          <w:p>
            <w:pPr>
              <w:pStyle w:val="Compact"/>
              <w:jc w:val="left"/>
            </w:pPr>
            <w:r>
              <w:t xml:space="preserve">€15,000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€8,000</w:t>
            </w:r>
          </w:p>
        </w:tc>
        <w:tc>
          <w:tcPr/>
          <w:p>
            <w:pPr>
              <w:pStyle w:val="Compact"/>
              <w:jc w:val="left"/>
            </w:pPr>
            <w:r>
              <w:t xml:space="preserve">16.0×</w:t>
            </w:r>
          </w:p>
        </w:tc>
      </w:tr>
    </w:tbl>
    <w:p>
      <w:pPr>
        <w:pStyle w:val="BodyText"/>
      </w:pPr>
      <w:r>
        <w:t xml:space="preserve">This is not a technical problem. It is a</w:t>
      </w:r>
      <w:r>
        <w:t xml:space="preserve"> </w:t>
      </w:r>
      <w:r>
        <w:rPr>
          <w:bCs/>
          <w:b/>
        </w:rPr>
        <w:t xml:space="preserve">trust problem.</w:t>
      </w:r>
      <w:r>
        <w:t xml:space="preserve"> </w:t>
      </w:r>
      <w:r>
        <w:t xml:space="preserve">In Nordic B2B markets where transparency is a cultural requirement, inconsistent pricing destroys credibility faster than any competitor.</w:t>
      </w:r>
    </w:p>
    <w:bookmarkEnd w:id="155"/>
    <w:bookmarkStart w:id="156" w:name="solution-dws-product-standard-v1.0"/>
    <w:p>
      <w:pPr>
        <w:pStyle w:val="Heading3"/>
      </w:pPr>
      <w:r>
        <w:t xml:space="preserve">Solution: DWS Product Standard v1.0</w:t>
      </w:r>
    </w:p>
    <w:p>
      <w:pPr>
        <w:pStyle w:val="FirstParagraph"/>
      </w:pPr>
      <w:r>
        <w:t xml:space="preserve">The DWS Product Standard (</w:t>
      </w:r>
      <w:r>
        <w:rPr>
          <w:rStyle w:val="VerbatimChar"/>
        </w:rPr>
        <w:t xml:space="preserve">DWS_PRODUCT_STANDARD.md</w:t>
      </w:r>
      <w:r>
        <w:t xml:space="preserve">) was created as the single source of truth for all product definitions, resolving conflicts through a</w:t>
      </w:r>
      <w:r>
        <w:t xml:space="preserve"> </w:t>
      </w:r>
      <w:r>
        <w:rPr>
          <w:bCs/>
          <w:b/>
        </w:rPr>
        <w:t xml:space="preserve">two-channel pricing model:</w:t>
      </w:r>
    </w:p>
    <w:p>
      <w:pPr>
        <w:numPr>
          <w:ilvl w:val="0"/>
          <w:numId w:val="1054"/>
        </w:numPr>
        <w:pStyle w:val="Compact"/>
      </w:pPr>
      <w:r>
        <w:rPr>
          <w:bCs/>
          <w:b/>
        </w:rPr>
        <w:t xml:space="preserve">Self-Service Store</w:t>
      </w:r>
      <w:r>
        <w:t xml:space="preserve"> </w:t>
      </w:r>
      <w:r>
        <w:t xml:space="preserve">(dws10.com): Published prices for SMEs and self-serve buyers, powered by Revolut/Stripe checkout</w:t>
      </w:r>
    </w:p>
    <w:p>
      <w:pPr>
        <w:numPr>
          <w:ilvl w:val="0"/>
          <w:numId w:val="1054"/>
        </w:numPr>
        <w:pStyle w:val="Compact"/>
      </w:pPr>
      <w:r>
        <w:rPr>
          <w:bCs/>
          <w:b/>
        </w:rPr>
        <w:t xml:space="preserve">Enterprise Direct</w:t>
      </w:r>
      <w:r>
        <w:t xml:space="preserve">: Subscription tiers (€5,990-€10,950/month) for large organizations, with full Firehorse Suite included</w:t>
      </w:r>
    </w:p>
    <w:p>
      <w:pPr>
        <w:pStyle w:val="FirstParagraph"/>
      </w:pPr>
      <w:r>
        <w:t xml:space="preserve">The standard establishes:</w:t>
      </w:r>
    </w:p>
    <w:p>
      <w:pPr>
        <w:numPr>
          <w:ilvl w:val="0"/>
          <w:numId w:val="1055"/>
        </w:numPr>
        <w:pStyle w:val="Compact"/>
      </w:pPr>
      <w:r>
        <w:t xml:space="preserve">Product taxonomy across 6 product families</w:t>
      </w:r>
    </w:p>
    <w:p>
      <w:pPr>
        <w:numPr>
          <w:ilvl w:val="0"/>
          <w:numId w:val="1055"/>
        </w:numPr>
        <w:pStyle w:val="Compact"/>
      </w:pPr>
      <w:r>
        <w:t xml:space="preserve">Mandatory two-number pricing rule (</w:t>
      </w:r>
      <w:r>
        <w:t xml:space="preserve">“</w:t>
      </w:r>
      <w:r>
        <w:t xml:space="preserve">Buy now: €XX / Monthly: €YY</w:t>
      </w:r>
      <w:r>
        <w:t xml:space="preserve">”</w:t>
      </w:r>
      <w:r>
        <w:t xml:space="preserve">)</w:t>
      </w:r>
    </w:p>
    <w:p>
      <w:pPr>
        <w:numPr>
          <w:ilvl w:val="0"/>
          <w:numId w:val="1055"/>
        </w:numPr>
        <w:pStyle w:val="Compact"/>
      </w:pPr>
      <w:r>
        <w:t xml:space="preserve">Price floor enforcement (minimum €150/hr for consulting, €499 for software modules)</w:t>
      </w:r>
    </w:p>
    <w:p>
      <w:pPr>
        <w:numPr>
          <w:ilvl w:val="0"/>
          <w:numId w:val="1055"/>
        </w:numPr>
        <w:pStyle w:val="Compact"/>
      </w:pPr>
      <w:r>
        <w:t xml:space="preserve">Google Merchant Center compliance for all 67 products</w:t>
      </w:r>
    </w:p>
    <w:p>
      <w:pPr>
        <w:numPr>
          <w:ilvl w:val="0"/>
          <w:numId w:val="1055"/>
        </w:numPr>
        <w:pStyle w:val="Compact"/>
      </w:pPr>
      <w:r>
        <w:t xml:space="preserve">Price conflict resolution protocol with change propagation checklist</w:t>
      </w:r>
    </w:p>
    <w:p>
      <w:pPr>
        <w:numPr>
          <w:ilvl w:val="0"/>
          <w:numId w:val="1055"/>
        </w:numPr>
        <w:pStyle w:val="Compact"/>
      </w:pPr>
      <w:r>
        <w:t xml:space="preserve">Product lifecycle management (Alpha → Active → Sunset → Retired)</w:t>
      </w:r>
    </w:p>
    <w:bookmarkEnd w:id="156"/>
    <w:bookmarkStart w:id="157" w:name="research-contribution"/>
    <w:p>
      <w:pPr>
        <w:pStyle w:val="Heading3"/>
      </w:pPr>
      <w:r>
        <w:t xml:space="preserve">Research Contribution</w:t>
      </w:r>
    </w:p>
    <w:p>
      <w:pPr>
        <w:pStyle w:val="FirstParagraph"/>
      </w:pPr>
      <w:r>
        <w:t xml:space="preserve">This represents a novel contribution to</w:t>
      </w:r>
      <w:r>
        <w:t xml:space="preserve"> </w:t>
      </w:r>
      <w:r>
        <w:rPr>
          <w:bCs/>
          <w:b/>
        </w:rPr>
        <w:t xml:space="preserve">AI-assisted product management</w:t>
      </w:r>
      <w:r>
        <w:t xml:space="preserve">: the Product Standard was generated through systematic AI analysis of the entire codebase, identifying conflicts that manual review missed over 3 months. The audit methodology — multi-file price extraction, cross-reference, and conflict resolution — is reproducible for any SaaS company scaling from single-product to multi-product catalog.</w:t>
      </w:r>
    </w:p>
    <w:bookmarkEnd w:id="157"/>
    <w:bookmarkEnd w:id="158"/>
    <w:bookmarkStart w:id="162" w:name="Xef2723201df77e81f58f313eda8a217af1eb9cc"/>
    <w:p>
      <w:pPr>
        <w:pStyle w:val="Heading2"/>
      </w:pPr>
      <w:r>
        <w:t xml:space="preserve">10.7 Brand Standard Product Clarity — One-Click Industrial Buy</w:t>
      </w:r>
    </w:p>
    <w:bookmarkStart w:id="159" w:name="the-one-click-hypothesis"/>
    <w:p>
      <w:pPr>
        <w:pStyle w:val="Heading3"/>
      </w:pPr>
      <w:r>
        <w:t xml:space="preserve">The One-Click Hypothesis</w:t>
      </w:r>
    </w:p>
    <w:p>
      <w:pPr>
        <w:pStyle w:val="FirstParagraph"/>
      </w:pPr>
      <w:r>
        <w:t xml:space="preserve">Industrial B2B SaaS products are traditionally sold through 45-90 day consultative cycles. The Nordic Sales Strategy (Section 11) challenges this assumption: if pricing is transparent, the demo is self-service, and the agreement is digital, the actual decision takes one day. The remaining 44-89 days are friction.</w:t>
      </w:r>
    </w:p>
    <w:p>
      <w:pPr>
        <w:pStyle w:val="BodyText"/>
      </w:pPr>
      <w:r>
        <w:t xml:space="preserve">The DWS Brand Standard v1.1 was updated to codify this insight into product card UI components:</w:t>
      </w:r>
    </w:p>
    <w:p>
      <w:pPr>
        <w:numPr>
          <w:ilvl w:val="0"/>
          <w:numId w:val="1056"/>
        </w:numPr>
        <w:pStyle w:val="Compact"/>
      </w:pPr>
      <w:r>
        <w:rPr>
          <w:bCs/>
          <w:b/>
        </w:rPr>
        <w:t xml:space="preserve">Product Pricing Clarity (Section 7):</w:t>
      </w:r>
      <w:r>
        <w:t xml:space="preserve"> </w:t>
      </w:r>
      <w:r>
        <w:t xml:space="preserve">New CSS tokens for price display, enterprise tier card variants, and the mandatory two-number rule as a UI standard</w:t>
      </w:r>
    </w:p>
    <w:p>
      <w:pPr>
        <w:numPr>
          <w:ilvl w:val="0"/>
          <w:numId w:val="1056"/>
        </w:numPr>
        <w:pStyle w:val="Compact"/>
      </w:pPr>
      <w:r>
        <w:rPr>
          <w:bCs/>
          <w:b/>
        </w:rPr>
        <w:t xml:space="preserve">Intelligent Decision Helper:</w:t>
      </w:r>
      <w:r>
        <w:t xml:space="preserve"> </w:t>
      </w:r>
      <w:r>
        <w:t xml:space="preserve">A 2-question recommender that tells the buyer which tier is right, based on portfolio size and CSRD deadline pressure</w:t>
      </w:r>
    </w:p>
    <w:p>
      <w:pPr>
        <w:numPr>
          <w:ilvl w:val="0"/>
          <w:numId w:val="1056"/>
        </w:numPr>
        <w:pStyle w:val="Compact"/>
      </w:pPr>
      <w:r>
        <w:rPr>
          <w:bCs/>
          <w:b/>
        </w:rPr>
        <w:t xml:space="preserve">Tier Badge System:</w:t>
      </w:r>
      <w:r>
        <w:t xml:space="preserve"> </w:t>
      </w:r>
      <w:r>
        <w:t xml:space="preserve">Visual hierarchy (Pilot = blue, Alpha = purple, Production = green) that communicates progression without requiring sales explanation</w:t>
      </w:r>
    </w:p>
    <w:bookmarkEnd w:id="159"/>
    <w:bookmarkStart w:id="160" w:name="cultural-design-pattern-the-13.70-buffet"/>
    <w:p>
      <w:pPr>
        <w:pStyle w:val="Heading3"/>
      </w:pPr>
      <w:r>
        <w:t xml:space="preserve">Cultural Design Pattern: The €13.70 Buffet</w:t>
      </w:r>
    </w:p>
    <w:p>
      <w:pPr>
        <w:pStyle w:val="FirstParagraph"/>
      </w:pPr>
      <w:r>
        <w:t xml:space="preserve">The brand standard now explicitly encodes a Nordic cultural design principle: the Finnish lunch buffet model. At €13.70, the buffet works because the price is visible before you commit, the value is visible before you pay, the risk is low, and the exit is clean. The updated brand standard applies this same anxiety-reduction pattern to €5,990/month enterprise software:</w:t>
      </w:r>
    </w:p>
    <w:p>
      <w:pPr>
        <w:numPr>
          <w:ilvl w:val="0"/>
          <w:numId w:val="1057"/>
        </w:numPr>
        <w:pStyle w:val="Compact"/>
      </w:pPr>
      <w:r>
        <w:t xml:space="preserve">Published pricing (no</w:t>
      </w:r>
      <w:r>
        <w:t xml:space="preserve"> </w:t>
      </w:r>
      <w:r>
        <w:t xml:space="preserve">“</w:t>
      </w:r>
      <w:r>
        <w:t xml:space="preserve">contact us</w:t>
      </w:r>
      <w:r>
        <w:t xml:space="preserve">”</w:t>
      </w:r>
      <w:r>
        <w:t xml:space="preserve">)</w:t>
      </w:r>
    </w:p>
    <w:p>
      <w:pPr>
        <w:numPr>
          <w:ilvl w:val="0"/>
          <w:numId w:val="1057"/>
        </w:numPr>
        <w:pStyle w:val="Compact"/>
      </w:pPr>
      <w:r>
        <w:t xml:space="preserve">Live demo accessible with email only (no sales qualification)</w:t>
      </w:r>
    </w:p>
    <w:p>
      <w:pPr>
        <w:numPr>
          <w:ilvl w:val="0"/>
          <w:numId w:val="1057"/>
        </w:numPr>
        <w:pStyle w:val="Compact"/>
      </w:pPr>
      <w:r>
        <w:t xml:space="preserve">Standard agreement (no custom negotiation)</w:t>
      </w:r>
    </w:p>
    <w:p>
      <w:pPr>
        <w:numPr>
          <w:ilvl w:val="0"/>
          <w:numId w:val="1057"/>
        </w:numPr>
        <w:pStyle w:val="Compact"/>
      </w:pPr>
      <w:r>
        <w:t xml:space="preserve">5-month pilot with clean exit</w:t>
      </w:r>
    </w:p>
    <w:bookmarkEnd w:id="160"/>
    <w:bookmarkStart w:id="161" w:name="research-contribution-1"/>
    <w:p>
      <w:pPr>
        <w:pStyle w:val="Heading3"/>
      </w:pPr>
      <w:r>
        <w:t xml:space="preserve">Research Contribution</w:t>
      </w:r>
    </w:p>
    <w:p>
      <w:pPr>
        <w:pStyle w:val="FirstParagraph"/>
      </w:pPr>
      <w:r>
        <w:t xml:space="preserve">The connection between cultural psychology (Nordic equality, anxiety reduction) and B2B product design is understudied in existing literature. This work proposes that</w:t>
      </w:r>
      <w:r>
        <w:t xml:space="preserve"> </w:t>
      </w:r>
      <w:r>
        <w:rPr>
          <w:bCs/>
          <w:b/>
        </w:rPr>
        <w:t xml:space="preserve">cultural UX patterns</w:t>
      </w:r>
      <w:r>
        <w:t xml:space="preserve"> </w:t>
      </w:r>
      <w:r>
        <w:t xml:space="preserve">— not just feature completeness — are a primary driver of enterprise conversion rates in Nordic markets.</w:t>
      </w:r>
    </w:p>
    <w:bookmarkEnd w:id="161"/>
    <w:bookmarkEnd w:id="162"/>
    <w:bookmarkStart w:id="171" w:name="measurable-impact-toward-dws-7"/>
    <w:p>
      <w:pPr>
        <w:pStyle w:val="Heading2"/>
      </w:pPr>
      <w:r>
        <w:t xml:space="preserve">10.8 Measurable Impact Toward DWS 7</w:t>
      </w:r>
    </w:p>
    <w:bookmarkStart w:id="163" w:name="what-dws-7-inherits"/>
    <w:p>
      <w:pPr>
        <w:pStyle w:val="Heading3"/>
      </w:pPr>
      <w:r>
        <w:t xml:space="preserve">What DWS 7 Inherits</w:t>
      </w:r>
    </w:p>
    <w:p>
      <w:pPr>
        <w:pStyle w:val="FirstParagraph"/>
      </w:pPr>
      <w:r>
        <w:t xml:space="preserve">DWS 7 is the next major platform generation. The standards created during DWS 6 establish measurable foundations:</w:t>
      </w:r>
    </w:p>
    <w:tbl>
      <w:tblPr>
        <w:tblStyle w:val="Table"/>
        <w:tblW w:type="pct" w:w="5000"/>
        <w:tblLook w:firstRow="1" w:lastRow="0" w:firstColumn="0" w:lastColumn="0" w:noHBand="0" w:noVBand="0" w:val="0020"/>
        <w:jc w:val="start"/>
      </w:tblPr>
      <w:tblGrid>
        <w:gridCol w:w="1179"/>
        <w:gridCol w:w="2302"/>
        <w:gridCol w:w="2471"/>
        <w:gridCol w:w="1965"/>
      </w:tblGrid>
      <w:tr>
        <w:trPr>
          <w:tblHeader w:val="true"/>
        </w:trPr>
        <w:tc>
          <w:tcPr/>
          <w:p>
            <w:pPr>
              <w:pStyle w:val="Compact"/>
              <w:jc w:val="left"/>
            </w:pPr>
            <w:r>
              <w:t xml:space="preserve">Standard</w:t>
            </w:r>
          </w:p>
        </w:tc>
        <w:tc>
          <w:tcPr/>
          <w:p>
            <w:pPr>
              <w:pStyle w:val="Compact"/>
              <w:jc w:val="left"/>
            </w:pPr>
            <w:r>
              <w:t xml:space="preserve">DWS 6 State</w:t>
            </w:r>
          </w:p>
        </w:tc>
        <w:tc>
          <w:tcPr/>
          <w:p>
            <w:pPr>
              <w:pStyle w:val="Compact"/>
              <w:jc w:val="left"/>
            </w:pPr>
            <w:r>
              <w:t xml:space="preserve">DWS 7 Target</w:t>
            </w:r>
          </w:p>
        </w:tc>
        <w:tc>
          <w:tcPr/>
          <w:p>
            <w:pPr>
              <w:pStyle w:val="Compact"/>
              <w:jc w:val="left"/>
            </w:pPr>
            <w:r>
              <w:t xml:space="preserve">Measurable Outcome</w:t>
            </w:r>
          </w:p>
        </w:tc>
      </w:tr>
      <w:tr>
        <w:tc>
          <w:tcPr/>
          <w:p>
            <w:pPr>
              <w:pStyle w:val="Compact"/>
              <w:jc w:val="left"/>
            </w:pPr>
            <w:r>
              <w:rPr>
                <w:bCs/>
                <w:b/>
              </w:rPr>
              <w:t xml:space="preserve">Product Standard</w:t>
            </w:r>
          </w:p>
        </w:tc>
        <w:tc>
          <w:tcPr/>
          <w:p>
            <w:pPr>
              <w:pStyle w:val="Compact"/>
              <w:jc w:val="left"/>
            </w:pPr>
            <w:r>
              <w:t xml:space="preserve">5 conflicting catalogs, 7 price conflicts</w:t>
            </w:r>
          </w:p>
        </w:tc>
        <w:tc>
          <w:tcPr/>
          <w:p>
            <w:pPr>
              <w:pStyle w:val="Compact"/>
              <w:jc w:val="left"/>
            </w:pPr>
            <w:r>
              <w:t xml:space="preserve">Single source of truth, 0 conflicts</w:t>
            </w:r>
          </w:p>
        </w:tc>
        <w:tc>
          <w:tcPr/>
          <w:p>
            <w:pPr>
              <w:pStyle w:val="Compact"/>
              <w:jc w:val="left"/>
            </w:pPr>
            <w:r>
              <w:t xml:space="preserve">Quarterly audit: conflict count = 0</w:t>
            </w:r>
          </w:p>
        </w:tc>
      </w:tr>
      <w:tr>
        <w:tc>
          <w:tcPr/>
          <w:p>
            <w:pPr>
              <w:pStyle w:val="Compact"/>
              <w:jc w:val="left"/>
            </w:pPr>
            <w:r>
              <w:rPr>
                <w:bCs/>
                <w:b/>
              </w:rPr>
              <w:t xml:space="preserve">Brand Standard</w:t>
            </w:r>
          </w:p>
        </w:tc>
        <w:tc>
          <w:tcPr/>
          <w:p>
            <w:pPr>
              <w:pStyle w:val="Compact"/>
              <w:jc w:val="left"/>
            </w:pPr>
            <w:r>
              <w:t xml:space="preserve">No pricing display rules</w:t>
            </w:r>
          </w:p>
        </w:tc>
        <w:tc>
          <w:tcPr/>
          <w:p>
            <w:pPr>
              <w:pStyle w:val="Compact"/>
              <w:jc w:val="left"/>
            </w:pPr>
            <w:r>
              <w:t xml:space="preserve">Two-number rule, tier cards, decision helper</w:t>
            </w:r>
          </w:p>
        </w:tc>
        <w:tc>
          <w:tcPr/>
          <w:p>
            <w:pPr>
              <w:pStyle w:val="Compact"/>
              <w:jc w:val="left"/>
            </w:pPr>
            <w:r>
              <w:t xml:space="preserve">Pricing page bounce rate &lt; 40%</w:t>
            </w:r>
          </w:p>
        </w:tc>
      </w:tr>
      <w:tr>
        <w:tc>
          <w:tcPr/>
          <w:p>
            <w:pPr>
              <w:pStyle w:val="Compact"/>
              <w:jc w:val="left"/>
            </w:pPr>
            <w:r>
              <w:rPr>
                <w:bCs/>
                <w:b/>
              </w:rPr>
              <w:t xml:space="preserve">Sales Strategy</w:t>
            </w:r>
          </w:p>
        </w:tc>
        <w:tc>
          <w:tcPr/>
          <w:p>
            <w:pPr>
              <w:pStyle w:val="Compact"/>
              <w:jc w:val="left"/>
            </w:pPr>
            <w:r>
              <w:t xml:space="preserve">45-90 day cycles, 0% self-service</w:t>
            </w:r>
          </w:p>
        </w:tc>
        <w:tc>
          <w:tcPr/>
          <w:p>
            <w:pPr>
              <w:pStyle w:val="Compact"/>
              <w:jc w:val="left"/>
            </w:pPr>
            <w:r>
              <w:t xml:space="preserve">One-click path, 20-30% self-service</w:t>
            </w:r>
          </w:p>
        </w:tc>
        <w:tc>
          <w:tcPr/>
          <w:p>
            <w:pPr>
              <w:pStyle w:val="Compact"/>
              <w:jc w:val="left"/>
            </w:pPr>
            <w:r>
              <w:t xml:space="preserve">CRM: time-to-purchase &lt; 7 days</w:t>
            </w:r>
          </w:p>
        </w:tc>
      </w:tr>
      <w:tr>
        <w:tc>
          <w:tcPr/>
          <w:p>
            <w:pPr>
              <w:pStyle w:val="Compact"/>
              <w:jc w:val="left"/>
            </w:pPr>
            <w:r>
              <w:rPr>
                <w:bCs/>
                <w:b/>
              </w:rPr>
              <w:t xml:space="preserve">Document Standard</w:t>
            </w:r>
          </w:p>
        </w:tc>
        <w:tc>
          <w:tcPr/>
          <w:p>
            <w:pPr>
              <w:pStyle w:val="Compact"/>
              <w:jc w:val="left"/>
            </w:pPr>
            <w:r>
              <w:t xml:space="preserve">Ad-hoc versioning</w:t>
            </w:r>
          </w:p>
        </w:tc>
        <w:tc>
          <w:tcPr/>
          <w:p>
            <w:pPr>
              <w:pStyle w:val="Compact"/>
              <w:jc w:val="left"/>
            </w:pPr>
            <w:r>
              <w:t xml:space="preserve">Full traceability, agent history</w:t>
            </w:r>
          </w:p>
        </w:tc>
        <w:tc>
          <w:tcPr/>
          <w:p>
            <w:pPr>
              <w:pStyle w:val="Compact"/>
              <w:jc w:val="left"/>
            </w:pPr>
            <w:r>
              <w:t xml:space="preserve">100% document compliance</w:t>
            </w:r>
          </w:p>
        </w:tc>
      </w:tr>
    </w:tbl>
    <w:bookmarkEnd w:id="163"/>
    <w:bookmarkStart w:id="164" w:name="impact-measurement-framework"/>
    <w:p>
      <w:pPr>
        <w:pStyle w:val="Heading3"/>
      </w:pPr>
      <w:r>
        <w:t xml:space="preserve">Impact Measurement Framework</w:t>
      </w:r>
    </w:p>
    <w:p>
      <w:pPr>
        <w:pStyle w:val="FirstParagraph"/>
      </w:pPr>
      <w:r>
        <w:t xml:space="preserve">The following metrics MUST be tracked starting Q1 2026 to validate the standards’ contribution:</w:t>
      </w:r>
    </w:p>
    <w:p>
      <w:pPr>
        <w:pStyle w:val="BodyText"/>
      </w:pPr>
      <w:r>
        <w:rPr>
          <w:bCs/>
          <w:b/>
        </w:rPr>
        <w:t xml:space="preserve">Commercial Impact:</w:t>
      </w:r>
    </w:p>
    <w:tbl>
      <w:tblPr>
        <w:tblStyle w:val="Table"/>
        <w:tblW w:type="pct" w:w="5000"/>
        <w:tblLook w:firstRow="1" w:lastRow="0" w:firstColumn="0" w:lastColumn="0" w:noHBand="0" w:noVBand="0" w:val="0020"/>
        <w:jc w:val="start"/>
      </w:tblPr>
      <w:tblGrid>
        <w:gridCol w:w="3338"/>
        <w:gridCol w:w="1475"/>
        <w:gridCol w:w="1087"/>
        <w:gridCol w:w="1087"/>
        <w:gridCol w:w="931"/>
      </w:tblGrid>
      <w:tr>
        <w:trPr>
          <w:tblHeader w:val="true"/>
        </w:trPr>
        <w:tc>
          <w:tcPr/>
          <w:p>
            <w:pPr>
              <w:pStyle w:val="Compact"/>
              <w:jc w:val="left"/>
            </w:pPr>
            <w:r>
              <w:t xml:space="preserve">Metric</w:t>
            </w:r>
          </w:p>
        </w:tc>
        <w:tc>
          <w:tcPr/>
          <w:p>
            <w:pPr>
              <w:pStyle w:val="Compact"/>
              <w:jc w:val="left"/>
            </w:pPr>
            <w:r>
              <w:t xml:space="preserve">Baseline (Feb 2026)</w:t>
            </w:r>
          </w:p>
        </w:tc>
        <w:tc>
          <w:tcPr/>
          <w:p>
            <w:pPr>
              <w:pStyle w:val="Compact"/>
              <w:jc w:val="left"/>
            </w:pPr>
            <w:r>
              <w:t xml:space="preserve">Q2 2026 Target</w:t>
            </w:r>
          </w:p>
        </w:tc>
        <w:tc>
          <w:tcPr/>
          <w:p>
            <w:pPr>
              <w:pStyle w:val="Compact"/>
              <w:jc w:val="left"/>
            </w:pPr>
            <w:r>
              <w:t xml:space="preserve">Q4 2026 Target</w:t>
            </w:r>
          </w:p>
        </w:tc>
        <w:tc>
          <w:tcPr/>
          <w:p>
            <w:pPr>
              <w:pStyle w:val="Compact"/>
              <w:jc w:val="left"/>
            </w:pPr>
            <w:r>
              <w:t xml:space="preserve">DWS 7 Target</w:t>
            </w:r>
          </w:p>
        </w:tc>
      </w:tr>
      <w:tr>
        <w:tc>
          <w:tcPr/>
          <w:p>
            <w:pPr>
              <w:pStyle w:val="Compact"/>
              <w:jc w:val="left"/>
            </w:pPr>
            <w:r>
              <w:t xml:space="preserve">MRR</w:t>
            </w:r>
          </w:p>
        </w:tc>
        <w:tc>
          <w:tcPr/>
          <w:p>
            <w:pPr>
              <w:pStyle w:val="Compact"/>
              <w:jc w:val="left"/>
            </w:pPr>
            <w:r>
              <w:t xml:space="preserve">€7,000</w:t>
            </w:r>
          </w:p>
        </w:tc>
        <w:tc>
          <w:tcPr/>
          <w:p>
            <w:pPr>
              <w:pStyle w:val="Compact"/>
              <w:jc w:val="left"/>
            </w:pPr>
            <w:r>
              <w:t xml:space="preserve">€14,000</w:t>
            </w:r>
          </w:p>
        </w:tc>
        <w:tc>
          <w:tcPr/>
          <w:p>
            <w:pPr>
              <w:pStyle w:val="Compact"/>
              <w:jc w:val="left"/>
            </w:pPr>
            <w:r>
              <w:t xml:space="preserve">€30,000</w:t>
            </w:r>
          </w:p>
        </w:tc>
        <w:tc>
          <w:tcPr/>
          <w:p>
            <w:pPr>
              <w:pStyle w:val="Compact"/>
              <w:jc w:val="left"/>
            </w:pPr>
            <w:r>
              <w:t xml:space="preserve">€60,000</w:t>
            </w:r>
          </w:p>
        </w:tc>
      </w:tr>
      <w:tr>
        <w:tc>
          <w:tcPr/>
          <w:p>
            <w:pPr>
              <w:pStyle w:val="Compact"/>
              <w:jc w:val="left"/>
            </w:pPr>
            <w:r>
              <w:t xml:space="preserve">Price conflicts in codebase</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Products with Google Merchant compliance</w:t>
            </w:r>
          </w:p>
        </w:tc>
        <w:tc>
          <w:tcPr/>
          <w:p>
            <w:pPr>
              <w:pStyle w:val="Compact"/>
              <w:jc w:val="left"/>
            </w:pPr>
            <w:r>
              <w:t xml:space="preserve">~30%</w:t>
            </w:r>
          </w:p>
        </w:tc>
        <w:tc>
          <w:tcPr/>
          <w:p>
            <w:pPr>
              <w:pStyle w:val="Compact"/>
              <w:jc w:val="left"/>
            </w:pPr>
            <w:r>
              <w:t xml:space="preserve">80%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Self-service purchases (% of new deals)</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30%</w:t>
            </w:r>
          </w:p>
        </w:tc>
      </w:tr>
      <w:tr>
        <w:tc>
          <w:tcPr/>
          <w:p>
            <w:pPr>
              <w:pStyle w:val="Compact"/>
              <w:jc w:val="left"/>
            </w:pPr>
            <w:r>
              <w:t xml:space="preserve">Time from first contact to signed agreement</w:t>
            </w:r>
          </w:p>
        </w:tc>
        <w:tc>
          <w:tcPr/>
          <w:p>
            <w:pPr>
              <w:pStyle w:val="Compact"/>
              <w:jc w:val="left"/>
            </w:pPr>
            <w:r>
              <w:t xml:space="preserve">45-90 days</w:t>
            </w:r>
          </w:p>
        </w:tc>
        <w:tc>
          <w:tcPr/>
          <w:p>
            <w:pPr>
              <w:pStyle w:val="Compact"/>
              <w:jc w:val="left"/>
            </w:pPr>
            <w:r>
              <w:t xml:space="preserve">30 days</w:t>
            </w:r>
          </w:p>
        </w:tc>
        <w:tc>
          <w:tcPr/>
          <w:p>
            <w:pPr>
              <w:pStyle w:val="Compact"/>
              <w:jc w:val="left"/>
            </w:pPr>
            <w:r>
              <w:t xml:space="preserve">14 days</w:t>
            </w:r>
          </w:p>
        </w:tc>
        <w:tc>
          <w:tcPr/>
          <w:p>
            <w:pPr>
              <w:pStyle w:val="Compact"/>
              <w:jc w:val="left"/>
            </w:pPr>
            <w:r>
              <w:t xml:space="preserve">7 days</w:t>
            </w:r>
          </w:p>
        </w:tc>
      </w:tr>
      <w:tr>
        <w:tc>
          <w:tcPr/>
          <w:p>
            <w:pPr>
              <w:pStyle w:val="Compact"/>
              <w:jc w:val="left"/>
            </w:pPr>
            <w:r>
              <w:t xml:space="preserve">Deals closed without a meeting</w:t>
            </w:r>
          </w:p>
        </w:tc>
        <w:tc>
          <w:tcPr/>
          <w:p>
            <w:pPr>
              <w:pStyle w:val="Compact"/>
              <w:jc w:val="left"/>
            </w:pPr>
            <w:r>
              <w:t xml:space="preserve">0%</w:t>
            </w:r>
          </w:p>
        </w:tc>
        <w:tc>
          <w:tcPr/>
          <w:p>
            <w:pPr>
              <w:pStyle w:val="Compact"/>
              <w:jc w:val="left"/>
            </w:pPr>
            <w:r>
              <w:t xml:space="preserve">5%</w:t>
            </w:r>
          </w:p>
        </w:tc>
        <w:tc>
          <w:tcPr/>
          <w:p>
            <w:pPr>
              <w:pStyle w:val="Compact"/>
              <w:jc w:val="left"/>
            </w:pPr>
            <w:r>
              <w:t xml:space="preserve">15%</w:t>
            </w:r>
          </w:p>
        </w:tc>
        <w:tc>
          <w:tcPr/>
          <w:p>
            <w:pPr>
              <w:pStyle w:val="Compact"/>
              <w:jc w:val="left"/>
            </w:pPr>
            <w:r>
              <w:t xml:space="preserve">25%</w:t>
            </w:r>
          </w:p>
        </w:tc>
      </w:tr>
    </w:tbl>
    <w:p>
      <w:pPr>
        <w:pStyle w:val="BodyText"/>
      </w:pPr>
      <w:r>
        <w:rPr>
          <w:bCs/>
          <w:b/>
        </w:rPr>
        <w:t xml:space="preserve">Operational Impact:</w:t>
      </w:r>
    </w:p>
    <w:tbl>
      <w:tblPr>
        <w:tblStyle w:val="Table"/>
        <w:tblW w:type="pct" w:w="5000"/>
        <w:tblLook w:firstRow="1" w:lastRow="0" w:firstColumn="0" w:lastColumn="0" w:noHBand="0" w:noVBand="0" w:val="0020"/>
        <w:jc w:val="start"/>
      </w:tblPr>
      <w:tblGrid>
        <w:gridCol w:w="2921"/>
        <w:gridCol w:w="615"/>
        <w:gridCol w:w="2306"/>
        <w:gridCol w:w="2076"/>
      </w:tblGrid>
      <w:tr>
        <w:trPr>
          <w:tblHeader w:val="true"/>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Method</w:t>
            </w:r>
          </w:p>
        </w:tc>
      </w:tr>
      <w:tr>
        <w:tc>
          <w:tcPr/>
          <w:p>
            <w:pPr>
              <w:pStyle w:val="Compact"/>
              <w:jc w:val="left"/>
            </w:pPr>
            <w:r>
              <w:t xml:space="preserve">Files updated per price change</w:t>
            </w:r>
          </w:p>
        </w:tc>
        <w:tc>
          <w:tcPr/>
          <w:p>
            <w:pPr>
              <w:pStyle w:val="Compact"/>
              <w:jc w:val="left"/>
            </w:pPr>
            <w:r>
              <w:t xml:space="preserve">5</w:t>
            </w:r>
          </w:p>
        </w:tc>
        <w:tc>
          <w:tcPr/>
          <w:p>
            <w:pPr>
              <w:pStyle w:val="Compact"/>
              <w:jc w:val="left"/>
            </w:pPr>
            <w:r>
              <w:t xml:space="preserve">1 (auto-propagate)</w:t>
            </w:r>
          </w:p>
        </w:tc>
        <w:tc>
          <w:tcPr/>
          <w:p>
            <w:pPr>
              <w:pStyle w:val="Compact"/>
              <w:jc w:val="left"/>
            </w:pPr>
            <w:r>
              <w:t xml:space="preserve">Engineering automation</w:t>
            </w:r>
          </w:p>
        </w:tc>
      </w:tr>
      <w:tr>
        <w:tc>
          <w:tcPr/>
          <w:p>
            <w:pPr>
              <w:pStyle w:val="Compact"/>
              <w:jc w:val="left"/>
            </w:pPr>
            <w:r>
              <w:t xml:space="preserve">Product card consistency across sites</w:t>
            </w:r>
          </w:p>
        </w:tc>
        <w:tc>
          <w:tcPr/>
          <w:p>
            <w:pPr>
              <w:pStyle w:val="Compact"/>
              <w:jc w:val="left"/>
            </w:pPr>
            <w:r>
              <w:t xml:space="preserve">~60%</w:t>
            </w:r>
          </w:p>
        </w:tc>
        <w:tc>
          <w:tcPr/>
          <w:p>
            <w:pPr>
              <w:pStyle w:val="Compact"/>
              <w:jc w:val="left"/>
            </w:pPr>
            <w:r>
              <w:t xml:space="preserve">100%</w:t>
            </w:r>
          </w:p>
        </w:tc>
        <w:tc>
          <w:tcPr/>
          <w:p>
            <w:pPr>
              <w:pStyle w:val="Compact"/>
              <w:jc w:val="left"/>
            </w:pPr>
            <w:r>
              <w:t xml:space="preserve">Automated visual regression</w:t>
            </w:r>
          </w:p>
        </w:tc>
      </w:tr>
      <w:tr>
        <w:tc>
          <w:tcPr/>
          <w:p>
            <w:pPr>
              <w:pStyle w:val="Compact"/>
              <w:jc w:val="left"/>
            </w:pPr>
            <w:r>
              <w:t xml:space="preserve">Investor document pricing accuracy</w:t>
            </w:r>
          </w:p>
        </w:tc>
        <w:tc>
          <w:tcPr/>
          <w:p>
            <w:pPr>
              <w:pStyle w:val="Compact"/>
              <w:jc w:val="left"/>
            </w:pPr>
            <w:r>
              <w:t xml:space="preserve">Unknown</w:t>
            </w:r>
          </w:p>
        </w:tc>
        <w:tc>
          <w:tcPr/>
          <w:p>
            <w:pPr>
              <w:pStyle w:val="Compact"/>
              <w:jc w:val="left"/>
            </w:pPr>
            <w:r>
              <w:t xml:space="preserve">100% match to Product Standard</w:t>
            </w:r>
          </w:p>
        </w:tc>
        <w:tc>
          <w:tcPr/>
          <w:p>
            <w:pPr>
              <w:pStyle w:val="Compact"/>
              <w:jc w:val="left"/>
            </w:pPr>
            <w:r>
              <w:t xml:space="preserve">Manual quarterly audit</w:t>
            </w:r>
          </w:p>
        </w:tc>
      </w:tr>
      <w:tr>
        <w:tc>
          <w:tcPr/>
          <w:p>
            <w:pPr>
              <w:pStyle w:val="Compact"/>
              <w:jc w:val="left"/>
            </w:pPr>
            <w:r>
              <w:t xml:space="preserve">Store page load time (pricing section)</w:t>
            </w:r>
          </w:p>
        </w:tc>
        <w:tc>
          <w:tcPr/>
          <w:p>
            <w:pPr>
              <w:pStyle w:val="Compact"/>
              <w:jc w:val="left"/>
            </w:pPr>
            <w:r>
              <w:t xml:space="preserve">TBD</w:t>
            </w:r>
          </w:p>
        </w:tc>
        <w:tc>
          <w:tcPr/>
          <w:p>
            <w:pPr>
              <w:pStyle w:val="Compact"/>
              <w:jc w:val="left"/>
            </w:pPr>
            <w:r>
              <w:t xml:space="preserve">&lt; 2 seconds</w:t>
            </w:r>
          </w:p>
        </w:tc>
        <w:tc>
          <w:tcPr/>
          <w:p>
            <w:pPr>
              <w:pStyle w:val="Compact"/>
              <w:jc w:val="left"/>
            </w:pPr>
            <w:r>
              <w:t xml:space="preserve">Lighthouse</w:t>
            </w:r>
          </w:p>
        </w:tc>
      </w:tr>
    </w:tbl>
    <w:bookmarkEnd w:id="164"/>
    <w:bookmarkStart w:id="165" w:name="Xab3fe4b37048a22a44d2bc3f2391b376eb275d7"/>
    <w:p>
      <w:pPr>
        <w:pStyle w:val="Heading3"/>
      </w:pPr>
      <w:r>
        <w:t xml:space="preserve">Contribution to Theory: Standards as Competitive Moat</w:t>
      </w:r>
    </w:p>
    <w:p>
      <w:pPr>
        <w:pStyle w:val="FirstParagraph"/>
      </w:pPr>
      <w:r>
        <w:t xml:space="preserve">This thesis argues that</w:t>
      </w:r>
      <w:r>
        <w:t xml:space="preserve"> </w:t>
      </w:r>
      <w:r>
        <w:rPr>
          <w:bCs/>
          <w:b/>
        </w:rPr>
        <w:t xml:space="preserve">enterprise product standards</w:t>
      </w:r>
      <w:r>
        <w:t xml:space="preserve"> </w:t>
      </w:r>
      <w:r>
        <w:t xml:space="preserve">— not just the products themselves — constitute a competitive advantage for industrial SaaS companies. While competitors in the BMS market (Siemens Desigo, Schneider EcoStruxure) have larger product catalogs, their pricing is opaque and negotiation-dependent. DWS IQ 6’s published pricing, standardized product cards, and one-click buy architecture represent a structural advantage that compounds over time:</w:t>
      </w:r>
    </w:p>
    <w:p>
      <w:pPr>
        <w:numPr>
          <w:ilvl w:val="0"/>
          <w:numId w:val="1058"/>
        </w:numPr>
        <w:pStyle w:val="Compact"/>
      </w:pPr>
      <w:r>
        <w:rPr>
          <w:bCs/>
          <w:b/>
        </w:rPr>
        <w:t xml:space="preserve">Trust accumulation:</w:t>
      </w:r>
      <w:r>
        <w:t xml:space="preserve"> </w:t>
      </w:r>
      <w:r>
        <w:t xml:space="preserve">Every transparent price interaction builds Nordic trust capital</w:t>
      </w:r>
    </w:p>
    <w:p>
      <w:pPr>
        <w:numPr>
          <w:ilvl w:val="0"/>
          <w:numId w:val="1058"/>
        </w:numPr>
        <w:pStyle w:val="Compact"/>
      </w:pPr>
      <w:r>
        <w:rPr>
          <w:bCs/>
          <w:b/>
        </w:rPr>
        <w:t xml:space="preserve">Operational leverage:</w:t>
      </w:r>
      <w:r>
        <w:t xml:space="preserve"> </w:t>
      </w:r>
      <w:r>
        <w:t xml:space="preserve">Standards reduce the cost of adding new products from weeks to hours</w:t>
      </w:r>
    </w:p>
    <w:p>
      <w:pPr>
        <w:numPr>
          <w:ilvl w:val="0"/>
          <w:numId w:val="1058"/>
        </w:numPr>
        <w:pStyle w:val="Compact"/>
      </w:pPr>
      <w:r>
        <w:rPr>
          <w:bCs/>
          <w:b/>
        </w:rPr>
        <w:t xml:space="preserve">AI-native management:</w:t>
      </w:r>
      <w:r>
        <w:t xml:space="preserve"> </w:t>
      </w:r>
      <w:r>
        <w:t xml:space="preserve">Product catalogs maintained by AI agents following the Product Standard require zero manual synchronization</w:t>
      </w:r>
    </w:p>
    <w:p>
      <w:pPr>
        <w:numPr>
          <w:ilvl w:val="0"/>
          <w:numId w:val="1058"/>
        </w:numPr>
        <w:pStyle w:val="Compact"/>
      </w:pPr>
      <w:r>
        <w:rPr>
          <w:bCs/>
          <w:b/>
        </w:rPr>
        <w:t xml:space="preserve">Regulatory alignment:</w:t>
      </w:r>
      <w:r>
        <w:t xml:space="preserve"> </w:t>
      </w:r>
      <w:r>
        <w:t xml:space="preserve">EU AI Act Article 12 traceability requirements are satisfied by the same version-controlled standards that manage products</w:t>
      </w:r>
    </w:p>
    <w:p>
      <w:pPr>
        <w:pStyle w:val="FirstParagraph"/>
      </w:pPr>
      <w:r>
        <w:t xml:space="preserve">This positions DWS 7 not merely as a product upgrade, but as a</w:t>
      </w:r>
      <w:r>
        <w:t xml:space="preserve"> </w:t>
      </w:r>
      <w:r>
        <w:rPr>
          <w:bCs/>
          <w:b/>
        </w:rPr>
        <w:t xml:space="preserve">standards-native platform</w:t>
      </w:r>
      <w:r>
        <w:t xml:space="preserve"> </w:t>
      </w:r>
      <w:r>
        <w:t xml:space="preserve">where product management, pricing, and compliance are unified in a single documented framework.</w:t>
      </w:r>
    </w:p>
    <w:bookmarkEnd w:id="165"/>
    <w:bookmarkStart w:id="170" w:name="X3897d577b1508d79898d5ee3629088a2f8e4538"/>
    <w:p>
      <w:pPr>
        <w:pStyle w:val="Heading3"/>
      </w:pPr>
      <w:r>
        <w:t xml:space="preserve">10.9 DWS7 Agent Architecture Modernization: From Single-Shot to Agentic</w:t>
      </w:r>
    </w:p>
    <w:p>
      <w:pPr>
        <w:pStyle w:val="FirstParagraph"/>
      </w:pPr>
      <w:r>
        <w:t xml:space="preserve">Version 3.10 documents the critical architectural leap from DWS6’s single-shot LLM pattern to a true agentic system. This work, performed in a single Claude Code session (24.02.2026), addresses six architectural deficiencies that separated DWS6 from production-grade agent platforms.</w:t>
      </w:r>
    </w:p>
    <w:bookmarkStart w:id="166" w:name="the-six-critical-fixes"/>
    <w:p>
      <w:pPr>
        <w:pStyle w:val="Heading4"/>
      </w:pPr>
      <w:r>
        <w:t xml:space="preserve">10.9.1 The Six Critical Fixes</w:t>
      </w:r>
    </w:p>
    <w:tbl>
      <w:tblPr>
        <w:tblStyle w:val="Table"/>
        <w:tblW w:type="pct" w:w="5000"/>
        <w:tblLook w:firstRow="1" w:lastRow="0" w:firstColumn="0" w:lastColumn="0" w:noHBand="0" w:noVBand="0" w:val="0020"/>
        <w:jc w:val="start"/>
      </w:tblPr>
      <w:tblGrid>
        <w:gridCol w:w="157"/>
        <w:gridCol w:w="1888"/>
        <w:gridCol w:w="3094"/>
        <w:gridCol w:w="2779"/>
      </w:tblGrid>
      <w:tr>
        <w:trPr>
          <w:tblHeader w:val="true"/>
        </w:trPr>
        <w:tc>
          <w:tcPr/>
          <w:p>
            <w:pPr>
              <w:pStyle w:val="Compact"/>
              <w:jc w:val="left"/>
            </w:pPr>
            <w:r>
              <w:t xml:space="preserve">#</w:t>
            </w:r>
          </w:p>
        </w:tc>
        <w:tc>
          <w:tcPr/>
          <w:p>
            <w:pPr>
              <w:pStyle w:val="Compact"/>
              <w:jc w:val="left"/>
            </w:pPr>
            <w:r>
              <w:t xml:space="preserve">Problem (DWS6)</w:t>
            </w:r>
          </w:p>
        </w:tc>
        <w:tc>
          <w:tcPr/>
          <w:p>
            <w:pPr>
              <w:pStyle w:val="Compact"/>
              <w:jc w:val="left"/>
            </w:pPr>
            <w:r>
              <w:t xml:space="preserve">Fix (DWS7)</w:t>
            </w:r>
          </w:p>
        </w:tc>
        <w:tc>
          <w:tcPr/>
          <w:p>
            <w:pPr>
              <w:pStyle w:val="Compact"/>
              <w:jc w:val="left"/>
            </w:pPr>
            <w:r>
              <w:t xml:space="preserve">Implementation</w:t>
            </w:r>
          </w:p>
        </w:tc>
      </w:tr>
      <w:tr>
        <w:tc>
          <w:tcPr/>
          <w:p>
            <w:pPr>
              <w:pStyle w:val="Compact"/>
              <w:jc w:val="left"/>
            </w:pPr>
            <w:r>
              <w:t xml:space="preserve">1</w:t>
            </w:r>
          </w:p>
        </w:tc>
        <w:tc>
          <w:tcPr/>
          <w:p>
            <w:pPr>
              <w:pStyle w:val="Compact"/>
              <w:jc w:val="left"/>
            </w:pPr>
            <w:r>
              <w:t xml:space="preserve">Single-shot LLM calls — no iteration</w:t>
            </w:r>
          </w:p>
        </w:tc>
        <w:tc>
          <w:tcPr/>
          <w:p>
            <w:pPr>
              <w:pStyle w:val="Compact"/>
              <w:jc w:val="left"/>
            </w:pPr>
            <w:r>
              <w:t xml:space="preserve">Observe-think-act agentic loop with configurable iterations</w:t>
            </w:r>
          </w:p>
        </w:tc>
        <w:tc>
          <w:tcPr/>
          <w:p>
            <w:pPr>
              <w:pStyle w:val="Compact"/>
              <w:jc w:val="left"/>
            </w:pPr>
            <w:r>
              <w:rPr>
                <w:rStyle w:val="VerbatimChar"/>
              </w:rPr>
              <w:t xml:space="preserve">base.agent.ts:runLoop()</w:t>
            </w:r>
            <w:r>
              <w:t xml:space="preserve"> </w:t>
            </w:r>
            <w:r>
              <w:t xml:space="preserve">with</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No tool use / function calling</w:t>
            </w:r>
          </w:p>
        </w:tc>
        <w:tc>
          <w:tcPr/>
          <w:p>
            <w:pPr>
              <w:pStyle w:val="Compact"/>
              <w:jc w:val="left"/>
            </w:pPr>
            <w:r>
              <w:t xml:space="preserve">Full tool runtime with JSON Schema definitions</w:t>
            </w:r>
          </w:p>
        </w:tc>
        <w:tc>
          <w:tcPr/>
          <w:p>
            <w:pPr>
              <w:pStyle w:val="Compact"/>
              <w:jc w:val="left"/>
            </w:pPr>
            <w:r>
              <w:rPr>
                <w:rStyle w:val="VerbatimChar"/>
              </w:rPr>
              <w:t xml:space="preserve">tools.ts</w:t>
            </w:r>
            <w:r>
              <w:t xml:space="preserve"> </w:t>
            </w:r>
            <w:r>
              <w:t xml:space="preserve">— 4 built-in tools, extensible registry</w:t>
            </w:r>
          </w:p>
        </w:tc>
      </w:tr>
      <w:tr>
        <w:tc>
          <w:tcPr/>
          <w:p>
            <w:pPr>
              <w:pStyle w:val="Compact"/>
              <w:jc w:val="left"/>
            </w:pPr>
            <w:r>
              <w:t xml:space="preserve">3</w:t>
            </w:r>
          </w:p>
        </w:tc>
        <w:tc>
          <w:tcPr/>
          <w:p>
            <w:pPr>
              <w:pStyle w:val="Compact"/>
              <w:jc w:val="left"/>
            </w:pPr>
            <w:r>
              <w:t xml:space="preserve">Hardcoded Groq HTTP fetch</w:t>
            </w:r>
          </w:p>
        </w:tc>
        <w:tc>
          <w:tcPr/>
          <w:p>
            <w:pPr>
              <w:pStyle w:val="Compact"/>
              <w:jc w:val="left"/>
            </w:pPr>
            <w:r>
              <w:t xml:space="preserve">Multi-provider LLM client (Anthropic &gt; Groq &gt; OpenAI)</w:t>
            </w:r>
          </w:p>
        </w:tc>
        <w:tc>
          <w:tcPr/>
          <w:p>
            <w:pPr>
              <w:pStyle w:val="Compact"/>
              <w:jc w:val="left"/>
            </w:pPr>
            <w:r>
              <w:rPr>
                <w:rStyle w:val="VerbatimChar"/>
              </w:rPr>
              <w:t xml:space="preserve">llm-client.ts</w:t>
            </w:r>
            <w:r>
              <w:t xml:space="preserve"> </w:t>
            </w:r>
            <w:r>
              <w:t xml:space="preserve">— auto-detects from env vars</w:t>
            </w:r>
          </w:p>
        </w:tc>
      </w:tr>
      <w:tr>
        <w:tc>
          <w:tcPr/>
          <w:p>
            <w:pPr>
              <w:pStyle w:val="Compact"/>
              <w:jc w:val="left"/>
            </w:pPr>
            <w:r>
              <w:t xml:space="preserve">4</w:t>
            </w:r>
          </w:p>
        </w:tc>
        <w:tc>
          <w:tcPr/>
          <w:p>
            <w:pPr>
              <w:pStyle w:val="Compact"/>
              <w:jc w:val="left"/>
            </w:pPr>
            <w:r>
              <w:t xml:space="preserve">No agent-to-agent communication</w:t>
            </w:r>
          </w:p>
        </w:tc>
        <w:tc>
          <w:tcPr/>
          <w:p>
            <w:pPr>
              <w:pStyle w:val="Compact"/>
              <w:jc w:val="left"/>
            </w:pPr>
            <w:r>
              <w:t xml:space="preserve">Delegation with depth tracking (max 5), discovery API</w:t>
            </w:r>
          </w:p>
        </w:tc>
        <w:tc>
          <w:tcPr/>
          <w:p>
            <w:pPr>
              <w:pStyle w:val="Compact"/>
              <w:jc w:val="left"/>
            </w:pPr>
            <w:r>
              <w:rPr>
                <w:rStyle w:val="VerbatimChar"/>
              </w:rPr>
              <w:t xml:space="preserve">delegate_to_agent</w:t>
            </w:r>
            <w:r>
              <w:t xml:space="preserve"> </w:t>
            </w:r>
            <w:r>
              <w:t xml:space="preserve">tool,</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was vapor</w:t>
            </w:r>
          </w:p>
        </w:tc>
        <w:tc>
          <w:tcPr/>
          <w:p>
            <w:pPr>
              <w:pStyle w:val="Compact"/>
              <w:jc w:val="left"/>
            </w:pPr>
            <w:r>
              <w:t xml:space="preserve">MCP JSON-RPC 2.0 server exposing all agents as tools</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 </w:t>
            </w:r>
            <w:r>
              <w:t xml:space="preserve">endpoint</w:t>
            </w:r>
          </w:p>
        </w:tc>
      </w:tr>
      <w:tr>
        <w:tc>
          <w:tcPr/>
          <w:p>
            <w:pPr>
              <w:pStyle w:val="Compact"/>
              <w:jc w:val="left"/>
            </w:pPr>
            <w:r>
              <w:t xml:space="preserve">6</w:t>
            </w:r>
          </w:p>
        </w:tc>
        <w:tc>
          <w:tcPr/>
          <w:p>
            <w:pPr>
              <w:pStyle w:val="Compact"/>
              <w:jc w:val="left"/>
            </w:pPr>
            <w:r>
              <w:t xml:space="preserve">Express monolith only</w:t>
            </w:r>
          </w:p>
        </w:tc>
        <w:tc>
          <w:tcPr/>
          <w:p>
            <w:pPr>
              <w:pStyle w:val="Compact"/>
              <w:jc w:val="left"/>
            </w:pPr>
            <w:r>
              <w:t xml:space="preserve">Event-driven architecture with pub/sub event bus</w:t>
            </w:r>
          </w:p>
        </w:tc>
        <w:tc>
          <w:tcPr/>
          <w:p>
            <w:pPr>
              <w:pStyle w:val="Compact"/>
              <w:jc w:val="left"/>
            </w:pPr>
            <w:r>
              <w:rPr>
                <w:rStyle w:val="VerbatimChar"/>
              </w:rPr>
              <w:t xml:space="preserve">event-bus.ts</w:t>
            </w:r>
            <w:r>
              <w:t xml:space="preserve"> </w:t>
            </w:r>
            <w:r>
              <w:t xml:space="preserve">— pattern subscriptions, Redis Streams</w:t>
            </w:r>
          </w:p>
        </w:tc>
      </w:tr>
    </w:tbl>
    <w:p>
      <w:pPr>
        <w:pStyle w:val="BodyText"/>
      </w:pPr>
      <w:r>
        <w:rPr>
          <w:bCs/>
          <w:b/>
        </w:rPr>
        <w:t xml:space="preserve">Backward compatibility:</w:t>
      </w:r>
      <w:r>
        <w:t xml:space="preserve"> </w:t>
      </w:r>
      <w:r>
        <w:t xml:space="preserve">All 18 existing agents using</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continue to work unchanged. The</w:t>
      </w:r>
      <w:r>
        <w:t xml:space="preserve"> </w:t>
      </w:r>
      <w:r>
        <w:rPr>
          <w:rStyle w:val="VerbatimChar"/>
        </w:rPr>
        <w:t xml:space="preserve">callLLM()</w:t>
      </w:r>
      <w:r>
        <w:t xml:space="preserve"> </w:t>
      </w:r>
      <w:r>
        <w:t xml:space="preserve">method now routes through the multi-provider client instead of raw Groq fetch.</w:t>
      </w:r>
    </w:p>
    <w:bookmarkEnd w:id="166"/>
    <w:bookmarkStart w:id="167" w:name="build-for-agents-cli-mcp-skills"/>
    <w:p>
      <w:pPr>
        <w:pStyle w:val="Heading4"/>
      </w:pPr>
      <w:r>
        <w:t xml:space="preserve">10.9.2 Build for Agents: CLI, MCP, Skills</w:t>
      </w:r>
    </w:p>
    <w:p>
      <w:pPr>
        <w:pStyle w:val="FirstParagraph"/>
      </w:pPr>
      <w:r>
        <w:t xml:space="preserve">A parallel insight emerged during implementation:</w:t>
      </w:r>
      <w:r>
        <w:t xml:space="preserve"> </w:t>
      </w:r>
      <w:r>
        <w:rPr>
          <w:bCs/>
          <w:b/>
        </w:rPr>
        <w:t xml:space="preserve">the primary consumers of DWS IQ in 2026 are AI agents, not humans clicking buttons.</w:t>
      </w:r>
      <w:r>
        <w:t xml:space="preserve"> </w:t>
      </w:r>
      <w:r>
        <w:t xml:space="preserve">This led to the</w:t>
      </w:r>
      <w:r>
        <w:t xml:space="preserve"> </w:t>
      </w:r>
      <w:r>
        <w:t xml:space="preserve">“</w:t>
      </w:r>
      <w:r>
        <w:t xml:space="preserve">Build for Agents</w:t>
      </w:r>
      <w:r>
        <w:t xml:space="preserve">”</w:t>
      </w:r>
      <w:r>
        <w:t xml:space="preserve"> </w:t>
      </w:r>
      <w:r>
        <w:t xml:space="preserve">principle:</w:t>
      </w:r>
    </w:p>
    <w:tbl>
      <w:tblPr>
        <w:tblStyle w:val="Table"/>
        <w:tblW w:type="pct" w:w="5000"/>
        <w:tblLook w:firstRow="1" w:lastRow="0" w:firstColumn="0" w:lastColumn="0" w:noHBand="0" w:noVBand="0" w:val="0020"/>
        <w:jc w:val="start"/>
      </w:tblPr>
      <w:tblGrid>
        <w:gridCol w:w="1464"/>
        <w:gridCol w:w="3460"/>
        <w:gridCol w:w="2994"/>
      </w:tblGrid>
      <w:tr>
        <w:trPr>
          <w:tblHeader w:val="true"/>
        </w:trPr>
        <w:tc>
          <w:tcPr/>
          <w:p>
            <w:pPr>
              <w:pStyle w:val="Compact"/>
              <w:jc w:val="left"/>
            </w:pPr>
            <w:r>
              <w:t xml:space="preserve">Surface</w:t>
            </w:r>
          </w:p>
        </w:tc>
        <w:tc>
          <w:tcPr/>
          <w:p>
            <w:pPr>
              <w:pStyle w:val="Compact"/>
              <w:jc w:val="left"/>
            </w:pPr>
            <w:r>
              <w:t xml:space="preserve">Implementation</w:t>
            </w:r>
          </w:p>
        </w:tc>
        <w:tc>
          <w:tcPr/>
          <w:p>
            <w:pPr>
              <w:pStyle w:val="Compact"/>
              <w:jc w:val="left"/>
            </w:pPr>
            <w:r>
              <w:t xml:space="preserve">Purpose</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zero-dependency, JSON-only output</w:t>
            </w:r>
          </w:p>
        </w:tc>
        <w:tc>
          <w:tcPr/>
          <w:p>
            <w:pPr>
              <w:pStyle w:val="Compact"/>
              <w:jc w:val="left"/>
            </w:pPr>
            <w:r>
              <w:t xml:space="preserve">Agents run commands, pipe output</w:t>
            </w:r>
          </w:p>
        </w:tc>
      </w:tr>
      <w:tr>
        <w:tc>
          <w:tcPr/>
          <w:p>
            <w:pPr>
              <w:pStyle w:val="Compact"/>
              <w:jc w:val="left"/>
            </w:pPr>
            <w:r>
              <w:rPr>
                <w:bCs/>
                <w:b/>
              </w:rPr>
              <w:t xml:space="preserve">MCP Server</w:t>
            </w:r>
          </w:p>
        </w:tc>
        <w:tc>
          <w:tcPr/>
          <w:p>
            <w:pPr>
              <w:pStyle w:val="Compact"/>
              <w:jc w:val="left"/>
            </w:pPr>
            <w:r>
              <w:rPr>
                <w:rStyle w:val="VerbatimChar"/>
              </w:rPr>
              <w:t xml:space="preserve">/mcp</w:t>
            </w:r>
            <w:r>
              <w:t xml:space="preserve"> </w:t>
            </w:r>
            <w:r>
              <w:t xml:space="preserve">endpoint, JSON-RPC 2.0</w:t>
            </w:r>
          </w:p>
        </w:tc>
        <w:tc>
          <w:tcPr/>
          <w:p>
            <w:pPr>
              <w:pStyle w:val="Compact"/>
              <w:jc w:val="left"/>
            </w:pPr>
            <w:r>
              <w:t xml:space="preserve">Claude Code / Cursor discover and call agents</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skills)</w:t>
            </w:r>
          </w:p>
        </w:tc>
        <w:tc>
          <w:tcPr/>
          <w:p>
            <w:pPr>
              <w:pStyle w:val="Compact"/>
              <w:jc w:val="left"/>
            </w:pPr>
            <w:r>
              <w:t xml:space="preserve">Natural language → agent execution</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(existing + new endpoints)</w:t>
            </w:r>
          </w:p>
        </w:tc>
        <w:tc>
          <w:tcPr/>
          <w:p>
            <w:pPr>
              <w:pStyle w:val="Compact"/>
              <w:jc w:val="left"/>
            </w:pPr>
            <w:r>
              <w:t xml:space="preserve">Traditional integration</w:t>
            </w:r>
          </w:p>
        </w:tc>
      </w:tr>
      <w:tr>
        <w:tc>
          <w:tcPr/>
          <w:p>
            <w:pPr>
              <w:pStyle w:val="Compact"/>
              <w:jc w:val="left"/>
            </w:pPr>
            <w:r>
              <w:rPr>
                <w:bCs/>
                <w:b/>
              </w:rPr>
              <w:t xml:space="preserve">Event Bus</w:t>
            </w:r>
          </w:p>
        </w:tc>
        <w:tc>
          <w:tcPr/>
          <w:p>
            <w:pPr>
              <w:pStyle w:val="Compact"/>
              <w:jc w:val="left"/>
            </w:pPr>
            <w:r>
              <w:t xml:space="preserve">Pattern-based pub/sub + SSE streaming</w:t>
            </w:r>
          </w:p>
        </w:tc>
        <w:tc>
          <w:tcPr/>
          <w:p>
            <w:pPr>
              <w:pStyle w:val="Compact"/>
              <w:jc w:val="left"/>
            </w:pPr>
            <w:r>
              <w:t xml:space="preserve">Real-time agent coordination</w:t>
            </w:r>
          </w:p>
        </w:tc>
      </w:tr>
    </w:tbl>
    <w:p>
      <w:pPr>
        <w:pStyle w:val="BodyText"/>
      </w:pPr>
      <w:r>
        <w:rPr>
          <w:bCs/>
          <w:b/>
        </w:rPr>
        <w:t xml:space="preserve">Key CLI commands:</w:t>
      </w:r>
    </w:p>
    <w:p>
      <w:pPr>
        <w:pStyle w:val="SourceCode"/>
      </w:pPr>
      <w:r>
        <w:rPr>
          <w:rStyle w:val="VerbatimChar"/>
        </w:rPr>
        <w:t xml:space="preserve">dws agents                              # List all agents (JSON)</w:t>
      </w:r>
      <w:r>
        <w:br/>
      </w:r>
      <w:r>
        <w:rPr>
          <w:rStyle w:val="VerbatimChar"/>
        </w:rPr>
        <w:t xml:space="preserve">dws run compliance --input '{"reg":"CSRD"}'  # Execute agent</w:t>
      </w:r>
      <w:r>
        <w:br/>
      </w:r>
      <w:r>
        <w:rPr>
          <w:rStyle w:val="VerbatimChar"/>
        </w:rPr>
        <w:t xml:space="preserve">dws discover carbon                      # Find agents by capability</w:t>
      </w:r>
      <w:r>
        <w:br/>
      </w:r>
      <w:r>
        <w:rPr>
          <w:rStyle w:val="VerbatimChar"/>
        </w:rPr>
        <w:t xml:space="preserve">dws workflow compliance-assessment       # Multi-agent workflow</w:t>
      </w:r>
    </w:p>
    <w:bookmarkEnd w:id="167"/>
    <w:bookmarkStart w:id="168" w:name="Xf75d4621e92dda4e0d054559ed84a4ef0c794d9"/>
    <w:p>
      <w:pPr>
        <w:pStyle w:val="Heading4"/>
      </w:pPr>
      <w:r>
        <w:t xml:space="preserve">10.9.3 EU AI Act Article 12 Compliance via Loop Logging</w:t>
      </w:r>
    </w:p>
    <w:p>
      <w:pPr>
        <w:pStyle w:val="FirstParagraph"/>
      </w:pPr>
      <w:r>
        <w:t xml:space="preserve">The agentic loop architecture inherently satisfies Article 12’s automatic logging requirement. Each loop iteration records:</w:t>
      </w:r>
    </w:p>
    <w:p>
      <w:pPr>
        <w:numPr>
          <w:ilvl w:val="0"/>
          <w:numId w:val="1059"/>
        </w:numPr>
        <w:pStyle w:val="Compact"/>
      </w:pPr>
      <w:r>
        <w:rPr>
          <w:bCs/>
          <w:b/>
        </w:rPr>
        <w:t xml:space="preserve">Observation:</w:t>
      </w:r>
      <w:r>
        <w:t xml:space="preserve"> </w:t>
      </w:r>
      <w:r>
        <w:t xml:space="preserve">What the agent perceived</w:t>
      </w:r>
    </w:p>
    <w:p>
      <w:pPr>
        <w:numPr>
          <w:ilvl w:val="0"/>
          <w:numId w:val="1059"/>
        </w:numPr>
        <w:pStyle w:val="Compact"/>
      </w:pPr>
      <w:r>
        <w:rPr>
          <w:bCs/>
          <w:b/>
        </w:rPr>
        <w:t xml:space="preserve">Thought:</w:t>
      </w:r>
      <w:r>
        <w:t xml:space="preserve"> </w:t>
      </w:r>
      <w:r>
        <w:t xml:space="preserve">The LLM’s reasoning (token-level)</w:t>
      </w:r>
    </w:p>
    <w:p>
      <w:pPr>
        <w:numPr>
          <w:ilvl w:val="0"/>
          <w:numId w:val="1059"/>
        </w:numPr>
        <w:pStyle w:val="Compact"/>
      </w:pPr>
      <w:r>
        <w:rPr>
          <w:bCs/>
          <w:b/>
        </w:rPr>
        <w:t xml:space="preserve">Actions:</w:t>
      </w:r>
      <w:r>
        <w:t xml:space="preserve"> </w:t>
      </w:r>
      <w:r>
        <w:t xml:space="preserve">Tool calls made (with arguments)</w:t>
      </w:r>
    </w:p>
    <w:p>
      <w:pPr>
        <w:numPr>
          <w:ilvl w:val="0"/>
          <w:numId w:val="1059"/>
        </w:numPr>
        <w:pStyle w:val="Compact"/>
      </w:pPr>
      <w:r>
        <w:rPr>
          <w:bCs/>
          <w:b/>
        </w:rPr>
        <w:t xml:space="preserve">Results:</w:t>
      </w:r>
      <w:r>
        <w:t xml:space="preserve"> </w:t>
      </w:r>
      <w:r>
        <w:t xml:space="preserve">Tool outputs returned</w:t>
      </w:r>
    </w:p>
    <w:p>
      <w:pPr>
        <w:numPr>
          <w:ilvl w:val="0"/>
          <w:numId w:val="1059"/>
        </w:numPr>
        <w:pStyle w:val="Compact"/>
      </w:pPr>
      <w:r>
        <w:rPr>
          <w:bCs/>
          <w:b/>
        </w:rPr>
        <w:t xml:space="preserve">Timestamp and duration:</w:t>
      </w:r>
      <w:r>
        <w:t xml:space="preserve"> </w:t>
      </w:r>
      <w:r>
        <w:t xml:space="preserve">Per-iteration timing</w:t>
      </w:r>
    </w:p>
    <w:p>
      <w:pPr>
        <w:pStyle w:val="FirstParagraph"/>
      </w:pPr>
      <w:r>
        <w:t xml:space="preserve">These are persisted to the</w:t>
      </w:r>
      <w:r>
        <w:t xml:space="preserve"> </w:t>
      </w:r>
      <w:r>
        <w:rPr>
          <w:rStyle w:val="VerbatimChar"/>
        </w:rPr>
        <w:t xml:space="preserve">agent_loop_iterations</w:t>
      </w:r>
      <w:r>
        <w:t xml:space="preserve"> </w:t>
      </w:r>
      <w:r>
        <w:t xml:space="preserve">Supabase table, creating a complete reasoning lineage from input to output — a requirement that single-shot architectures cannot fulfill.</w:t>
      </w:r>
    </w:p>
    <w:bookmarkEnd w:id="168"/>
    <w:bookmarkStart w:id="169" w:name="research-contribution-2"/>
    <w:p>
      <w:pPr>
        <w:pStyle w:val="Heading4"/>
      </w:pPr>
      <w:r>
        <w:t xml:space="preserve">10.9.4 Research Contribution</w:t>
      </w:r>
    </w:p>
    <w:p>
      <w:pPr>
        <w:pStyle w:val="FirstParagraph"/>
      </w:pPr>
      <w:r>
        <w:t xml:space="preserve">This modernization validates two thesis hypotheses:</w:t>
      </w:r>
    </w:p>
    <w:p>
      <w:pPr>
        <w:numPr>
          <w:ilvl w:val="0"/>
          <w:numId w:val="1060"/>
        </w:numPr>
      </w:pPr>
      <w:r>
        <w:rPr>
          <w:bCs/>
          <w:b/>
        </w:rPr>
        <w:t xml:space="preserve">Solution Factory replicability (Section 4.1):</w:t>
      </w:r>
      <w:r>
        <w:t xml:space="preserve"> </w:t>
      </w:r>
      <w:r>
        <w:t xml:space="preserve">The entire six-fix modernization was designed, implemented, and documented in a single AI-assisted session — demonstrating that the Firehorse operating model scales to architectural refactoring, not just product catalog management.</w:t>
      </w:r>
    </w:p>
    <w:p>
      <w:pPr>
        <w:numPr>
          <w:ilvl w:val="0"/>
          <w:numId w:val="1060"/>
        </w:numPr>
      </w:pPr>
      <w:r>
        <w:rPr>
          <w:bCs/>
          <w:b/>
        </w:rPr>
        <w:t xml:space="preserve">Lifetime Scope Signals evolution (Section 2.5.2):</w:t>
      </w:r>
      <w:r>
        <w:t xml:space="preserve"> </w:t>
      </w:r>
      <w:r>
        <w:t xml:space="preserve">The event bus (</w:t>
      </w:r>
      <w:r>
        <w:rPr>
          <w:rStyle w:val="VerbatimChar"/>
        </w:rPr>
        <w:t xml:space="preserve">event-bus.ts</w:t>
      </w:r>
      <w:r>
        <w:t xml:space="preserve">) is the production implementation of the theoretical signal emission protocol. Agents emit structured events (</w:t>
      </w:r>
      <w:r>
        <w:rPr>
          <w:rStyle w:val="VerbatimChar"/>
        </w:rPr>
        <w:t xml:space="preserve">agent.execution_complete</w:t>
      </w:r>
      <w:r>
        <w:t xml:space="preserve">,</w:t>
      </w:r>
      <w:r>
        <w:t xml:space="preserve"> </w:t>
      </w:r>
      <w:r>
        <w:rPr>
          <w:rStyle w:val="VerbatimChar"/>
        </w:rPr>
        <w:t xml:space="preserve">compliance.check_passed</w:t>
      </w:r>
      <w:r>
        <w:t xml:space="preserve">) that other agents subscribe to — exactly the</w:t>
      </w:r>
      <w:r>
        <w:t xml:space="preserve"> </w:t>
      </w:r>
      <w:r>
        <w:t xml:space="preserve">“</w:t>
      </w:r>
      <w:r>
        <w:t xml:space="preserve">declarative signal emission</w:t>
      </w:r>
      <w:r>
        <w:t xml:space="preserve">”</w:t>
      </w:r>
      <w:r>
        <w:t xml:space="preserve"> </w:t>
      </w:r>
      <w:r>
        <w:t xml:space="preserve">pattern described in the V1.0 Agent Fleet specification.</w:t>
      </w:r>
    </w:p>
    <w:p>
      <w:r>
        <w:pict>
          <v:rect style="width:0;height:1.5pt" o:hralign="center" o:hrstd="t" o:hr="t"/>
        </w:pict>
      </w:r>
    </w:p>
    <w:bookmarkEnd w:id="169"/>
    <w:bookmarkEnd w:id="170"/>
    <w:bookmarkEnd w:id="171"/>
    <w:bookmarkStart w:id="180" w:name="Xe5095942b829afa9809ccb9df6d03fac1df0179"/>
    <w:p>
      <w:pPr>
        <w:pStyle w:val="Heading2"/>
      </w:pPr>
      <w:r>
        <w:t xml:space="preserve">10.10 Agent Foundry Stage 1.5: OpenSandbox on Acer Veriton GN100</w:t>
      </w:r>
    </w:p>
    <w:p>
      <w:pPr>
        <w:pStyle w:val="FirstParagraph"/>
      </w:pPr>
      <w:r>
        <w:rPr>
          <w:iCs/>
          <w:i/>
        </w:rPr>
        <w:t xml:space="preserve">Session: claude/sandbox-agents-opensandbox-HatfC | Date: 01.03.2026</w:t>
      </w:r>
    </w:p>
    <w:bookmarkStart w:id="172" w:name="background-1"/>
    <w:p>
      <w:pPr>
        <w:pStyle w:val="Heading3"/>
      </w:pPr>
      <w:r>
        <w:t xml:space="preserve">10.10.1 Background</w:t>
      </w:r>
    </w:p>
    <w:p>
      <w:pPr>
        <w:pStyle w:val="FirstParagraph"/>
      </w:pPr>
      <w:r>
        <w:t xml:space="preserve">The DWS IQ 6 Agent Foundry required an intermediate isolation layer between Stage 1 (Anthropic SDK sandbox, demo-grade) and Stage 2 (Cloud Run ephemeral containers, paid multi-tenant). Stage 1.5 fills this gap with</w:t>
      </w:r>
      <w:r>
        <w:t xml:space="preserve"> </w:t>
      </w:r>
      <w:r>
        <w:rPr>
          <w:bCs/>
          <w:b/>
        </w:rPr>
        <w:t xml:space="preserve">OpenSandbox</w:t>
      </w:r>
      <w:r>
        <w:t xml:space="preserve"> </w:t>
      </w:r>
      <w:r>
        <w:t xml:space="preserve">(https://github.com/alibaba/OpenSandbox) running on the</w:t>
      </w:r>
      <w:r>
        <w:t xml:space="preserve"> </w:t>
      </w:r>
      <w:r>
        <w:rPr>
          <w:bCs/>
          <w:b/>
        </w:rPr>
        <w:t xml:space="preserve">Acer Veriton GN100</w:t>
      </w:r>
      <w:r>
        <w:t xml:space="preserve"> </w:t>
      </w:r>
      <w:r>
        <w:t xml:space="preserve">edge node (120 GiB RAM, 20 cores, Helsinki Lab).</w:t>
      </w:r>
    </w:p>
    <w:bookmarkEnd w:id="172"/>
    <w:bookmarkStart w:id="173" w:name="stage-progression"/>
    <w:p>
      <w:pPr>
        <w:pStyle w:val="Heading3"/>
      </w:pPr>
      <w:r>
        <w:t xml:space="preserve">10.10.2 Stage Progression</w:t>
      </w:r>
    </w:p>
    <w:tbl>
      <w:tblPr>
        <w:tblStyle w:val="Table"/>
        <w:tblW w:type="pct" w:w="5000"/>
        <w:tblLook w:firstRow="1" w:lastRow="0" w:firstColumn="0" w:lastColumn="0" w:noHBand="0" w:noVBand="0" w:val="0020"/>
        <w:jc w:val="start"/>
      </w:tblPr>
      <w:tblGrid>
        <w:gridCol w:w="1409"/>
        <w:gridCol w:w="3154"/>
        <w:gridCol w:w="2282"/>
        <w:gridCol w:w="1073"/>
      </w:tblGrid>
      <w:tr>
        <w:trPr>
          <w:tblHeader w:val="true"/>
        </w:trPr>
        <w:tc>
          <w:tcPr/>
          <w:p>
            <w:pPr>
              <w:pStyle w:val="Compact"/>
              <w:jc w:val="left"/>
            </w:pPr>
            <w:r>
              <w:t xml:space="preserve">Stage</w:t>
            </w:r>
          </w:p>
        </w:tc>
        <w:tc>
          <w:tcPr/>
          <w:p>
            <w:pPr>
              <w:pStyle w:val="Compact"/>
              <w:jc w:val="left"/>
            </w:pPr>
            <w:r>
              <w:t xml:space="preserve">Isolation Method</w:t>
            </w:r>
          </w:p>
        </w:tc>
        <w:tc>
          <w:tcPr/>
          <w:p>
            <w:pPr>
              <w:pStyle w:val="Compact"/>
              <w:jc w:val="left"/>
            </w:pPr>
            <w:r>
              <w:t xml:space="preserve">Best For</w:t>
            </w:r>
          </w:p>
        </w:tc>
        <w:tc>
          <w:tcPr/>
          <w:p>
            <w:pPr>
              <w:pStyle w:val="Compact"/>
              <w:jc w:val="left"/>
            </w:pPr>
            <w:r>
              <w:t xml:space="preserve">Cost</w:t>
            </w:r>
          </w:p>
        </w:tc>
      </w:tr>
      <w:tr>
        <w:tc>
          <w:tcPr/>
          <w:p>
            <w:pPr>
              <w:pStyle w:val="Compact"/>
              <w:jc w:val="left"/>
            </w:pPr>
            <w:r>
              <w:t xml:space="preserve">1 — SDK Sandbox</w:t>
            </w:r>
          </w:p>
        </w:tc>
        <w:tc>
          <w:tcPr/>
          <w:p>
            <w:pPr>
              <w:pStyle w:val="Compact"/>
              <w:jc w:val="left"/>
            </w:pPr>
            <w:r>
              <w:t xml:space="preserve">Anthropic Agent SDK (bubblewrap/seatbelt)</w:t>
            </w:r>
          </w:p>
        </w:tc>
        <w:tc>
          <w:tcPr/>
          <w:p>
            <w:pPr>
              <w:pStyle w:val="Compact"/>
              <w:jc w:val="left"/>
            </w:pPr>
            <w:r>
              <w:t xml:space="preserve">Demo, single-tenant pilots</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on Acer Veriton GN100 (Helsinki Lab)</w:t>
            </w:r>
          </w:p>
        </w:tc>
        <w:tc>
          <w:tcPr/>
          <w:p>
            <w:pPr>
              <w:pStyle w:val="Compact"/>
              <w:jc w:val="left"/>
            </w:pPr>
            <w:r>
              <w:rPr>
                <w:bCs/>
                <w:b/>
              </w:rPr>
              <w:t xml:space="preserve">EU air-gapped, internal pilots</w:t>
            </w:r>
          </w:p>
        </w:tc>
        <w:tc>
          <w:tcPr/>
          <w:p>
            <w:pPr>
              <w:pStyle w:val="Compact"/>
              <w:jc w:val="left"/>
            </w:pPr>
            <w:r>
              <w:rPr>
                <w:bCs/>
                <w:b/>
              </w:rPr>
              <w:t xml:space="preserve">€0 (HW only)</w:t>
            </w:r>
          </w:p>
        </w:tc>
      </w:tr>
      <w:tr>
        <w:tc>
          <w:tcPr/>
          <w:p>
            <w:pPr>
              <w:pStyle w:val="Compact"/>
              <w:jc w:val="left"/>
            </w:pPr>
            <w:r>
              <w:t xml:space="preserve">2 — Cloud Run</w:t>
            </w:r>
          </w:p>
        </w:tc>
        <w:tc>
          <w:tcPr/>
          <w:p>
            <w:pPr>
              <w:pStyle w:val="Compact"/>
              <w:jc w:val="left"/>
            </w:pPr>
            <w:r>
              <w:t xml:space="preserve">Ephemeral containers (europe-north1)</w:t>
            </w:r>
          </w:p>
        </w:tc>
        <w:tc>
          <w:tcPr/>
          <w:p>
            <w:pPr>
              <w:pStyle w:val="Compact"/>
              <w:jc w:val="left"/>
            </w:pPr>
            <w:r>
              <w:t xml:space="preserve">Paid multi-tenant</w:t>
            </w:r>
          </w:p>
        </w:tc>
        <w:tc>
          <w:tcPr/>
          <w:p>
            <w:pPr>
              <w:pStyle w:val="Compact"/>
              <w:jc w:val="left"/>
            </w:pPr>
            <w:r>
              <w:t xml:space="preserve">~€20-50/mo</w:t>
            </w:r>
          </w:p>
        </w:tc>
      </w:tr>
      <w:tr>
        <w:tc>
          <w:tcPr/>
          <w:p>
            <w:pPr>
              <w:pStyle w:val="Compact"/>
              <w:jc w:val="left"/>
            </w:pPr>
            <w:r>
              <w:t xml:space="preserve">3 — Persistent</w:t>
            </w:r>
          </w:p>
        </w:tc>
        <w:tc>
          <w:tcPr/>
          <w:p>
            <w:pPr>
              <w:pStyle w:val="Compact"/>
              <w:jc w:val="left"/>
            </w:pPr>
            <w:r>
              <w:t xml:space="preserve">gVisor/Firecracker per tenant</w:t>
            </w:r>
          </w:p>
        </w:tc>
        <w:tc>
          <w:tcPr/>
          <w:p>
            <w:pPr>
              <w:pStyle w:val="Compact"/>
              <w:jc w:val="left"/>
            </w:pPr>
            <w:r>
              <w:t xml:space="preserve">Scale (€50k+ MRR)</w:t>
            </w:r>
          </w:p>
        </w:tc>
        <w:tc>
          <w:tcPr/>
          <w:p>
            <w:pPr>
              <w:pStyle w:val="Compact"/>
              <w:jc w:val="left"/>
            </w:pPr>
            <w:r>
              <w:t xml:space="preserve">€200+/mo</w:t>
            </w:r>
          </w:p>
        </w:tc>
      </w:tr>
    </w:tbl>
    <w:p>
      <w:pPr>
        <w:pStyle w:val="BodyText"/>
      </w:pPr>
      <w:r>
        <w:t xml:space="preserve">Activation:</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chitecture"/>
    <w:p>
      <w:pPr>
        <w:pStyle w:val="Heading3"/>
      </w:pPr>
      <w:r>
        <w:t xml:space="preserve">10.10.3 OpenSandbox Architecture</w:t>
      </w:r>
    </w:p>
    <w:p>
      <w:pPr>
        <w:pStyle w:val="FirstParagraph"/>
      </w:pPr>
      <w:r>
        <w:t xml:space="preserve">OpenSandbox provides Docker-based isolation with a TypeScript SDK and a REST API server. Each agent task creates a dedicated ephemeral container, executes within it, and the container is destroyed upon completion: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 Containers (Acer Veriton GN100, Helsinki Lab)</w:t>
      </w:r>
      <w:r>
        <w:br/>
      </w:r>
      <w:r>
        <w:rPr>
          <w:rStyle w:val="VerbatimChar"/>
        </w:rPr>
        <w:t xml:space="preserve">                    └── Agent task (ephemeral, destroyed post-execution)</w:t>
      </w:r>
    </w:p>
    <w:p>
      <w:pPr>
        <w:pStyle w:val="FirstParagraph"/>
      </w:pPr>
      <w:r>
        <w:t xml:space="preserve">Security properties: filesystem isolation per task, network egress deny-by-default with explicit domain allow-list (</w:t>
      </w:r>
      <w:r>
        <w:rPr>
          <w:rStyle w:val="VerbatimChar"/>
        </w:rPr>
        <w:t xml:space="preserve">api.anthropic.com</w:t>
      </w:r>
      <w:r>
        <w:t xml:space="preserve">,</w:t>
      </w:r>
      <w:r>
        <w:t xml:space="preserve"> </w:t>
      </w:r>
      <w:r>
        <w:rPr>
          <w:rStyle w:val="VerbatimChar"/>
        </w:rPr>
        <w:t xml:space="preserve">api.groq.com</w:t>
      </w:r>
      <w:r>
        <w:t xml:space="preserve">, MCP Hub), EU data residency enforced at hardware level.</w:t>
      </w:r>
    </w:p>
    <w:bookmarkEnd w:id="174"/>
    <w:bookmarkStart w:id="175" w:name="agent-memory-empo²-arxiv2602.23008"/>
    <w:p>
      <w:pPr>
        <w:pStyle w:val="Heading3"/>
      </w:pPr>
      <w:r>
        <w:t xml:space="preserve">10.10.4 Agent Memory: EMPO² (arXiv:2602.23008)</w:t>
      </w:r>
    </w:p>
    <w:p>
      <w:pPr>
        <w:pStyle w:val="FirstParagraph"/>
      </w:pPr>
      <w:r>
        <w:t xml:space="preserve">The OpenSandbox integration coincides with important new research on agent memory. The paper</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February 2026) proposes a hybrid RL framework that addresses the core bottleneck of LLM agent training:</w:t>
      </w:r>
      <w:r>
        <w:t xml:space="preserve"> </w:t>
      </w:r>
      <w:r>
        <w:rPr>
          <w:bCs/>
          <w:b/>
        </w:rPr>
        <w:t xml:space="preserve">exploration in novel environments</w:t>
      </w:r>
      <w:r>
        <w:t xml:space="preserve">.</w:t>
      </w:r>
    </w:p>
    <w:p>
      <w:pPr>
        <w:pStyle w:val="BodyText"/>
      </w:pPr>
      <w:r>
        <w:rPr>
          <w:bCs/>
          <w:b/>
        </w:rPr>
        <w:t xml:space="preserve">EMPO² dual-update mechanism:</w:t>
      </w:r>
    </w:p>
    <w:p>
      <w:pPr>
        <w:numPr>
          <w:ilvl w:val="0"/>
          <w:numId w:val="1061"/>
        </w:numPr>
        <w:pStyle w:val="Compact"/>
      </w:pPr>
      <w:r>
        <w:rPr>
          <w:bCs/>
          <w:b/>
        </w:rPr>
        <w:t xml:space="preserve">Parametric updates</w:t>
      </w:r>
      <w:r>
        <w:t xml:space="preserve"> </w:t>
      </w:r>
      <w:r>
        <w:t xml:space="preserve">(RL): fine-tunes model weights using on/off-policy rollouts</w:t>
      </w:r>
    </w:p>
    <w:p>
      <w:pPr>
        <w:numPr>
          <w:ilvl w:val="0"/>
          <w:numId w:val="1061"/>
        </w:numPr>
        <w:pStyle w:val="Compact"/>
      </w:pPr>
      <w:r>
        <w:rPr>
          <w:bCs/>
          <w:b/>
        </w:rPr>
        <w:t xml:space="preserve">Non-parametric updates</w:t>
      </w:r>
      <w:r>
        <w:t xml:space="preserve"> </w:t>
      </w:r>
      <w:r>
        <w:t xml:space="preserve">(memory): stores and retrieves task-specific</w:t>
      </w:r>
      <w:r>
        <w:t xml:space="preserve"> </w:t>
      </w:r>
      <w:r>
        <w:t xml:space="preserve">“</w:t>
      </w:r>
      <w:r>
        <w:t xml:space="preserve">tips</w:t>
      </w:r>
      <w:r>
        <w:t xml:space="preserve">”</w:t>
      </w:r>
      <w:r>
        <w:t xml:space="preserve"> </w:t>
      </w:r>
      <w:r>
        <w:t xml:space="preserve">from a memory buffer during rollouts</w:t>
      </w:r>
    </w:p>
    <w:p>
      <w:pPr>
        <w:numPr>
          <w:ilvl w:val="0"/>
          <w:numId w:val="1061"/>
        </w:numPr>
        <w:pStyle w:val="Compact"/>
      </w:pPr>
      <w:r>
        <w:rPr>
          <w:bCs/>
          <w:b/>
        </w:rPr>
        <w:t xml:space="preserve">Two rollout modes</w:t>
      </w:r>
      <w:r>
        <w:t xml:space="preserve">: with memory (retrieval-augmented) and without memory (parametric only)</w:t>
      </w:r>
    </w:p>
    <w:p>
      <w:pPr>
        <w:numPr>
          <w:ilvl w:val="0"/>
          <w:numId w:val="1061"/>
        </w:numPr>
        <w:pStyle w:val="Compact"/>
      </w:pPr>
      <w:r>
        <w:rPr>
          <w:bCs/>
          <w:b/>
        </w:rPr>
        <w:t xml:space="preserve">Two update modes</w:t>
      </w:r>
      <w:r>
        <w:t xml:space="preserve">: on-policy (tips retained during update) and off-policy (tips removed during update)</w:t>
      </w:r>
    </w:p>
    <w:p>
      <w:pPr>
        <w:pStyle w:val="FirstParagraph"/>
      </w:pPr>
      <w:r>
        <w:rPr>
          <w:bCs/>
          <w:b/>
        </w:rPr>
        <w:t xml:space="preserve">Results:</w:t>
      </w:r>
      <w:r>
        <w:t xml:space="preserve"> </w:t>
      </w:r>
      <w:r>
        <w:t xml:space="preserve">128.6% improvement over GRPO on ScienceWorld, 11.3% on WebShop, with superior out-of-distribution generalization requiring only a few memory trials (no parameter updates) for new tasks.</w:t>
      </w:r>
    </w:p>
    <w:p>
      <w:pPr>
        <w:pStyle w:val="BodyText"/>
      </w:pPr>
      <w:r>
        <w:rPr>
          <w:bCs/>
          <w:b/>
        </w:rPr>
        <w:t xml:space="preserve">Relevance to DWS IQ 6 / Lifetime World Model:</w:t>
      </w:r>
    </w:p>
    <w:p>
      <w:pPr>
        <w:pStyle w:val="BodyText"/>
      </w:pPr>
      <w:r>
        <w:t xml:space="preserve">The DWS Lifetime World Model (LWM) already combines both memory types theoretically proposed by EMPO²:</w:t>
      </w:r>
    </w:p>
    <w:tbl>
      <w:tblPr>
        <w:tblStyle w:val="Table"/>
        <w:tblW w:type="pct" w:w="5000"/>
        <w:tblLook w:firstRow="1" w:lastRow="0" w:firstColumn="0" w:lastColumn="0" w:noHBand="0" w:noVBand="0" w:val="0020"/>
        <w:jc w:val="start"/>
      </w:tblPr>
      <w:tblGrid>
        <w:gridCol w:w="2278"/>
        <w:gridCol w:w="5641"/>
      </w:tblGrid>
      <w:tr>
        <w:trPr>
          <w:tblHeader w:val="true"/>
        </w:trPr>
        <w:tc>
          <w:tcPr/>
          <w:p>
            <w:pPr>
              <w:pStyle w:val="Compact"/>
              <w:jc w:val="left"/>
            </w:pPr>
            <w:r>
              <w:t xml:space="preserve">EMPO² Component</w:t>
            </w:r>
          </w:p>
        </w:tc>
        <w:tc>
          <w:tcPr/>
          <w:p>
            <w:pPr>
              <w:pStyle w:val="Compact"/>
              <w:jc w:val="left"/>
            </w:pPr>
            <w:r>
              <w:t xml:space="preserve">DWS LWM Equivalent</w:t>
            </w:r>
          </w:p>
        </w:tc>
      </w:tr>
      <w:tr>
        <w:tc>
          <w:tcPr/>
          <w:p>
            <w:pPr>
              <w:pStyle w:val="Compact"/>
              <w:jc w:val="left"/>
            </w:pPr>
            <w:r>
              <w:t xml:space="preserve">Parametric memory</w:t>
            </w:r>
          </w:p>
        </w:tc>
        <w:tc>
          <w:tcPr/>
          <w:p>
            <w:pPr>
              <w:pStyle w:val="Compact"/>
              <w:jc w:val="left"/>
            </w:pPr>
            <w:r>
              <w:t xml:space="preserve">Fine-tuned LLM (QLoRA, Acer Veriton GN100)</w:t>
            </w:r>
          </w:p>
        </w:tc>
      </w:tr>
      <w:tr>
        <w:tc>
          <w:tcPr/>
          <w:p>
            <w:pPr>
              <w:pStyle w:val="Compact"/>
              <w:jc w:val="left"/>
            </w:pPr>
            <w:r>
              <w:t xml:space="preserve">Non-parametric memory</w:t>
            </w:r>
          </w:p>
        </w:tc>
        <w:tc>
          <w:tcPr/>
          <w:p>
            <w:pPr>
              <w:pStyle w:val="Compact"/>
              <w:jc w:val="left"/>
            </w:pPr>
            <w:r>
              <w:t xml:space="preserve">RAG over enterprise data + EU regulations (pgvector)</w:t>
            </w:r>
          </w:p>
        </w:tc>
      </w:tr>
      <w:tr>
        <w:tc>
          <w:tcPr/>
          <w:p>
            <w:pPr>
              <w:pStyle w:val="Compact"/>
              <w:jc w:val="left"/>
            </w:pPr>
            <w:r>
              <w:t xml:space="preserve">Memory buffer</w:t>
            </w:r>
          </w:p>
        </w:tc>
        <w:tc>
          <w:tcPr/>
          <w:p>
            <w:pPr>
              <w:pStyle w:val="Compact"/>
              <w:jc w:val="left"/>
            </w:pPr>
            <w:r>
              <w:t xml:space="preserve">Supabase</w:t>
            </w:r>
            <w:r>
              <w:t xml:space="preserve"> </w:t>
            </w:r>
            <w:r>
              <w:rPr>
                <w:rStyle w:val="VerbatimChar"/>
              </w:rPr>
              <w:t xml:space="preserve">agent_loop_iterations</w:t>
            </w:r>
            <w:r>
              <w:t xml:space="preserve"> </w:t>
            </w:r>
            <w:r>
              <w:t xml:space="preserve">table</w:t>
            </w:r>
          </w:p>
        </w:tc>
      </w:tr>
      <w:tr>
        <w:tc>
          <w:tcPr/>
          <w:p>
            <w:pPr>
              <w:pStyle w:val="Compact"/>
              <w:jc w:val="left"/>
            </w:pPr>
            <w:r>
              <w:t xml:space="preserve">Tip retrieval</w:t>
            </w:r>
          </w:p>
        </w:tc>
        <w:tc>
          <w:tcPr/>
          <w:p>
            <w:pPr>
              <w:pStyle w:val="Compact"/>
              <w:jc w:val="left"/>
            </w:pPr>
            <w:r>
              <w:t xml:space="preserve">Context injection from Compliance/Carbon databases</w:t>
            </w:r>
          </w:p>
        </w:tc>
      </w:tr>
    </w:tbl>
    <w:p>
      <w:pPr>
        <w:pStyle w:val="BodyText"/>
      </w:pPr>
      <w:r>
        <w:t xml:space="preserve">The EMPO² finding —</w:t>
      </w:r>
      <w:r>
        <w:t xml:space="preserve"> </w:t>
      </w:r>
      <w:r>
        <w:rPr>
          <w:iCs/>
          <w:i/>
        </w:rPr>
        <w:t xml:space="preserve">“</w:t>
      </w:r>
      <w:r>
        <w:rPr>
          <w:iCs/>
          <w:i/>
        </w:rPr>
        <w:t xml:space="preserve">learning with memory enables models to become robust both with and without memory at inference time</w:t>
      </w:r>
      <w:r>
        <w:rPr>
          <w:iCs/>
          <w:i/>
        </w:rPr>
        <w:t xml:space="preserve">”</w:t>
      </w:r>
      <w:r>
        <w:t xml:space="preserve"> </w:t>
      </w:r>
      <w:r>
        <w:t xml:space="preserve">— validates the DWS strategy of progressively embedding domain knowledge into model weights via QLoRA fine-tuning on the Acer Veriton, while maintaining non-parametric retrieval as a real-time fallback.</w:t>
      </w:r>
    </w:p>
    <w:p>
      <w:pPr>
        <w:pStyle w:val="BodyText"/>
      </w:pPr>
      <w:r>
        <w:t xml:space="preserve">The OpenSandbox environment on the Acer Veriton GN100 now serves both roles:</w:t>
      </w:r>
      <w:r>
        <w:t xml:space="preserve"> </w:t>
      </w:r>
      <w:r>
        <w:rPr>
          <w:bCs/>
          <w:b/>
        </w:rPr>
        <w:t xml:space="preserve">EMPO²-style RL training sandbox</w:t>
      </w:r>
      <w:r>
        <w:t xml:space="preserve"> </w:t>
      </w:r>
      <w:r>
        <w:t xml:space="preserve">(isolated exploration environment) and</w:t>
      </w:r>
      <w:r>
        <w:t xml:space="preserve"> </w:t>
      </w:r>
      <w:r>
        <w:rPr>
          <w:bCs/>
          <w:b/>
        </w:rPr>
        <w:t xml:space="preserve">production agent isolation runtime</w:t>
      </w:r>
      <w:r>
        <w:t xml:space="preserve"> </w:t>
      </w:r>
      <w:r>
        <w:t xml:space="preserve">(secure execution per task).</w:t>
      </w:r>
    </w:p>
    <w:bookmarkEnd w:id="175"/>
    <w:bookmarkStart w:id="176" w:name="mcp-integration"/>
    <w:p>
      <w:pPr>
        <w:pStyle w:val="Heading3"/>
      </w:pPr>
      <w:r>
        <w:t xml:space="preserve">10.10.5 MCP Integration</w:t>
      </w:r>
    </w:p>
    <w:p>
      <w:pPr>
        <w:pStyle w:val="FirstParagraph"/>
      </w:pPr>
      <w:r>
        <w:t xml:space="preserve">Six MCP tools expose OpenSandbox through the DWS MCP Hub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Purpose</w:t>
            </w:r>
          </w:p>
        </w:tc>
      </w:tr>
      <w:tr>
        <w:tc>
          <w:tcPr/>
          <w:p>
            <w:pPr>
              <w:pStyle w:val="Compact"/>
              <w:jc w:val="left"/>
            </w:pPr>
            <w:r>
              <w:rPr>
                <w:rStyle w:val="VerbatimChar"/>
              </w:rPr>
              <w:t xml:space="preserve">sandbox_create</w:t>
            </w:r>
          </w:p>
        </w:tc>
        <w:tc>
          <w:tcPr/>
          <w:p>
            <w:pPr>
              <w:pStyle w:val="Compact"/>
              <w:jc w:val="left"/>
            </w:pPr>
            <w:r>
              <w:t xml:space="preserve">Create isolated Docker container</w:t>
            </w:r>
          </w:p>
        </w:tc>
      </w:tr>
      <w:tr>
        <w:tc>
          <w:tcPr/>
          <w:p>
            <w:pPr>
              <w:pStyle w:val="Compact"/>
              <w:jc w:val="left"/>
            </w:pPr>
            <w:r>
              <w:rPr>
                <w:rStyle w:val="VerbatimChar"/>
              </w:rPr>
              <w:t xml:space="preserve">sandbox_execute</w:t>
            </w:r>
          </w:p>
        </w:tc>
        <w:tc>
          <w:tcPr/>
          <w:p>
            <w:pPr>
              <w:pStyle w:val="Compact"/>
              <w:jc w:val="left"/>
            </w:pPr>
            <w:r>
              <w:t xml:space="preserve">Run command inside sandbox</w:t>
            </w:r>
          </w:p>
        </w:tc>
      </w:tr>
      <w:tr>
        <w:tc>
          <w:tcPr/>
          <w:p>
            <w:pPr>
              <w:pStyle w:val="Compact"/>
              <w:jc w:val="left"/>
            </w:pPr>
            <w:r>
              <w:rPr>
                <w:rStyle w:val="VerbatimChar"/>
              </w:rPr>
              <w:t xml:space="preserve">sandbox_file_read</w:t>
            </w:r>
          </w:p>
        </w:tc>
        <w:tc>
          <w:tcPr/>
          <w:p>
            <w:pPr>
              <w:pStyle w:val="Compact"/>
              <w:jc w:val="left"/>
            </w:pPr>
            <w:r>
              <w:t xml:space="preserve">Read output artifacts</w:t>
            </w:r>
          </w:p>
        </w:tc>
      </w:tr>
      <w:tr>
        <w:tc>
          <w:tcPr/>
          <w:p>
            <w:pPr>
              <w:pStyle w:val="Compact"/>
              <w:jc w:val="left"/>
            </w:pPr>
            <w:r>
              <w:rPr>
                <w:rStyle w:val="VerbatimChar"/>
              </w:rPr>
              <w:t xml:space="preserve">sandbox_file_write</w:t>
            </w:r>
          </w:p>
        </w:tc>
        <w:tc>
          <w:tcPr/>
          <w:p>
            <w:pPr>
              <w:pStyle w:val="Compact"/>
              <w:jc w:val="left"/>
            </w:pPr>
            <w:r>
              <w:t xml:space="preserve">Write input/config files</w:t>
            </w:r>
          </w:p>
        </w:tc>
      </w:tr>
      <w:tr>
        <w:tc>
          <w:tcPr/>
          <w:p>
            <w:pPr>
              <w:pStyle w:val="Compact"/>
              <w:jc w:val="left"/>
            </w:pPr>
            <w:r>
              <w:rPr>
                <w:rStyle w:val="VerbatimChar"/>
              </w:rPr>
              <w:t xml:space="preserve">sandbox_destroy</w:t>
            </w:r>
          </w:p>
        </w:tc>
        <w:tc>
          <w:tcPr/>
          <w:p>
            <w:pPr>
              <w:pStyle w:val="Compact"/>
              <w:jc w:val="left"/>
            </w:pPr>
            <w:r>
              <w:t xml:space="preserve">Destroy sandbox (ephemeral)</w:t>
            </w:r>
          </w:p>
        </w:tc>
      </w:tr>
      <w:tr>
        <w:tc>
          <w:tcPr/>
          <w:p>
            <w:pPr>
              <w:pStyle w:val="Compact"/>
              <w:jc w:val="left"/>
            </w:pPr>
            <w:r>
              <w:rPr>
                <w:rStyle w:val="VerbatimChar"/>
              </w:rPr>
              <w:t xml:space="preserve">sandbox_ping</w:t>
            </w:r>
          </w:p>
        </w:tc>
        <w:tc>
          <w:tcPr/>
          <w:p>
            <w:pPr>
              <w:pStyle w:val="Compact"/>
              <w:jc w:val="left"/>
            </w:pPr>
            <w:r>
              <w:t xml:space="preserve">Health check Veriton connectivity</w:t>
            </w:r>
          </w:p>
        </w:tc>
      </w:tr>
    </w:tbl>
    <w:p>
      <w:pPr>
        <w:pStyle w:val="BodyText"/>
      </w:pPr>
      <w:r>
        <w:t xml:space="preserve">Claude Code and other MCP clients can now orchestrate agent sandboxes directly via natural language tool calls.</w:t>
      </w:r>
    </w:p>
    <w:bookmarkEnd w:id="176"/>
    <w:bookmarkStart w:id="178" w:name="research-contribution-3"/>
    <w:p>
      <w:pPr>
        <w:pStyle w:val="Heading3"/>
      </w:pPr>
      <w:r>
        <w:t xml:space="preserve">10.10.6 Research Contribution</w:t>
      </w:r>
    </w:p>
    <w:p>
      <w:pPr>
        <w:pStyle w:val="FirstParagraph"/>
      </w:pPr>
      <w:r>
        <w:t xml:space="preserve">Stage 1.5 demonstrates three thesis claims simultaneously:</w:t>
      </w:r>
    </w:p>
    <w:p>
      <w:pPr>
        <w:numPr>
          <w:ilvl w:val="0"/>
          <w:numId w:val="1062"/>
        </w:numPr>
      </w:pPr>
      <w:r>
        <w:rPr>
          <w:bCs/>
          <w:b/>
        </w:rPr>
        <w:t xml:space="preserve">Hardware-aware Solution Factory (Section 4.1):</w:t>
      </w:r>
      <w:r>
        <w:t xml:space="preserve"> </w:t>
      </w:r>
      <w:r>
        <w:t xml:space="preserve">The same agent architecture runs on EU cloud (Stage 2) and EU on-premises edge hardware (Stage 1.5) with a single environment variable — validating the platform’s deployment flexibility for air-gapped industrial environments (defense, healthcare, critical infrastructure).</w:t>
      </w:r>
    </w:p>
    <w:p>
      <w:pPr>
        <w:numPr>
          <w:ilvl w:val="0"/>
          <w:numId w:val="1062"/>
        </w:numPr>
      </w:pPr>
      <w:r>
        <w:rPr>
          <w:bCs/>
          <w:b/>
        </w:rPr>
        <w:t xml:space="preserve">Lifetime Fleet concept validation (Section 3.5):</w:t>
      </w:r>
      <w:r>
        <w:t xml:space="preserve"> </w:t>
      </w:r>
      <w:r>
        <w:t xml:space="preserve">The Acer Veriton GN100 is the first physical node in the Lifetime Fleet — EU-resident hardware running containerized AI workloads under full operator control, fulfilling the edge-AI theoretical model proposed in the thesis.</w:t>
      </w:r>
    </w:p>
    <w:p>
      <w:pPr>
        <w:numPr>
          <w:ilvl w:val="0"/>
          <w:numId w:val="1062"/>
        </w:numPr>
      </w:pPr>
      <w:r>
        <w:rPr>
          <w:bCs/>
          <w:b/>
        </w:rPr>
        <w:t xml:space="preserve">EMPO² memory architecture alignment:</w:t>
      </w:r>
      <w:r>
        <w:t xml:space="preserve"> </w:t>
      </w:r>
      <w:r>
        <w:t xml:space="preserve">The hybrid parametric/non-parametric memory architecture independently validated by EMPO² (arXiv:2602.23008) matches the DWS LWM design — providing academic grounding for an implementation choice made on engineering intuition.</w:t>
      </w:r>
    </w:p>
    <w:bookmarkStart w:id="177" w:name="hardware-brain-update-may-2026"/>
    <w:p>
      <w:pPr>
        <w:pStyle w:val="Heading4"/>
      </w:pPr>
      <w:r>
        <w:t xml:space="preserve">10.10.6.1 Hardware Brain Update (May 2026)</w:t>
      </w:r>
    </w:p>
    <w:p>
      <w:pPr>
        <w:pStyle w:val="FirstParagraph"/>
      </w:pPr>
      <w:r>
        <w:t xml:space="preserve">The Acer Veriton GN100 / DGX Spark Brain layer was re-pinned in May 2026 as a direct consequence of three engineering observations: (1) dense Llama 3.3 70B at Q4 ran at ~4.4 tok/s decode on the GB10 memory bus (273 GB/s) — too slow for interactive agent workloads, since each forward pass pushed all 70B parameters through the bus; (2) NVIDIA’s Nemotron 3 Super (architecture</w:t>
      </w:r>
      <w:r>
        <w:t xml:space="preserve"> </w:t>
      </w:r>
      <w:r>
        <w:rPr>
          <w:rStyle w:val="VerbatimChar"/>
        </w:rPr>
        <w:t xml:space="preserve">nemotron_h_moe</w:t>
      </w:r>
      <w:r>
        <w:t xml:space="preserve">, 123.6B total / 12.7B active, 88-layer Mamba-2 + interleaved attention + Latent MoE, pretrained natively in NVFP4 across 25T tokens) runs at ~19.5 tok/s Q4_K_M on the same hardware — roughly 4.5× faster — because MoE moves only ~12B of weights per token; (3) the Nemotron 3 Super model exposes</w:t>
      </w:r>
      <w:r>
        <w:t xml:space="preserve"> </w:t>
      </w:r>
      <w:r>
        <w:rPr>
          <w:rStyle w:val="VerbatimChar"/>
        </w:rPr>
        <w:t xml:space="preserve">thinking</w:t>
      </w:r>
      <w:r>
        <w:t xml:space="preserve"> </w:t>
      </w:r>
      <w:r>
        <w:t xml:space="preserve">and tool-calling capabilities natively, which the Brain-Memory-Body-Hands architecture (Section 4.3) requires for agent reasoning chains. The Primary tier was therefore swapped from</w:t>
      </w:r>
      <w:r>
        <w:t xml:space="preserve"> </w:t>
      </w:r>
      <w:r>
        <w:rPr>
          <w:rStyle w:val="VerbatimChar"/>
        </w:rPr>
        <w:t xml:space="preserve">llama3.3:70b</w:t>
      </w:r>
      <w:r>
        <w:t xml:space="preserve"> </w:t>
      </w:r>
      <w:r>
        <w:t xml:space="preserve">to</w:t>
      </w:r>
      <w:r>
        <w:t xml:space="preserve"> </w:t>
      </w:r>
      <w:r>
        <w:rPr>
          <w:rStyle w:val="VerbatimChar"/>
        </w:rPr>
        <w:t xml:space="preserve">nemotron-3-super</w:t>
      </w:r>
      <w:r>
        <w:t xml:space="preserve">; the Fast tier was simultaneously upgraded from</w:t>
      </w:r>
      <w:r>
        <w:t xml:space="preserve"> </w:t>
      </w:r>
      <w:r>
        <w:rPr>
          <w:rStyle w:val="VerbatimChar"/>
        </w:rPr>
        <w:t xml:space="preserve">qwen2.5-coder:32b</w:t>
      </w:r>
      <w:r>
        <w:t xml:space="preserve"> </w:t>
      </w:r>
      <w:r>
        <w:t xml:space="preserve">to</w:t>
      </w:r>
      <w:r>
        <w:t xml:space="preserve"> </w:t>
      </w:r>
      <w:r>
        <w:rPr>
          <w:rStyle w:val="VerbatimChar"/>
        </w:rPr>
        <w:t xml:space="preserve">qwen3-coder:30b</w:t>
      </w:r>
      <w:r>
        <w:t xml:space="preserve"> </w:t>
      </w:r>
      <w:r>
        <w:t xml:space="preserve">(MoE 30B / 3.3B active) which doubles as the SyntheticDataAgent teacher model.</w:t>
      </w:r>
      <w:r>
        <w:t xml:space="preserve"> </w:t>
      </w:r>
      <w:r>
        <w:rPr>
          <w:bCs/>
          <w:b/>
        </w:rPr>
        <w:t xml:space="preserve">OpenClaw</w:t>
      </w:r>
      <w:r>
        <w:t xml:space="preserve"> </w:t>
      </w:r>
      <w:r>
        <w:t xml:space="preserve">was added as a first-class compose service on port 8090, its Brain wired to Nemotron 3 Super via Ollama and</w:t>
      </w:r>
      <w:r>
        <w:t xml:space="preserve"> </w:t>
      </w:r>
      <w:r>
        <w:rPr>
          <w:rStyle w:val="VerbatimChar"/>
        </w:rPr>
        <w:t xml:space="preserve">OPENCLAW_ALLOW_EGRESS=false</w:t>
      </w:r>
      <w:r>
        <w:t xml:space="preserve"> </w:t>
      </w:r>
      <w:r>
        <w:t xml:space="preserve">enforced at the container level — establishing a no-egress local agent runtime alongside the existing Stage 1.5 OpenSandbox isolation layer. Implementation artefacts:</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 table adds OpenClaw row),</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re-based to Nemotron 3 Super. The market-signal rationale (compute scarcity, NVFP4 hardware moat) is documented in</w:t>
      </w:r>
      <w:r>
        <w:t xml:space="preserve"> </w:t>
      </w:r>
      <w:r>
        <w:rPr>
          <w:rStyle w:val="VerbatimChar"/>
        </w:rPr>
        <w:t xml:space="preserve">docs/PHD_FIREHORSE_EN.md</w:t>
      </w:r>
      <w:r>
        <w:t xml:space="preserve"> </w:t>
      </w:r>
      <w:r>
        <w:t xml:space="preserve">§14.18 per the master-vs-PhD scope rule.</w:t>
      </w:r>
    </w:p>
    <w:bookmarkEnd w:id="177"/>
    <w:bookmarkEnd w:id="178"/>
    <w:bookmarkStart w:id="179" w:name="Xc0e5beebebc9e759bdada6bf475bbd1c3b5e014"/>
    <w:p>
      <w:pPr>
        <w:pStyle w:val="Heading3"/>
      </w:pPr>
      <w:r>
        <w:t xml:space="preserve">10.10.7 Agent Memory Fact Extraction Pipeline (PR-254)</w:t>
      </w:r>
    </w:p>
    <w:p>
      <w:pPr>
        <w:pStyle w:val="FirstParagraph"/>
      </w:pPr>
      <w:r>
        <w:rPr>
          <w:iCs/>
          <w:i/>
        </w:rPr>
        <w:t xml:space="preserve">Session: claude/agent-memory-fact-extraction-gLEss | Date: 23.03.2026</w:t>
      </w:r>
    </w:p>
    <w:p>
      <w:pPr>
        <w:pStyle w:val="BodyText"/>
      </w:pPr>
      <w:r>
        <w:t xml:space="preserve">The EMPO² theoretical framework (Section 10.10.4) was operationalized through the</w:t>
      </w:r>
      <w:r>
        <w:t xml:space="preserve"> </w:t>
      </w:r>
      <w:r>
        <w:rPr>
          <w:bCs/>
          <w:b/>
        </w:rPr>
        <w:t xml:space="preserve">Agent Memory Fact Extraction Pipeline</w:t>
      </w:r>
      <w:r>
        <w:t xml:space="preserve"> </w:t>
      </w:r>
      <w:r>
        <w:t xml:space="preserve">— the first production implementation of the non-parametric memory update path. This addresses a critical gap: agents that converse with customers but retain no structured knowledge between sessions.</w:t>
      </w:r>
    </w:p>
    <w:p>
      <w:pPr>
        <w:pStyle w:val="BodyText"/>
      </w:pPr>
      <w:r>
        <w:rPr>
          <w:bCs/>
          <w:b/>
        </w:rPr>
        <w:t xml:space="preserve">Architecture — Dual Memory Model:</w:t>
      </w:r>
    </w:p>
    <w:p>
      <w:pPr>
        <w:pStyle w:val="BodyText"/>
      </w:pPr>
      <w:r>
        <w:t xml:space="preserve">The system distinguishes two complementary memory layers:</w:t>
      </w:r>
    </w:p>
    <w:tbl>
      <w:tblPr>
        <w:tblStyle w:val="Table"/>
        <w:tblW w:type="pct" w:w="5000"/>
        <w:tblLook w:firstRow="1" w:lastRow="0" w:firstColumn="0" w:lastColumn="0" w:noHBand="0" w:noVBand="0" w:val="0020"/>
        <w:jc w:val="start"/>
      </w:tblPr>
      <w:tblGrid>
        <w:gridCol w:w="1760"/>
        <w:gridCol w:w="1290"/>
        <w:gridCol w:w="2874"/>
        <w:gridCol w:w="1994"/>
      </w:tblGrid>
      <w:tr>
        <w:trPr>
          <w:tblHeader w:val="true"/>
        </w:trPr>
        <w:tc>
          <w:tcPr/>
          <w:p>
            <w:pPr>
              <w:pStyle w:val="Compact"/>
              <w:jc w:val="left"/>
            </w:pPr>
            <w:r>
              <w:t xml:space="preserve">Layer</w:t>
            </w:r>
          </w:p>
        </w:tc>
        <w:tc>
          <w:tcPr/>
          <w:p>
            <w:pPr>
              <w:pStyle w:val="Compact"/>
              <w:jc w:val="left"/>
            </w:pPr>
            <w:r>
              <w:t xml:space="preserve">Knowledge Type</w:t>
            </w:r>
          </w:p>
        </w:tc>
        <w:tc>
          <w:tcPr/>
          <w:p>
            <w:pPr>
              <w:pStyle w:val="Compact"/>
              <w:jc w:val="left"/>
            </w:pPr>
            <w:r>
              <w:t xml:space="preserve">Source</w:t>
            </w:r>
          </w:p>
        </w:tc>
        <w:tc>
          <w:tcPr/>
          <w:p>
            <w:pPr>
              <w:pStyle w:val="Compact"/>
              <w:jc w:val="left"/>
            </w:pPr>
            <w:r>
              <w:t xml:space="preserve">Example</w:t>
            </w:r>
          </w:p>
        </w:tc>
      </w:tr>
      <w:tr>
        <w:tc>
          <w:tcPr/>
          <w:p>
            <w:pPr>
              <w:pStyle w:val="Compact"/>
              <w:jc w:val="left"/>
            </w:pPr>
            <w:r>
              <w:rPr>
                <w:bCs/>
                <w:b/>
              </w:rPr>
              <w:t xml:space="preserve">LWM (Lifetime World Model)</w:t>
            </w:r>
          </w:p>
        </w:tc>
        <w:tc>
          <w:tcPr/>
          <w:p>
            <w:pPr>
              <w:pStyle w:val="Compact"/>
              <w:jc w:val="left"/>
            </w:pPr>
            <w:r>
              <w:t xml:space="preserve">Domain knowledge</w:t>
            </w:r>
          </w:p>
        </w:tc>
        <w:tc>
          <w:tcPr/>
          <w:p>
            <w:pPr>
              <w:pStyle w:val="Compact"/>
              <w:jc w:val="left"/>
            </w:pPr>
            <w:r>
              <w:t xml:space="preserve">EU regulations, emission factors, industry models</w:t>
            </w:r>
          </w:p>
        </w:tc>
        <w:tc>
          <w:tcPr/>
          <w:p>
            <w:pPr>
              <w:pStyle w:val="Compact"/>
              <w:jc w:val="left"/>
            </w:pPr>
            <w:r>
              <w:t xml:space="preserve">“</w:t>
            </w:r>
            <w:r>
              <w:t xml:space="preserve">CBAM threshold is 150,000 EUR</w:t>
            </w:r>
            <w:r>
              <w:t xml:space="preserve">”</w:t>
            </w:r>
          </w:p>
        </w:tc>
      </w:tr>
      <w:tr>
        <w:tc>
          <w:tcPr/>
          <w:p>
            <w:pPr>
              <w:pStyle w:val="Compact"/>
              <w:jc w:val="left"/>
            </w:pPr>
            <w:r>
              <w:rPr>
                <w:bCs/>
                <w:b/>
              </w:rPr>
              <w:t xml:space="preserve">Client Memory</w:t>
            </w:r>
          </w:p>
        </w:tc>
        <w:tc>
          <w:tcPr/>
          <w:p>
            <w:pPr>
              <w:pStyle w:val="Compact"/>
              <w:jc w:val="left"/>
            </w:pPr>
            <w:r>
              <w:t xml:space="preserve">Relationship knowledge</w:t>
            </w:r>
          </w:p>
        </w:tc>
        <w:tc>
          <w:tcPr/>
          <w:p>
            <w:pPr>
              <w:pStyle w:val="Compact"/>
              <w:jc w:val="left"/>
            </w:pPr>
            <w:r>
              <w:t xml:space="preserve">Conversations, emails, meetings</w:t>
            </w:r>
          </w:p>
        </w:tc>
        <w:tc>
          <w:tcPr/>
          <w:p>
            <w:pPr>
              <w:pStyle w:val="Compact"/>
              <w:jc w:val="left"/>
            </w:pPr>
            <w:r>
              <w:t xml:space="preserve">“</w:t>
            </w:r>
            <w:r>
              <w:t xml:space="preserve">ACME Corp prefers weekly reports</w:t>
            </w:r>
            <w:r>
              <w:t xml:space="preserve">”</w:t>
            </w:r>
          </w:p>
        </w:tc>
      </w:tr>
    </w:tbl>
    <w:p>
      <w:pPr>
        <w:pStyle w:val="BodyText"/>
      </w:pPr>
      <w:r>
        <w:t xml:space="preserve">LWM provides</w:t>
      </w:r>
      <w:r>
        <w:t xml:space="preserve"> </w:t>
      </w:r>
      <w:r>
        <w:rPr>
          <w:iCs/>
          <w:i/>
        </w:rPr>
        <w:t xml:space="preserve">what the agent knows about the world</w:t>
      </w:r>
      <w:r>
        <w:t xml:space="preserve">; client memory provides</w:t>
      </w:r>
      <w:r>
        <w:t xml:space="preserve"> </w:t>
      </w:r>
      <w:r>
        <w:rPr>
          <w:iCs/>
          <w:i/>
        </w:rPr>
        <w:t xml:space="preserve">what the agent knows about this specific customer</w:t>
      </w:r>
      <w:r>
        <w:t xml:space="preserve">. Neither alone is sufficient — an agent that knows EU regulations but forgets the customer’s industry vertical will ask the same questions every session.</w:t>
      </w:r>
    </w:p>
    <w:p>
      <w:pPr>
        <w:pStyle w:val="BodyText"/>
      </w:pPr>
      <w:r>
        <w:rPr>
          <w:bCs/>
          <w:b/>
        </w:rPr>
        <w:t xml:space="preserve">Fact Extraction Pipeline:</w:t>
      </w:r>
    </w:p>
    <w:p>
      <w:pPr>
        <w:pStyle w:val="SourceCode"/>
      </w:pPr>
      <w:r>
        <w:rPr>
          <w:rStyle w:val="VerbatimChar"/>
        </w:rPr>
        <w:t xml:space="preserve">Conversation text</w:t>
      </w:r>
      <w:r>
        <w:br/>
      </w:r>
      <w:r>
        <w:rPr>
          <w:rStyle w:val="VerbatimChar"/>
        </w:rPr>
        <w:t xml:space="preserve">  → LLM extraction (Claude Haiku, structured prompt)</w:t>
      </w:r>
      <w:r>
        <w:br/>
      </w:r>
      <w:r>
        <w:rPr>
          <w:rStyle w:val="VerbatimChar"/>
        </w:rPr>
        <w:t xml:space="preserve">  → JSON array of {subject, predicate, value, confidence, category}</w:t>
      </w:r>
      <w:r>
        <w:br/>
      </w:r>
      <w:r>
        <w:rPr>
          <w:rStyle w:val="VerbatimChar"/>
        </w:rPr>
        <w:t xml:space="preserve">  → Confidence filter (≥0.7 threshold)</w:t>
      </w:r>
      <w:r>
        <w:br/>
      </w:r>
      <w:r>
        <w:rPr>
          <w:rStyle w:val="VerbatimChar"/>
        </w:rPr>
        <w:t xml:space="preserve">  → Duplicate detection (cosine similarity &gt;0.95 in pgvector)</w:t>
      </w:r>
      <w:r>
        <w:br/>
      </w:r>
      <w:r>
        <w:rPr>
          <w:rStyle w:val="VerbatimChar"/>
        </w:rPr>
        <w:t xml:space="preserve">  → Persist as `fact` type in semantic_memories table</w:t>
      </w:r>
      <w:r>
        <w:br/>
      </w:r>
      <w:r>
        <w:rPr>
          <w:rStyle w:val="VerbatimChar"/>
        </w:rPr>
        <w:t xml:space="preserve">  → Available for recall via hybrid search (vector + text)</w:t>
      </w:r>
    </w:p>
    <w:p>
      <w:pPr>
        <w:pStyle w:val="FirstParagraph"/>
      </w:pPr>
      <w:r>
        <w:t xml:space="preserve">The extraction prompt enforces strict rules: only explicit facts (never inferred), snake_case predicates for machine readability, six categories (identity, preference, relationship, metric, status, other), and confidence scoring (1.0 explicit, 0.8 strongly implied, 0.6 loosely implied).</w:t>
      </w:r>
    </w:p>
    <w:p>
      <w:pPr>
        <w:pStyle w:val="BodyText"/>
      </w:pPr>
      <w:r>
        <w:rPr>
          <w:bCs/>
          <w:b/>
        </w:rPr>
        <w:t xml:space="preserve">Three Missing Execution Layers:</w:t>
      </w:r>
    </w:p>
    <w:p>
      <w:pPr>
        <w:pStyle w:val="BodyText"/>
      </w:pPr>
      <w:r>
        <w:t xml:space="preserve">Fact extraction alone creates</w:t>
      </w:r>
      <w:r>
        <w:t xml:space="preserve"> </w:t>
      </w:r>
      <w:r>
        <w:rPr>
          <w:iCs/>
          <w:i/>
        </w:rPr>
        <w:t xml:space="preserve">passive knowledge</w:t>
      </w:r>
      <w:r>
        <w:t xml:space="preserve">. Three additional layers are required to make this knowledge</w:t>
      </w:r>
      <w:r>
        <w:t xml:space="preserve"> </w:t>
      </w:r>
      <w:r>
        <w:rPr>
          <w:iCs/>
          <w:i/>
        </w:rPr>
        <w:t xml:space="preserve">actionable</w:t>
      </w:r>
      <w:r>
        <w:t xml:space="preserve">:</w:t>
      </w:r>
    </w:p>
    <w:p>
      <w:pPr>
        <w:numPr>
          <w:ilvl w:val="0"/>
          <w:numId w:val="1063"/>
        </w:numPr>
      </w:pPr>
      <w:r>
        <w:rPr>
          <w:bCs/>
          <w:b/>
        </w:rPr>
        <w:t xml:space="preserve">Firehorse State Machine</w:t>
      </w:r>
      <w:r>
        <w:t xml:space="preserve"> </w:t>
      </w:r>
      <w:r>
        <w:t xml:space="preserve">— The execution layer that acts on what memory + LWM know. Without it, the platform has knowledge but no action capability. Facts like</w:t>
      </w:r>
      <w:r>
        <w:t xml:space="preserve"> </w:t>
      </w:r>
      <w:r>
        <w:t xml:space="preserve">“</w:t>
      </w:r>
      <w:r>
        <w:t xml:space="preserve">customer deadline is Q2 2026</w:t>
      </w:r>
      <w:r>
        <w:t xml:space="preserve">”</w:t>
      </w:r>
      <w:r>
        <w:t xml:space="preserve"> </w:t>
      </w:r>
      <w:r>
        <w:t xml:space="preserve">need a state machine to trigger escalation workflows.</w:t>
      </w:r>
    </w:p>
    <w:p>
      <w:pPr>
        <w:numPr>
          <w:ilvl w:val="0"/>
          <w:numId w:val="1063"/>
        </w:numPr>
      </w:pPr>
      <w:r>
        <w:rPr>
          <w:bCs/>
          <w:b/>
        </w:rPr>
        <w:t xml:space="preserve">ERP Connector Layer</w:t>
      </w:r>
      <w:r>
        <w:t xml:space="preserve"> </w:t>
      </w:r>
      <w:r>
        <w:t xml:space="preserve">— The real-world data feed. Memory and LWM are only as good as the live data flowing from Visma/IFS/SAP. Client memory captures</w:t>
      </w:r>
      <w:r>
        <w:t xml:space="preserve"> </w:t>
      </w:r>
      <w:r>
        <w:rPr>
          <w:iCs/>
          <w:i/>
        </w:rPr>
        <w:t xml:space="preserve">stated</w:t>
      </w:r>
      <w:r>
        <w:t xml:space="preserve"> </w:t>
      </w:r>
      <w:r>
        <w:t xml:space="preserve">preferences; ERP data reveals</w:t>
      </w:r>
      <w:r>
        <w:t xml:space="preserve"> </w:t>
      </w:r>
      <w:r>
        <w:rPr>
          <w:iCs/>
          <w:i/>
        </w:rPr>
        <w:t xml:space="preserve">actual</w:t>
      </w:r>
      <w:r>
        <w:t xml:space="preserve"> </w:t>
      </w:r>
      <w:r>
        <w:t xml:space="preserve">behavior (order patterns, payment history, usage metrics).</w:t>
      </w:r>
    </w:p>
    <w:p>
      <w:pPr>
        <w:numPr>
          <w:ilvl w:val="0"/>
          <w:numId w:val="1063"/>
        </w:numPr>
      </w:pPr>
      <w:r>
        <w:rPr>
          <w:bCs/>
          <w:b/>
        </w:rPr>
        <w:t xml:space="preserve">KYA Governance Wrapper</w:t>
      </w:r>
      <w:r>
        <w:t xml:space="preserve"> </w:t>
      </w:r>
      <w:r>
        <w:t xml:space="preserve">— The trust layer. Client memory + LWM without attestation is a chatbot. KYA (Know Your AI, internal v1.4 / public v1.1) wraps every memory decision with audit-grade provenance:</w:t>
      </w:r>
      <w:r>
        <w:t xml:space="preserve"> </w:t>
      </w:r>
      <w:r>
        <w:t xml:space="preserve">“</w:t>
      </w:r>
      <w:r>
        <w:t xml:space="preserve">fact A replaced fact B at timestamp X, approved by agent Y, logged to Firehorse.</w:t>
      </w:r>
      <w:r>
        <w:t xml:space="preserve">”</w:t>
      </w:r>
      <w:r>
        <w:t xml:space="preserve"> </w:t>
      </w:r>
      <w:r>
        <w:t xml:space="preserve">This is essential for EU compliance audits under CSRD and EU AI Act Article 12.</w:t>
      </w:r>
    </w:p>
    <w:p>
      <w:pPr>
        <w:pStyle w:val="FirstParagraph"/>
      </w:pPr>
      <w:r>
        <w:rPr>
          <w:bCs/>
          <w:b/>
        </w:rPr>
        <w:t xml:space="preserve">KYA-First PR Ordering:</w:t>
      </w:r>
    </w:p>
    <w:p>
      <w:pPr>
        <w:pStyle w:val="BodyText"/>
      </w:pPr>
      <w:r>
        <w:t xml:space="preserve">The original PR sequence (254→255→256→257→258→259) was reordered based on a critical insight:</w:t>
      </w:r>
      <w:r>
        <w:t xml:space="preserve"> </w:t>
      </w:r>
      <w:r>
        <w:rPr>
          <w:bCs/>
          <w:b/>
        </w:rPr>
        <w:t xml:space="preserve">contradiction resolution (PR-255) without KYA attestation means resolving conflicts in memory with no audit trail for</w:t>
      </w:r>
      <w:r>
        <w:rPr>
          <w:bCs/>
          <w:b/>
        </w:rPr>
        <w:t xml:space="preserve"> </w:t>
      </w:r>
      <w:r>
        <w:rPr>
          <w:iCs/>
          <w:i/>
          <w:bCs/>
          <w:b/>
        </w:rPr>
        <w:t xml:space="preserve">why</w:t>
      </w:r>
      <w:r>
        <w:rPr>
          <w:bCs/>
          <w:b/>
        </w:rPr>
        <w:t xml:space="preserve"> </w:t>
      </w:r>
      <w:r>
        <w:rPr>
          <w:bCs/>
          <w:b/>
        </w:rPr>
        <w:t xml:space="preserve">one fact superseded another.</w:t>
      </w:r>
      <w:r>
        <w:t xml:space="preserve"> </w:t>
      </w:r>
      <w:r>
        <w:t xml:space="preserve">The production order:</w:t>
      </w:r>
    </w:p>
    <w:tbl>
      <w:tblPr>
        <w:tblStyle w:val="Table"/>
        <w:tblW w:type="pct" w:w="5000"/>
        <w:tblLook w:firstRow="1" w:lastRow="0" w:firstColumn="0" w:lastColumn="0" w:noHBand="0" w:noVBand="0" w:val="0020"/>
        <w:jc w:val="start"/>
      </w:tblPr>
      <w:tblGrid>
        <w:gridCol w:w="880"/>
        <w:gridCol w:w="330"/>
        <w:gridCol w:w="3080"/>
        <w:gridCol w:w="3630"/>
      </w:tblGrid>
      <w:tr>
        <w:trPr>
          <w:tblHeader w:val="true"/>
        </w:trPr>
        <w:tc>
          <w:tcPr/>
          <w:p>
            <w:pPr>
              <w:pStyle w:val="Compact"/>
              <w:jc w:val="left"/>
            </w:pPr>
            <w:r>
              <w:t xml:space="preserve">Priority</w:t>
            </w:r>
          </w:p>
        </w:tc>
        <w:tc>
          <w:tcPr/>
          <w:p>
            <w:pPr>
              <w:pStyle w:val="Compact"/>
              <w:jc w:val="left"/>
            </w:pPr>
            <w:r>
              <w:t xml:space="preserve">PR</w:t>
            </w:r>
          </w:p>
        </w:tc>
        <w:tc>
          <w:tcPr/>
          <w:p>
            <w:pPr>
              <w:pStyle w:val="Compact"/>
              <w:jc w:val="left"/>
            </w:pPr>
            <w:r>
              <w:t xml:space="preserve">Feature</w:t>
            </w:r>
          </w:p>
        </w:tc>
        <w:tc>
          <w:tcPr/>
          <w:p>
            <w:pPr>
              <w:pStyle w:val="Compact"/>
              <w:jc w:val="left"/>
            </w:pPr>
            <w:r>
              <w:t xml:space="preserve">Dependency</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Fact Extraction</w:t>
            </w:r>
          </w:p>
        </w:tc>
        <w:tc>
          <w:tcPr/>
          <w:p>
            <w:pPr>
              <w:pStyle w:val="Compact"/>
              <w:jc w:val="left"/>
            </w:pPr>
            <w:r>
              <w:t xml:space="preserve">✅ Shipped</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Contradiction Resolution</w:t>
            </w:r>
          </w:p>
        </w:tc>
        <w:tc>
          <w:tcPr/>
          <w:p>
            <w:pPr>
              <w:pStyle w:val="Compact"/>
              <w:jc w:val="left"/>
            </w:pPr>
            <w:r>
              <w:t xml:space="preserve">Requires memory store</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 Memory Audit Trail</w:t>
            </w:r>
          </w:p>
        </w:tc>
        <w:tc>
          <w:tcPr/>
          <w:p>
            <w:pPr>
              <w:pStyle w:val="Compact"/>
              <w:jc w:val="left"/>
            </w:pPr>
            <w:r>
              <w:t xml:space="preserve">Requires contradiction resolution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Decay Scoring</w:t>
            </w:r>
          </w:p>
        </w:tc>
        <w:tc>
          <w:tcPr/>
          <w:p>
            <w:pPr>
              <w:pStyle w:val="Compact"/>
              <w:jc w:val="left"/>
            </w:pPr>
            <w:r>
              <w:t xml:space="preserve">Independent</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Consolidation Cron</w:t>
            </w:r>
          </w:p>
        </w:tc>
        <w:tc>
          <w:tcPr/>
          <w:p>
            <w:pPr>
              <w:pStyle w:val="Compact"/>
              <w:jc w:val="left"/>
            </w:pPr>
            <w:r>
              <w:t xml:space="preserve">Requires decay scoring</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Connector Sync</w:t>
            </w:r>
          </w:p>
        </w:tc>
        <w:tc>
          <w:tcPr/>
          <w:p>
            <w:pPr>
              <w:pStyle w:val="Compact"/>
              <w:jc w:val="left"/>
            </w:pPr>
            <w:r>
              <w:t xml:space="preserve">Requires stable memory API</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Self-Host EU</w:t>
            </w:r>
          </w:p>
        </w:tc>
        <w:tc>
          <w:tcPr/>
          <w:p>
            <w:pPr>
              <w:pStyle w:val="Compact"/>
              <w:jc w:val="left"/>
            </w:pPr>
            <w:r>
              <w:t xml:space="preserve">Infrastructure, last</w:t>
            </w:r>
          </w:p>
        </w:tc>
      </w:tr>
    </w:tbl>
    <w:p>
      <w:pPr>
        <w:pStyle w:val="BodyText"/>
      </w:pPr>
      <w:r>
        <w:rPr>
          <w:bCs/>
          <w:b/>
        </w:rPr>
        <w:t xml:space="preserve">Key Contribution #20:</w:t>
      </w:r>
      <w:r>
        <w:t xml:space="preserve"> </w:t>
      </w:r>
      <w:r>
        <w:t xml:space="preserve">First production implementation of agent memory fact extraction in an EU-compliant industrial AI platform, demonstrating the dual LWM/client-memory architecture and identifying the three-layer execution gap (state machine, ERP connectors, KYA governance) required for actionable enterprise AI memory.</w:t>
      </w:r>
    </w:p>
    <w:p>
      <w:r>
        <w:pict>
          <v:rect style="width:0;height:1.5pt" o:hralign="center" o:hrstd="t" o:hr="t"/>
        </w:pict>
      </w:r>
    </w:p>
    <w:bookmarkEnd w:id="179"/>
    <w:bookmarkEnd w:id="180"/>
    <w:bookmarkStart w:id="184" w:name="ceo-automation-agent-suite"/>
    <w:p>
      <w:pPr>
        <w:pStyle w:val="Heading2"/>
      </w:pPr>
      <w:r>
        <w:t xml:space="preserve">10.11 CEO Automation Agent Suite</w:t>
      </w:r>
    </w:p>
    <w:p>
      <w:pPr>
        <w:pStyle w:val="FirstParagraph"/>
      </w:pPr>
      <w:r>
        <w:rPr>
          <w:iCs/>
          <w:i/>
        </w:rPr>
        <w:t xml:space="preserve">Deployed: 24.02.2026 | Commit: claude/ai-agent-orchestration-t89Ig</w:t>
      </w:r>
    </w:p>
    <w:p>
      <w:pPr>
        <w:pStyle w:val="BodyText"/>
      </w:pPr>
      <w:r>
        <w:t xml:space="preserve">Three production AI agents that automate the CEO’s daily operational rhythm, fully integrated into the Firehorse platform (GitHub Actions cron, Supabase, Resend).</w:t>
      </w:r>
    </w:p>
    <w:bookmarkStart w:id="181" w:name="captain-pre-briefing-agent"/>
    <w:p>
      <w:pPr>
        <w:pStyle w:val="Heading3"/>
      </w:pPr>
      <w:r>
        <w:t xml:space="preserve">10.11.1 Captain Pre-Briefing Agent</w:t>
      </w:r>
    </w:p>
    <w:p>
      <w:pPr>
        <w:pStyle w:val="FirstParagraph"/>
      </w:pPr>
      <w:r>
        <w:rPr>
          <w:bCs/>
          <w:b/>
        </w:rPr>
        <w:t xml:space="preserve">Trigger:</w:t>
      </w:r>
      <w:r>
        <w:t xml:space="preserve"> </w:t>
      </w:r>
      <w:r>
        <w:t xml:space="preserve">07:30 Helsinki, Mon–Fri |</w:t>
      </w:r>
      <w:r>
        <w:t xml:space="preserve"> </w:t>
      </w:r>
      <w:r>
        <w:rPr>
          <w:bCs/>
          <w:b/>
        </w:rPr>
        <w:t xml:space="preserve">File:</w:t>
      </w:r>
      <w:r>
        <w:t xml:space="preserve"> </w:t>
      </w:r>
      <w:r>
        <w:rPr>
          <w:rStyle w:val="VerbatimChar"/>
        </w:rPr>
        <w:t xml:space="preserve">src/captain-briefing/</w:t>
      </w:r>
    </w:p>
    <w:p>
      <w:pPr>
        <w:pStyle w:val="BodyText"/>
      </w:pPr>
      <w:r>
        <w:t xml:space="preserve">Prepares a pre-call briefing for each active sales contact (captain) with a next action due today. Pulls thread history, contact info, proposals, and meetings from Supabase, generates talking points and a suggested next action, sends as a dark-theme HTML email via Resend.</w:t>
      </w:r>
    </w:p>
    <w:p>
      <w:pPr>
        <w:pStyle w:val="SourceCode"/>
      </w:pPr>
      <w:r>
        <w:rPr>
          <w:rStyle w:val="VerbatimChar"/>
        </w:rPr>
        <w:t xml:space="preserve">07:30 Helsinki → Captain Briefing Agent</w:t>
      </w:r>
      <w:r>
        <w:br/>
      </w:r>
      <w:r>
        <w:rPr>
          <w:rStyle w:val="VerbatimChar"/>
        </w:rPr>
        <w:t xml:space="preserve">  └── Supabase: thread_history + proposals + meetings</w:t>
      </w:r>
      <w:r>
        <w:br/>
      </w:r>
      <w:r>
        <w:rPr>
          <w:rStyle w:val="VerbatimChar"/>
        </w:rPr>
        <w:t xml:space="preserve">  └── Claude: talking points + suggested next action</w:t>
      </w:r>
      <w:r>
        <w:br/>
      </w:r>
      <w:r>
        <w:rPr>
          <w:rStyle w:val="VerbatimChar"/>
        </w:rPr>
        <w:t xml:space="preserve">  └── Resend: HTML email → risto@lifetime.fi</w:t>
      </w:r>
    </w:p>
    <w:p>
      <w:pPr>
        <w:pStyle w:val="FirstParagraph"/>
      </w:pPr>
      <w:r>
        <w:rPr>
          <w:bCs/>
          <w:b/>
        </w:rPr>
        <w:t xml:space="preserve">Research contribution:</w:t>
      </w:r>
      <w:r>
        <w:t xml:space="preserve"> </w:t>
      </w:r>
      <w:r>
        <w:t xml:space="preserve">Implements the Lifetime Scope Signals protocol (Section 2.5.2) in an operational context — the agent observes CRM signals and emits an action recommendation, demonstrating the brain-body interface in a revenue-critical workflow.</w:t>
      </w:r>
    </w:p>
    <w:bookmarkEnd w:id="181"/>
    <w:bookmarkStart w:id="182" w:name="linkedin-post-scheduler"/>
    <w:p>
      <w:pPr>
        <w:pStyle w:val="Heading3"/>
      </w:pPr>
      <w:r>
        <w:t xml:space="preserve">10.11.2 LinkedIn Post Scheduler</w:t>
      </w:r>
    </w:p>
    <w:p>
      <w:pPr>
        <w:pStyle w:val="FirstParagraph"/>
      </w:pPr>
      <w:r>
        <w:rPr>
          <w:bCs/>
          <w:b/>
        </w:rPr>
        <w:t xml:space="preserve">Trigger:</w:t>
      </w:r>
      <w:r>
        <w:t xml:space="preserve"> </w:t>
      </w:r>
      <w:r>
        <w:t xml:space="preserve">08:00 Helsinki, Mon–Fri |</w:t>
      </w:r>
      <w:r>
        <w:t xml:space="preserve"> </w:t>
      </w:r>
      <w:r>
        <w:rPr>
          <w:bCs/>
          <w:b/>
        </w:rPr>
        <w:t xml:space="preserve">File:</w:t>
      </w:r>
      <w:r>
        <w:t xml:space="preserve"> </w:t>
      </w:r>
      <w:r>
        <w:rPr>
          <w:rStyle w:val="VerbatimChar"/>
        </w:rPr>
        <w:t xml:space="preserve">src/social-scheduler/</w:t>
      </w:r>
    </w:p>
    <w:p>
      <w:pPr>
        <w:pStyle w:val="BodyText"/>
      </w:pPr>
      <w:r>
        <w:t xml:space="preserve">Weekly content calendar with category-specific post templates (Mon=thought leadership, Tue=compliance, Wed=product, Thu=case study, Fri=ecosystem). CEO approval digest — reply approve/edit/reject per draft. Posts queue stored in Supabase (</w:t>
      </w:r>
      <w:r>
        <w:rPr>
          <w:rStyle w:val="VerbatimChar"/>
        </w:rPr>
        <w:t xml:space="preserve">social_posts</w:t>
      </w:r>
      <w:r>
        <w:t xml:space="preserve"> </w:t>
      </w:r>
      <w:r>
        <w:t xml:space="preserve">table, migration</w:t>
      </w:r>
      <w:r>
        <w:t xml:space="preserve"> </w:t>
      </w:r>
      <w:r>
        <w:rPr>
          <w:rStyle w:val="VerbatimChar"/>
        </w:rPr>
        <w:t xml:space="preserve">034_social_posts.sql</w:t>
      </w:r>
      <w:r>
        <w:t xml:space="preserve">).</w:t>
      </w:r>
    </w:p>
    <w:bookmarkEnd w:id="182"/>
    <w:bookmarkStart w:id="183" w:name="eu-regulation-monitor"/>
    <w:p>
      <w:pPr>
        <w:pStyle w:val="Heading3"/>
      </w:pPr>
      <w:r>
        <w:t xml:space="preserve">10.11.3 EU Regulation Monitor</w:t>
      </w:r>
    </w:p>
    <w:p>
      <w:pPr>
        <w:pStyle w:val="FirstParagraph"/>
      </w:pPr>
      <w:r>
        <w:rPr>
          <w:bCs/>
          <w:b/>
        </w:rPr>
        <w:t xml:space="preserve">Trigger:</w:t>
      </w:r>
      <w:r>
        <w:t xml:space="preserve"> </w:t>
      </w:r>
      <w:r>
        <w:t xml:space="preserve">05:30 Helsinki, Mon–Fri (before briefing) |</w:t>
      </w:r>
      <w:r>
        <w:t xml:space="preserve"> </w:t>
      </w:r>
      <w:r>
        <w:rPr>
          <w:bCs/>
          <w:b/>
        </w:rPr>
        <w:t xml:space="preserve">File:</w:t>
      </w:r>
      <w:r>
        <w:t xml:space="preserve"> </w:t>
      </w:r>
      <w:r>
        <w:rPr>
          <w:rStyle w:val="VerbatimChar"/>
        </w:rPr>
        <w:t xml:space="preserve">src/regulation-monitor/</w:t>
      </w:r>
    </w:p>
    <w:p>
      <w:pPr>
        <w:pStyle w:val="BodyText"/>
      </w:pPr>
      <w:r>
        <w:t xml:space="preserve">Fetches RSS from EU Commission, EUR-Lex, Carbon Pulse, and Euractiv. Classifies updates by regulation (CBAM, CSRD, Fit for 55, EPBD, EU AI Act, ETS) with severity scoring (urgent/important/info) and customer impact detection. Feeds regulation alerts into the LinkedIn Scheduler as content ideas.</w:t>
      </w:r>
    </w:p>
    <w:p>
      <w:pPr>
        <w:pStyle w:val="SourceCode"/>
      </w:pPr>
      <w:r>
        <w:rPr>
          <w:rStyle w:val="VerbatimChar"/>
        </w:rPr>
        <w:t xml:space="preserve">05:30 → EU Regulation Monitor</w:t>
      </w:r>
      <w:r>
        <w:br/>
      </w:r>
      <w:r>
        <w:rPr>
          <w:rStyle w:val="VerbatimChar"/>
        </w:rPr>
        <w:t xml:space="preserve">  └── Fetch: EU Commission + EUR-Lex + Carbon Pulse + Euractiv</w:t>
      </w:r>
      <w:r>
        <w:br/>
      </w:r>
      <w:r>
        <w:rPr>
          <w:rStyle w:val="VerbatimChar"/>
        </w:rPr>
        <w:t xml:space="preserve">  └── Classify: CBAM | CSRD | Fit for 55 | EPBD | EU AI Act | ETS</w:t>
      </w:r>
      <w:r>
        <w:br/>
      </w:r>
      <w:r>
        <w:rPr>
          <w:rStyle w:val="VerbatimChar"/>
        </w:rPr>
        <w:t xml:space="preserve">  └── Score: urgent / important / info</w:t>
      </w:r>
      <w:r>
        <w:br/>
      </w:r>
      <w:r>
        <w:rPr>
          <w:rStyle w:val="VerbatimChar"/>
        </w:rPr>
        <w:t xml:space="preserve">  └── Feed: → LinkedIn Scheduler content queue</w:t>
      </w:r>
      <w:r>
        <w:br/>
      </w:r>
      <w:r>
        <w:rPr>
          <w:rStyle w:val="VerbatimChar"/>
        </w:rPr>
        <w:t xml:space="preserve">07:30 → Captain Briefing (uses regulation context)</w:t>
      </w:r>
      <w:r>
        <w:br/>
      </w:r>
      <w:r>
        <w:rPr>
          <w:rStyle w:val="VerbatimChar"/>
        </w:rPr>
        <w:t xml:space="preserve">08:00 → LinkedIn Scheduler (drafts regulation-aware posts)</w:t>
      </w:r>
    </w:p>
    <w:p>
      <w:pPr>
        <w:pStyle w:val="FirstParagraph"/>
      </w:pPr>
      <w:r>
        <w:rPr>
          <w:bCs/>
          <w:b/>
        </w:rPr>
        <w:t xml:space="preserve">Solution Factory validation:</w:t>
      </w:r>
      <w:r>
        <w:t xml:space="preserve"> </w:t>
      </w:r>
      <w:r>
        <w:t xml:space="preserve">All three agents were implemented in a single session following the same patterns: dark-theme HTML email, Resend delivery, GitHub Actions cron with DST-safe dual entries (</w:t>
      </w:r>
      <w:r>
        <w:rPr>
          <w:rStyle w:val="VerbatimChar"/>
        </w:rPr>
        <w:t xml:space="preserve">UTC+2</w:t>
      </w:r>
      <w:r>
        <w:t xml:space="preserve">/</w:t>
      </w:r>
      <w:r>
        <w:rPr>
          <w:rStyle w:val="VerbatimChar"/>
        </w:rPr>
        <w:t xml:space="preserve">UTC+3</w:t>
      </w:r>
      <w:r>
        <w:t xml:space="preserve">), best-effort Supabase queries. This confirms the operating model’s replicability for new agent types.</w:t>
      </w:r>
    </w:p>
    <w:p>
      <w:r>
        <w:pict>
          <v:rect style="width:0;height:1.5pt" o:hralign="center" o:hrstd="t" o:hr="t"/>
        </w:pict>
      </w:r>
    </w:p>
    <w:bookmarkEnd w:id="183"/>
    <w:bookmarkEnd w:id="184"/>
    <w:bookmarkStart w:id="190" w:name="Xc0734f62f8b7207932c56e03d0284c283e31af6"/>
    <w:p>
      <w:pPr>
        <w:pStyle w:val="Heading2"/>
      </w:pPr>
      <w:r>
        <w:t xml:space="preserve">10.12 Strategic Partnerships: NVIDIA, Siemens, ABB, xAI &amp; Mistral</w:t>
      </w:r>
    </w:p>
    <w:p>
      <w:pPr>
        <w:pStyle w:val="FirstParagraph"/>
      </w:pPr>
      <w:r>
        <w:rPr>
          <w:iCs/>
          <w:i/>
        </w:rPr>
        <w:t xml:space="preserve">Documented: 27.02.2026 | Source: docs/DWS6_TO_DWS7_UPDATE.md v1.1</w:t>
      </w:r>
    </w:p>
    <w:p>
      <w:pPr>
        <w:pStyle w:val="BodyText"/>
      </w:pPr>
      <w:r>
        <w:t xml:space="preserve">DWS7 builds a multi-partner ecosystem spanning industrial automation (NVIDIA, Siemens, ABB), frontier AI inference (xAI, Mistral), and edge computing. Each partner fills a distinct role in the Brain-Memory-Body-Hands architecture.</w:t>
      </w:r>
    </w:p>
    <w:tbl>
      <w:tblPr>
        <w:tblStyle w:val="Table"/>
        <w:tblW w:type="pct" w:w="5000"/>
        <w:tblLook w:firstRow="1" w:lastRow="0" w:firstColumn="0" w:lastColumn="0" w:noHBand="0" w:noVBand="0" w:val="0020"/>
        <w:jc w:val="start"/>
      </w:tblPr>
      <w:tblGrid>
        <w:gridCol w:w="685"/>
        <w:gridCol w:w="5238"/>
        <w:gridCol w:w="1995"/>
      </w:tblGrid>
      <w:tr>
        <w:trPr>
          <w:tblHeader w:val="true"/>
        </w:trPr>
        <w:tc>
          <w:tcPr/>
          <w:p>
            <w:pPr>
              <w:pStyle w:val="Compact"/>
              <w:jc w:val="left"/>
            </w:pPr>
            <w:r>
              <w:t xml:space="preserve">Partner</w:t>
            </w:r>
          </w:p>
        </w:tc>
        <w:tc>
          <w:tcPr/>
          <w:p>
            <w:pPr>
              <w:pStyle w:val="Compact"/>
              <w:jc w:val="left"/>
            </w:pPr>
            <w:r>
              <w:t xml:space="preserve">Role in Architecture</w:t>
            </w:r>
          </w:p>
        </w:tc>
        <w:tc>
          <w:tcPr/>
          <w:p>
            <w:pPr>
              <w:pStyle w:val="Compact"/>
              <w:jc w:val="left"/>
            </w:pPr>
            <w:r>
              <w:t xml:space="preserve">Integration Status</w:t>
            </w:r>
          </w:p>
        </w:tc>
      </w:tr>
      <w:tr>
        <w:tc>
          <w:tcPr/>
          <w:p>
            <w:pPr>
              <w:pStyle w:val="Compact"/>
              <w:jc w:val="left"/>
            </w:pPr>
            <w:r>
              <w:rPr>
                <w:bCs/>
                <w:b/>
              </w:rPr>
              <w:t xml:space="preserve">NVIDIA</w:t>
            </w:r>
          </w:p>
        </w:tc>
        <w:tc>
          <w:tcPr/>
          <w:p>
            <w:pPr>
              <w:pStyle w:val="Compact"/>
              <w:jc w:val="left"/>
            </w:pPr>
            <w:r>
              <w:t xml:space="preserve">GPU compute (Brain), Jetson edge (Hands), Omniverse digital twins (Body)</w:t>
            </w:r>
          </w:p>
        </w:tc>
        <w:tc>
          <w:tcPr/>
          <w:p>
            <w:pPr>
              <w:pStyle w:val="Compact"/>
              <w:jc w:val="left"/>
            </w:pPr>
            <w:r>
              <w:t xml:space="preserve">Inception program target Q2 2026</w:t>
            </w:r>
          </w:p>
        </w:tc>
      </w:tr>
      <w:tr>
        <w:tc>
          <w:tcPr/>
          <w:p>
            <w:pPr>
              <w:pStyle w:val="Compact"/>
              <w:jc w:val="left"/>
            </w:pPr>
            <w:r>
              <w:rPr>
                <w:bCs/>
                <w:b/>
              </w:rPr>
              <w:t xml:space="preserve">Siemens</w:t>
            </w:r>
          </w:p>
        </w:tc>
        <w:tc>
          <w:tcPr/>
          <w:p>
            <w:pPr>
              <w:pStyle w:val="Compact"/>
              <w:jc w:val="left"/>
            </w:pPr>
            <w:r>
              <w:t xml:space="preserve">MindSphere IoT (Hands), digital twin composer (Body), Xcelerator marketplace</w:t>
            </w:r>
          </w:p>
        </w:tc>
        <w:tc>
          <w:tcPr/>
          <w:p>
            <w:pPr>
              <w:pStyle w:val="Compact"/>
              <w:jc w:val="left"/>
            </w:pPr>
            <w:r>
              <w:t xml:space="preserve">Developer access Q2 2026</w:t>
            </w:r>
          </w:p>
        </w:tc>
      </w:tr>
      <w:tr>
        <w:tc>
          <w:tcPr/>
          <w:p>
            <w:pPr>
              <w:pStyle w:val="Compact"/>
              <w:jc w:val="left"/>
            </w:pPr>
            <w:r>
              <w:rPr>
                <w:bCs/>
                <w:b/>
              </w:rPr>
              <w:t xml:space="preserve">ABB</w:t>
            </w:r>
          </w:p>
        </w:tc>
        <w:tc>
          <w:tcPr/>
          <w:p>
            <w:pPr>
              <w:pStyle w:val="Compact"/>
              <w:jc w:val="left"/>
            </w:pPr>
            <w:r>
              <w:t xml:space="preserve">Industrial automation + robotics (Hands), power grid management</w:t>
            </w:r>
          </w:p>
        </w:tc>
        <w:tc>
          <w:tcPr/>
          <w:p>
            <w:pPr>
              <w:pStyle w:val="Compact"/>
              <w:jc w:val="left"/>
            </w:pPr>
            <w:r>
              <w:t xml:space="preserve">Integration target Q3 2026</w:t>
            </w:r>
          </w:p>
        </w:tc>
      </w:tr>
      <w:tr>
        <w:tc>
          <w:tcPr/>
          <w:p>
            <w:pPr>
              <w:pStyle w:val="Compact"/>
              <w:jc w:val="left"/>
            </w:pPr>
            <w:r>
              <w:rPr>
                <w:bCs/>
                <w:b/>
              </w:rPr>
              <w:t xml:space="preserve">xAI</w:t>
            </w:r>
          </w:p>
        </w:tc>
        <w:tc>
          <w:tcPr/>
          <w:p>
            <w:pPr>
              <w:pStyle w:val="Compact"/>
              <w:jc w:val="left"/>
            </w:pPr>
            <w:r>
              <w:t xml:space="preserve">Real-time market intelligence via Grok, X/Twitter signal discovery (Brain)</w:t>
            </w:r>
          </w:p>
        </w:tc>
        <w:tc>
          <w:tcPr/>
          <w:p>
            <w:pPr>
              <w:pStyle w:val="Compact"/>
              <w:jc w:val="left"/>
            </w:pPr>
            <w:r>
              <w:t xml:space="preserve">Active (production)</w:t>
            </w:r>
          </w:p>
        </w:tc>
      </w:tr>
      <w:tr>
        <w:tc>
          <w:tcPr/>
          <w:p>
            <w:pPr>
              <w:pStyle w:val="Compact"/>
              <w:jc w:val="left"/>
            </w:pPr>
            <w:r>
              <w:rPr>
                <w:bCs/>
                <w:b/>
              </w:rPr>
              <w:t xml:space="preserve">Mistral</w:t>
            </w:r>
          </w:p>
        </w:tc>
        <w:tc>
          <w:tcPr/>
          <w:p>
            <w:pPr>
              <w:pStyle w:val="Compact"/>
              <w:jc w:val="left"/>
            </w:pPr>
            <w:r>
              <w:t xml:space="preserve">EU-sovereign AI inference, multilingual compliance generation (Brain/Memory)</w:t>
            </w:r>
          </w:p>
        </w:tc>
        <w:tc>
          <w:tcPr/>
          <w:p>
            <w:pPr>
              <w:pStyle w:val="Compact"/>
              <w:jc w:val="left"/>
            </w:pPr>
            <w:r>
              <w:t xml:space="preserve">Planned Q3 2026</w:t>
            </w:r>
          </w:p>
        </w:tc>
      </w:tr>
      <w:tr>
        <w:tc>
          <w:tcPr/>
          <w:p>
            <w:pPr>
              <w:pStyle w:val="Compact"/>
              <w:jc w:val="left"/>
            </w:pPr>
            <w:r>
              <w:rPr>
                <w:bCs/>
                <w:b/>
              </w:rPr>
              <w:t xml:space="preserve">Red Hat</w:t>
            </w:r>
          </w:p>
        </w:tc>
        <w:tc>
          <w:tcPr/>
          <w:p>
            <w:pPr>
              <w:pStyle w:val="Compact"/>
              <w:jc w:val="left"/>
            </w:pPr>
            <w:r>
              <w:t xml:space="preserve">AgentOps BYOA platform (Body), OpenShift AI for agent deployment, hybrid cloud infra</w:t>
            </w:r>
          </w:p>
        </w:tc>
        <w:tc>
          <w:tcPr/>
          <w:p>
            <w:pPr>
              <w:pStyle w:val="Compact"/>
              <w:jc w:val="left"/>
            </w:pPr>
            <w:r>
              <w:t xml:space="preserve">Active (March 2026)</w:t>
            </w:r>
          </w:p>
        </w:tc>
      </w:tr>
    </w:tbl>
    <w:bookmarkStart w:id="185" w:name="multi-llm-router-architecture"/>
    <w:p>
      <w:pPr>
        <w:pStyle w:val="Heading3"/>
      </w:pPr>
      <w:r>
        <w:t xml:space="preserve">10.12.1 Multi-LLM Router Architecture</w:t>
      </w:r>
    </w:p>
    <w:p>
      <w:pPr>
        <w:pStyle w:val="FirstParagraph"/>
      </w:pPr>
      <w:r>
        <w:t xml:space="preserve">DWS7 selects the LLM per task type based on three criteria:</w:t>
      </w:r>
      <w:r>
        <w:t xml:space="preserve"> </w:t>
      </w:r>
      <w:r>
        <w:rPr>
          <w:bCs/>
          <w:b/>
        </w:rPr>
        <w:t xml:space="preserve">EU sovereignty</w:t>
      </w:r>
      <w:r>
        <w:t xml:space="preserve">,</w:t>
      </w:r>
      <w:r>
        <w:t xml:space="preserve"> </w:t>
      </w:r>
      <w:r>
        <w:rPr>
          <w:bCs/>
          <w:b/>
        </w:rPr>
        <w:t xml:space="preserve">cost</w:t>
      </w:r>
      <w:r>
        <w:t xml:space="preserve">, and</w:t>
      </w:r>
      <w:r>
        <w:t xml:space="preserve"> </w:t>
      </w:r>
      <w:r>
        <w:rPr>
          <w:bCs/>
          <w:b/>
        </w:rPr>
        <w:t xml:space="preserve">latency</w:t>
      </w:r>
      <w:r>
        <w:t xml:space="preserve">:</w:t>
      </w:r>
    </w:p>
    <w:p>
      <w:pPr>
        <w:pStyle w:val="SourceCode"/>
      </w:pPr>
      <w:r>
        <w:rPr>
          <w:rStyle w:val="VerbatimChar"/>
        </w:rPr>
        <w:t xml:space="preserve">Task type → LLM selection</w:t>
      </w:r>
      <w:r>
        <w:br/>
      </w:r>
      <w:r>
        <w:rPr>
          <w:rStyle w:val="VerbatimChar"/>
        </w:rPr>
        <w:t xml:space="preserve">  Compliance generation (CSRD, CBAM)  → Claude (reasoning depth) or Mistral (EU-sovereign)</w:t>
      </w:r>
      <w:r>
        <w:br/>
      </w:r>
      <w:r>
        <w:rPr>
          <w:rStyle w:val="VerbatimChar"/>
        </w:rPr>
        <w:t xml:space="preserve">  Real-time market signal analysis     → xAI Grok (live X/Twitter data)</w:t>
      </w:r>
      <w:r>
        <w:br/>
      </w:r>
      <w:r>
        <w:rPr>
          <w:rStyle w:val="VerbatimChar"/>
        </w:rPr>
        <w:t xml:space="preserve">  Code generation                      → Claude or Groq (Llama 70B, fast)</w:t>
      </w:r>
      <w:r>
        <w:br/>
      </w:r>
      <w:r>
        <w:rPr>
          <w:rStyle w:val="VerbatimChar"/>
        </w:rPr>
        <w:t xml:space="preserve">  Lightweight summarization            → Groq (Haiku-equivalent speed)</w:t>
      </w:r>
      <w:r>
        <w:br/>
      </w:r>
      <w:r>
        <w:rPr>
          <w:rStyle w:val="VerbatimChar"/>
        </w:rPr>
        <w:t xml:space="preserve">  Edge inference (Acer Veriton)        → Qwen 2.5 72B (QLoRA fine-tuned, on-premises)</w:t>
      </w:r>
    </w:p>
    <w:p>
      <w:pPr>
        <w:pStyle w:val="FirstParagraph"/>
      </w:pPr>
      <w:r>
        <w:t xml:space="preserve">This multi-LLM router is not a monolithic integration — it is the</w:t>
      </w:r>
      <w:r>
        <w:t xml:space="preserve"> </w:t>
      </w:r>
      <w:r>
        <w:rPr>
          <w:bCs/>
          <w:b/>
        </w:rPr>
        <w:t xml:space="preserve">Lifetime World Model’s inference layer</w:t>
      </w:r>
      <w:r>
        <w:t xml:space="preserve">, selecting among its constituent models based on sovereignty, cost, and latency constraints at runtime.</w:t>
      </w:r>
    </w:p>
    <w:bookmarkEnd w:id="185"/>
    <w:bookmarkStart w:id="186" w:name="nvidia-gpu-compute-edge-ai"/>
    <w:p>
      <w:pPr>
        <w:pStyle w:val="Heading3"/>
      </w:pPr>
      <w:r>
        <w:t xml:space="preserve">10.12.2 NVIDIA — GPU Compute &amp; Edge AI</w:t>
      </w:r>
    </w:p>
    <w:p>
      <w:pPr>
        <w:pStyle w:val="FirstParagraph"/>
      </w:pPr>
      <w:r>
        <w:t xml:space="preserve">NVIDIA provides the infrastructure for both cloud inference and on-premises edge AI. The Acer Veriton GN100 (Section 10.10) already hosts CUDA-capable workloads. NVIDIA Inception membership (target Q2 2026) unlocks preferred pricing on compute credits and access to the Omniverse industrial simulation platform for digital twin workflows.</w:t>
      </w:r>
    </w:p>
    <w:p>
      <w:pPr>
        <w:pStyle w:val="BodyText"/>
      </w:pPr>
      <w:r>
        <w:rPr>
          <w:bCs/>
          <w:b/>
        </w:rPr>
        <w:t xml:space="preserve">Partnership track:</w:t>
      </w:r>
      <w:r>
        <w:t xml:space="preserve"> </w:t>
      </w:r>
      <w:r>
        <w:t xml:space="preserve">NVIDIA Inception (Q2 2026) → Ecosystem Partner (Q4 2026) → Strategic Partner (2027+)</w:t>
      </w:r>
    </w:p>
    <w:bookmarkEnd w:id="186"/>
    <w:bookmarkStart w:id="187" w:name="abb-industrial-automation-emissions-data"/>
    <w:p>
      <w:pPr>
        <w:pStyle w:val="Heading3"/>
      </w:pPr>
      <w:r>
        <w:t xml:space="preserve">10.12.3 ABB — Industrial Automation &amp; Emissions Data</w:t>
      </w:r>
    </w:p>
    <w:p>
      <w:pPr>
        <w:pStyle w:val="FirstParagraph"/>
      </w:pPr>
      <w:r>
        <w:t xml:space="preserve">ABB’s installed base of drives, motors, and power distribution equipment generates the sensor data DWS7 needs for real-time emissions calculation. ABB Ability Platform enables cloud-to-cloud IoT data ingestion; ABB Ability Energy Manager provides real-time Scope 2 emissions data.</w:t>
      </w:r>
    </w:p>
    <w:p>
      <w:pPr>
        <w:pStyle w:val="BodyText"/>
      </w:pPr>
      <w:r>
        <w:rPr>
          <w:bCs/>
          <w:b/>
        </w:rPr>
        <w:t xml:space="preserve">Why ABB matters for EU ETS:</w:t>
      </w:r>
      <w:r>
        <w:t xml:space="preserve"> </w:t>
      </w:r>
      <w:r>
        <w:t xml:space="preserve">ABB’s customers — steel, cement, chemicals, aluminum — are exactly the industries facing the highest EU ETS carbon costs. DWS7 becomes the compliance brain on top of ABB’s operational data.</w:t>
      </w:r>
    </w:p>
    <w:bookmarkEnd w:id="187"/>
    <w:bookmarkStart w:id="188" w:name="X5206bd3afdba06b0fe9823a5c00a5014d03af77"/>
    <w:p>
      <w:pPr>
        <w:pStyle w:val="Heading3"/>
      </w:pPr>
      <w:r>
        <w:t xml:space="preserve">10.12.4 Red Hat — AgentOps &amp; Hybrid Cloud Infrastructure</w:t>
      </w:r>
    </w:p>
    <w:p>
      <w:pPr>
        <w:pStyle w:val="FirstParagraph"/>
      </w:pPr>
      <w:r>
        <w:rPr>
          <w:iCs/>
          <w:i/>
        </w:rPr>
        <w:t xml:space="preserve">Added: 21.03.2026 | Source: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Key Findings (2025), Mikko Pylväs (Red Hat Finland AI event, March 2026)</w:t>
      </w:r>
    </w:p>
    <w:p>
      <w:pPr>
        <w:pStyle w:val="BodyText"/>
      </w:pPr>
      <w:r>
        <w:t xml:space="preserve">Red Hat’s AgentOps strategy —</w:t>
      </w:r>
      <w:r>
        <w:t xml:space="preserve"> </w:t>
      </w:r>
      <w:r>
        <w:rPr>
          <w:bCs/>
          <w:b/>
        </w:rPr>
        <w:t xml:space="preserve">Bring Your Own Agent (BYOA)</w:t>
      </w:r>
      <w:r>
        <w:t xml:space="preserve"> </w:t>
      </w:r>
      <w:r>
        <w:t xml:space="preserve">— provides enterprise Kubernetes (OpenShift) as the deployment and orchestration layer for AI agents. Their core thesis: adaptability is the prerequisite for any AI strategy to succeed. Whether agents use LangChain, AutoGen, or custom frameworks, Red Hat provides the enterprise rigor and security policies needed for production readiness.</w:t>
      </w:r>
    </w:p>
    <w:p>
      <w:pPr>
        <w:pStyle w:val="BodyText"/>
      </w:pPr>
      <w:r>
        <w:rPr>
          <w:bCs/>
          <w:b/>
        </w:rPr>
        <w:t xml:space="preserve">Strategic alignment with DWS IQ 6:</w:t>
      </w:r>
    </w:p>
    <w:p>
      <w:pPr>
        <w:numPr>
          <w:ilvl w:val="0"/>
          <w:numId w:val="1064"/>
        </w:numPr>
        <w:pStyle w:val="Compact"/>
      </w:pPr>
      <w:r>
        <w:rPr>
          <w:bCs/>
          <w:b/>
        </w:rPr>
        <w:t xml:space="preserve">Hybrid cloud imperative:</w:t>
      </w:r>
      <w:r>
        <w:t xml:space="preserve"> </w:t>
      </w:r>
      <w:r>
        <w:t xml:space="preserve">Red Hat identifies that a successful AI strategy must be a hybrid cloud strategy — train, tune, and run models wherever data resides without compromising security, compliance, or data sovereignty. This maps directly to DWS IQ 6’s deployment model (EU Cloud + GN-100 edge + Article 12 Logging Pipeline).</w:t>
      </w:r>
    </w:p>
    <w:p>
      <w:pPr>
        <w:numPr>
          <w:ilvl w:val="0"/>
          <w:numId w:val="1064"/>
        </w:numPr>
        <w:pStyle w:val="Compact"/>
      </w:pPr>
      <w:r>
        <w:rPr>
          <w:bCs/>
          <w:b/>
        </w:rPr>
        <w:t xml:space="preserve">Modernize before automate:</w:t>
      </w:r>
      <w:r>
        <w:t xml:space="preserve"> </w:t>
      </w:r>
      <w:r>
        <w:t xml:space="preserve">Moving from proprietary silos to open, flexible hybrid cloud (Linux, containers, Kubernetes) aligns with DWS7’s container-native architecture and NVIDIA partnership.</w:t>
      </w:r>
    </w:p>
    <w:p>
      <w:pPr>
        <w:numPr>
          <w:ilvl w:val="0"/>
          <w:numId w:val="1064"/>
        </w:numPr>
        <w:pStyle w:val="Compact"/>
      </w:pPr>
      <w:r>
        <w:rPr>
          <w:bCs/>
          <w:b/>
        </w:rPr>
        <w:t xml:space="preserve">Red Hat + NVIDIA joint work</w:t>
      </w:r>
      <w:r>
        <w:t xml:space="preserve"> </w:t>
      </w:r>
      <w:r>
        <w:t xml:space="preserve">on secure AI agent infrastructure directly supports the KYA-governed agent isolation model, providing hardware-attested security at the infrastructure layer.</w:t>
      </w:r>
    </w:p>
    <w:p>
      <w:pPr>
        <w:numPr>
          <w:ilvl w:val="0"/>
          <w:numId w:val="1064"/>
        </w:numPr>
        <w:pStyle w:val="Compact"/>
      </w:pPr>
      <w:r>
        <w:rPr>
          <w:bCs/>
          <w:b/>
        </w:rPr>
        <w:t xml:space="preserve">MCP as bridge:</w:t>
      </w:r>
      <w:r>
        <w:t xml:space="preserve"> </w:t>
      </w:r>
      <w:r>
        <w:t xml:space="preserve">Red Hat identifies MCP as critical for bridging legacy systems with agentic AI — validating DWS IQ 6’s MCP Hub architecture (Section 2.5.3).</w:t>
      </w:r>
    </w:p>
    <w:p>
      <w:pPr>
        <w:numPr>
          <w:ilvl w:val="0"/>
          <w:numId w:val="1064"/>
        </w:numPr>
        <w:pStyle w:val="Compact"/>
      </w:pPr>
      <w:r>
        <w:rPr>
          <w:bCs/>
          <w:b/>
        </w:rPr>
        <w:t xml:space="preserve">Expertise gap:</w:t>
      </w:r>
      <w:r>
        <w:t xml:space="preserve"> </w:t>
      </w:r>
      <w:r>
        <w:t xml:space="preserve">42% of organizations are blocked by lack of in-house AI expertise (Bain &amp; Company, 2025), validating the managed-platform approach where DWS IQ provides pre-built, compliant agent templates rather than requiring customers to build from scratch.</w:t>
      </w:r>
    </w:p>
    <w:bookmarkEnd w:id="188"/>
    <w:bookmarkStart w:id="189" w:name="research-contribution-4"/>
    <w:p>
      <w:pPr>
        <w:pStyle w:val="Heading3"/>
      </w:pPr>
      <w:r>
        <w:t xml:space="preserve">10.12.5 Research Contribution</w:t>
      </w:r>
    </w:p>
    <w:p>
      <w:pPr>
        <w:pStyle w:val="FirstParagraph"/>
      </w:pPr>
      <w:r>
        <w:t xml:space="preserve">The multi-partner ecosystem validates the</w:t>
      </w:r>
      <w:r>
        <w:t xml:space="preserve"> </w:t>
      </w:r>
      <w:r>
        <w:rPr>
          <w:bCs/>
          <w:b/>
        </w:rPr>
        <w:t xml:space="preserve">Solution Factory model’s third pillar</w:t>
      </w:r>
      <w:r>
        <w:t xml:space="preserve"> </w:t>
      </w:r>
      <w:r>
        <w:t xml:space="preserve">(Section 4.1.3 — distribution leverage). By plugging DWS7 into Siemens Xcelerator, NVIDIA Inception, and Red Hat’s OpenShift ecosystem, the platform gains access to 10,000+ industrial customers without building a direct sales organization — consistent with the partnership distribution strategy (Section 7.3) applied at the partnership level.</w:t>
      </w:r>
    </w:p>
    <w:p>
      <w:pPr>
        <w:pStyle w:val="BodyText"/>
      </w:pPr>
      <w:r>
        <w:t xml:space="preserve">The multi-LLM router architecture also demonstrates practical resolution of the</w:t>
      </w:r>
      <w:r>
        <w:t xml:space="preserve"> </w:t>
      </w:r>
      <w:r>
        <w:rPr>
          <w:bCs/>
          <w:b/>
        </w:rPr>
        <w:t xml:space="preserve">EU AI Act sovereignty tension</w:t>
      </w:r>
      <w:r>
        <w:t xml:space="preserve">: regulated industries can use Mistral for compliance generation (EU-domiciled, GDPR-compliant) while still accessing Claude and Grok for non-regulated analytical tasks. Red Hat’s BYOA framework further validates this architecture — enterprise customers can bring their own agent frameworks while DWS IQ provides the governed orchestration and compliance layer.</w:t>
      </w:r>
    </w:p>
    <w:p>
      <w:r>
        <w:pict>
          <v:rect style="width:0;height:1.5pt" o:hralign="center" o:hrstd="t" o:hr="t"/>
        </w:pict>
      </w:r>
    </w:p>
    <w:bookmarkEnd w:id="189"/>
    <w:bookmarkEnd w:id="190"/>
    <w:bookmarkEnd w:id="191"/>
    <w:bookmarkStart w:id="205" w:name="references"/>
    <w:p>
      <w:pPr>
        <w:pStyle w:val="Heading1"/>
      </w:pPr>
      <w:r>
        <w:t xml:space="preserve">11. References</w:t>
      </w:r>
    </w:p>
    <w:bookmarkStart w:id="192" w:name="academic-literature"/>
    <w:p>
      <w:pPr>
        <w:pStyle w:val="Heading2"/>
      </w:pPr>
      <w:r>
        <w:t xml:space="preserve">Academic Literature</w:t>
      </w:r>
    </w:p>
    <w:p>
      <w:pPr>
        <w:numPr>
          <w:ilvl w:val="0"/>
          <w:numId w:val="1065"/>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5"/>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5"/>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5"/>
        </w:numPr>
      </w:pPr>
      <w:r>
        <w:t xml:space="preserve">European Commission (2021).</w:t>
      </w:r>
      <w:r>
        <w:t xml:space="preserve"> </w:t>
      </w:r>
      <w:r>
        <w:rPr>
          <w:iCs/>
          <w:i/>
        </w:rPr>
        <w:t xml:space="preserve">Industry 5.0: Towards a Sustainable, Human-Centric and Resilient European Industry</w:t>
      </w:r>
      <w:r>
        <w:t xml:space="preserve">. Publications Office of the EU.</w:t>
      </w:r>
    </w:p>
    <w:p>
      <w:pPr>
        <w:numPr>
          <w:ilvl w:val="0"/>
          <w:numId w:val="1065"/>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5"/>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5"/>
        </w:numPr>
      </w:pPr>
      <w:r>
        <w:t xml:space="preserve">Wooldridge, M. (2009).</w:t>
      </w:r>
      <w:r>
        <w:t xml:space="preserve"> </w:t>
      </w:r>
      <w:r>
        <w:rPr>
          <w:iCs/>
          <w:i/>
        </w:rPr>
        <w:t xml:space="preserve">An Introduction to MultiAgent Systems</w:t>
      </w:r>
      <w:r>
        <w:t xml:space="preserve"> </w:t>
      </w:r>
      <w:r>
        <w:t xml:space="preserve">(2nd ed.). Wiley.</w:t>
      </w:r>
    </w:p>
    <w:p>
      <w:pPr>
        <w:numPr>
          <w:ilvl w:val="0"/>
          <w:numId w:val="1065"/>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2"/>
    <w:bookmarkStart w:id="193" w:name="multi-agent-systems-and-ai-coordination"/>
    <w:p>
      <w:pPr>
        <w:pStyle w:val="Heading2"/>
      </w:pPr>
      <w:r>
        <w:t xml:space="preserve">Multi-Agent Systems and AI Coordination</w:t>
      </w:r>
    </w:p>
    <w:p>
      <w:pPr>
        <w:numPr>
          <w:ilvl w:val="0"/>
          <w:numId w:val="1066"/>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6"/>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6"/>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3"/>
    <w:bookmarkStart w:id="194" w:name="industry-reports"/>
    <w:p>
      <w:pPr>
        <w:pStyle w:val="Heading2"/>
      </w:pPr>
      <w:r>
        <w:t xml:space="preserve">Industry Reports</w:t>
      </w:r>
    </w:p>
    <w:p>
      <w:pPr>
        <w:numPr>
          <w:ilvl w:val="0"/>
          <w:numId w:val="1067"/>
        </w:numPr>
      </w:pPr>
      <w:r>
        <w:t xml:space="preserve">European Commission &amp; Ramboll (2025).</w:t>
      </w:r>
      <w:r>
        <w:t xml:space="preserve"> </w:t>
      </w:r>
      <w:r>
        <w:t xml:space="preserve">“</w:t>
      </w:r>
      <w:r>
        <w:t xml:space="preserve">Analysis of Life-Cycle Greenhouse Gas Emissions of EU Buildings.</w:t>
      </w:r>
      <w:r>
        <w:t xml:space="preserve">”</w:t>
      </w:r>
      <w:r>
        <w:t xml:space="preserve"> </w:t>
      </w:r>
      <w:r>
        <w:t xml:space="preserve">DG Environment.</w:t>
      </w:r>
    </w:p>
    <w:p>
      <w:pPr>
        <w:numPr>
          <w:ilvl w:val="0"/>
          <w:numId w:val="1067"/>
        </w:numPr>
      </w:pPr>
      <w:r>
        <w:t xml:space="preserve">GRESB (2024).</w:t>
      </w:r>
      <w:r>
        <w:t xml:space="preserve"> </w:t>
      </w:r>
      <w:r>
        <w:t xml:space="preserve">“</w:t>
      </w:r>
      <w:r>
        <w:t xml:space="preserve">Building an Embodied Carbon Strategy in EU Markets: A Guide for Real Estate Investors.</w:t>
      </w:r>
      <w:r>
        <w:t xml:space="preserve">”</w:t>
      </w:r>
    </w:p>
    <w:p>
      <w:pPr>
        <w:numPr>
          <w:ilvl w:val="0"/>
          <w:numId w:val="1067"/>
        </w:numPr>
      </w:pPr>
      <w:r>
        <w:t xml:space="preserve">Eurofound &amp; Cedefop (2025).</w:t>
      </w:r>
      <w:r>
        <w:t xml:space="preserve"> </w:t>
      </w:r>
      <w:r>
        <w:t xml:space="preserve">“</w:t>
      </w:r>
      <w:r>
        <w:t xml:space="preserve">Digitisation of SMEs in the EU: Trends, Policies and Implications.</w:t>
      </w:r>
      <w:r>
        <w:t xml:space="preserve">”</w:t>
      </w:r>
      <w:r>
        <w:t xml:space="preserve"> </w:t>
      </w:r>
      <w:r>
        <w:t xml:space="preserve">Publications Office of the EU.</w:t>
      </w:r>
    </w:p>
    <w:p>
      <w:pPr>
        <w:numPr>
          <w:ilvl w:val="0"/>
          <w:numId w:val="1067"/>
        </w:numPr>
      </w:pPr>
      <w:r>
        <w:t xml:space="preserve">McKinsey &amp; Company (2024).</w:t>
      </w:r>
      <w:r>
        <w:t xml:space="preserve"> </w:t>
      </w:r>
      <w:r>
        <w:t xml:space="preserve">“</w:t>
      </w:r>
      <w:r>
        <w:t xml:space="preserve">The State of AI in Construction: Adoption, Impact, and Future Outlook.</w:t>
      </w:r>
      <w:r>
        <w:t xml:space="preserve">”</w:t>
      </w:r>
    </w:p>
    <w:bookmarkEnd w:id="194"/>
    <w:bookmarkStart w:id="195" w:name="regulations-and-standards"/>
    <w:p>
      <w:pPr>
        <w:pStyle w:val="Heading2"/>
      </w:pPr>
      <w:r>
        <w:t xml:space="preserve">Regulations and Standards</w:t>
      </w:r>
    </w:p>
    <w:p>
      <w:pPr>
        <w:numPr>
          <w:ilvl w:val="0"/>
          <w:numId w:val="1068"/>
        </w:numPr>
      </w:pPr>
      <w:r>
        <w:t xml:space="preserve">NIS 2 Directive (EU) 2022/2555</w:t>
      </w:r>
    </w:p>
    <w:p>
      <w:pPr>
        <w:numPr>
          <w:ilvl w:val="0"/>
          <w:numId w:val="1068"/>
        </w:numPr>
      </w:pPr>
      <w:r>
        <w:t xml:space="preserve">EU AI Act (EU) 2024/1689</w:t>
      </w:r>
    </w:p>
    <w:p>
      <w:pPr>
        <w:numPr>
          <w:ilvl w:val="0"/>
          <w:numId w:val="1068"/>
        </w:numPr>
      </w:pPr>
      <w:r>
        <w:t xml:space="preserve">General Data Protection Regulation (GDPR) (EU) 2016/679</w:t>
      </w:r>
    </w:p>
    <w:p>
      <w:pPr>
        <w:numPr>
          <w:ilvl w:val="0"/>
          <w:numId w:val="1068"/>
        </w:numPr>
      </w:pPr>
      <w:r>
        <w:t xml:space="preserve">Cybersecurity Act (EU) 2019/881</w:t>
      </w:r>
    </w:p>
    <w:p>
      <w:pPr>
        <w:numPr>
          <w:ilvl w:val="0"/>
          <w:numId w:val="1068"/>
        </w:numPr>
      </w:pPr>
      <w:r>
        <w:t xml:space="preserve">ISO/IEC 27001:2022</w:t>
      </w:r>
    </w:p>
    <w:p>
      <w:pPr>
        <w:numPr>
          <w:ilvl w:val="0"/>
          <w:numId w:val="1068"/>
        </w:numPr>
      </w:pPr>
      <w:r>
        <w:t xml:space="preserve">European Commission (2025).</w:t>
      </w:r>
      <w:r>
        <w:t xml:space="preserve"> </w:t>
      </w:r>
      <w:r>
        <w:rPr>
          <w:iCs/>
          <w:i/>
        </w:rPr>
        <w:t xml:space="preserve">Omnibus package</w:t>
      </w:r>
      <w:r>
        <w:t xml:space="preserve">.</w:t>
      </w:r>
    </w:p>
    <w:p>
      <w:pPr>
        <w:numPr>
          <w:ilvl w:val="0"/>
          <w:numId w:val="1068"/>
        </w:numPr>
      </w:pPr>
      <w:r>
        <w:t xml:space="preserve">EN 15978:2011 Sustainability of Construction Works</w:t>
      </w:r>
    </w:p>
    <w:p>
      <w:pPr>
        <w:numPr>
          <w:ilvl w:val="0"/>
          <w:numId w:val="1068"/>
        </w:numPr>
      </w:pPr>
      <w:r>
        <w:t xml:space="preserve">Energy Performance of Buildings Directive (EPBD) (EU) 2024/1275</w:t>
      </w:r>
    </w:p>
    <w:p>
      <w:pPr>
        <w:numPr>
          <w:ilvl w:val="0"/>
          <w:numId w:val="1068"/>
        </w:numPr>
      </w:pPr>
      <w:r>
        <w:t xml:space="preserve">Google Merchant Center Technical Specifications (2026)</w:t>
      </w:r>
    </w:p>
    <w:p>
      <w:pPr>
        <w:numPr>
          <w:ilvl w:val="0"/>
          <w:numId w:val="1068"/>
        </w:numPr>
      </w:pPr>
      <w:r>
        <w:t xml:space="preserve">Revolut Business API Documentation</w:t>
      </w:r>
    </w:p>
    <w:p>
      <w:pPr>
        <w:numPr>
          <w:ilvl w:val="0"/>
          <w:numId w:val="1068"/>
        </w:numPr>
      </w:pPr>
      <w:r>
        <w:t xml:space="preserve">Anthropic Claude Code Documentation</w:t>
      </w:r>
    </w:p>
    <w:p>
      <w:pPr>
        <w:numPr>
          <w:ilvl w:val="0"/>
          <w:numId w:val="1068"/>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8"/>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8"/>
        </w:numPr>
      </w:pPr>
      <w:r>
        <w:t xml:space="preserve">LUT University (2026).</w:t>
      </w:r>
      <w:r>
        <w:t xml:space="preserve"> </w:t>
      </w:r>
      <w:r>
        <w:rPr>
          <w:iCs/>
          <w:i/>
        </w:rPr>
        <w:t xml:space="preserve">Tekoälytyökalujen käytänteet</w:t>
      </w:r>
      <w:r>
        <w:t xml:space="preserve"> </w:t>
      </w:r>
      <w:r>
        <w:t xml:space="preserve">[AI Tool Usage Policies]. Lappeenrannan-Lahden teknillinen yliopisto LUT. https://elut.lut.fi/fi/opintojen-suorittaminen/opintoja-ohjaavat-saadokset-ja-ohjeet/tekoalytyokalujen-kaytanteet</w:t>
      </w:r>
    </w:p>
    <w:bookmarkEnd w:id="195"/>
    <w:bookmarkStart w:id="196" w:name="internal-reference-artifacts"/>
    <w:p>
      <w:pPr>
        <w:pStyle w:val="Heading2"/>
      </w:pPr>
      <w:r>
        <w:t xml:space="preserve">Internal Reference Artifacts</w:t>
      </w:r>
    </w:p>
    <w:p>
      <w:pPr>
        <w:numPr>
          <w:ilvl w:val="0"/>
          <w:numId w:val="1069"/>
        </w:numPr>
      </w:pPr>
      <w:r>
        <w:t xml:space="preserve">Lifetime Oy (2026).</w:t>
      </w:r>
      <w:r>
        <w:t xml:space="preserve"> </w:t>
      </w:r>
      <w:r>
        <w:rPr>
          <w:iCs/>
          <w:i/>
        </w:rPr>
        <w:t xml:space="preserve">Lifetime World LLM Scaling Blueprint (GN-100 hybrid + cloud path).</w:t>
      </w:r>
      <w:r>
        <w:t xml:space="preserve"> </w:t>
      </w:r>
      <w:r>
        <w:rPr>
          <w:rStyle w:val="VerbatimChar"/>
        </w:rPr>
        <w:t xml:space="preserve">Admin/Model/LLM_TRAINING_FEASIBILITY.md</w:t>
      </w:r>
      <w:r>
        <w:t xml:space="preserve">.</w:t>
      </w:r>
    </w:p>
    <w:p>
      <w:pPr>
        <w:numPr>
          <w:ilvl w:val="0"/>
          <w:numId w:val="1069"/>
        </w:numPr>
      </w:pPr>
      <w:r>
        <w:t xml:space="preserve">Lifetime Oy (2026).</w:t>
      </w:r>
      <w:r>
        <w:t xml:space="preserve"> </w:t>
      </w:r>
      <w:r>
        <w:rPr>
          <w:iCs/>
          <w:i/>
        </w:rPr>
        <w:t xml:space="preserve">DWS Security Standard</w:t>
      </w:r>
      <w:r>
        <w:t xml:space="preserve">, version 1.5.</w:t>
      </w:r>
      <w:r>
        <w:t xml:space="preserve"> </w:t>
      </w:r>
      <w:r>
        <w:rPr>
          <w:rStyle w:val="VerbatimChar"/>
        </w:rPr>
        <w:t xml:space="preserve">DWS_SECURITY_STANDARD.md</w:t>
      </w:r>
      <w:r>
        <w:t xml:space="preserve">. Internal framework governing AI safety, middleware security controls (correlation ID, Zod validation, centralized error handling), CORS policies, SRI integrity, Article 12 logging, and API boundary validation. Establishes the security architecture for all backend API routes and the MCP agent server.</w:t>
      </w:r>
    </w:p>
    <w:p>
      <w:pPr>
        <w:numPr>
          <w:ilvl w:val="0"/>
          <w:numId w:val="1069"/>
        </w:numPr>
      </w:pPr>
      <w:r>
        <w:t xml:space="preserve">Lifetime Oy (2026).</w:t>
      </w:r>
      <w:r>
        <w:t xml:space="preserve"> </w:t>
      </w:r>
      <w:r>
        <w:rPr>
          <w:iCs/>
          <w:i/>
        </w:rPr>
        <w:t xml:space="preserve">ESRS Data Point Registry</w:t>
      </w:r>
      <w:r>
        <w:t xml:space="preserve">, version 1.0.</w:t>
      </w:r>
      <w:r>
        <w:t xml:space="preserve"> </w:t>
      </w:r>
      <w:r>
        <w:rPr>
          <w:rStyle w:val="VerbatimChar"/>
        </w:rPr>
        <w:t xml:space="preserve">src/compliance/esrs-registry.ts</w:t>
      </w:r>
      <w:r>
        <w:t xml:space="preserve">. Machine-readable mapping of all 82 European Sustainability Reporting Standards (ESRS) disclosure requirements across E1-E5 (Environment), S1-S4 (Social), and G1 (Governance). Each disclosure is classified as mandatory or voluntary under the CSRD Directive (EU) 2022/2464.</w:t>
      </w:r>
    </w:p>
    <w:p>
      <w:pPr>
        <w:numPr>
          <w:ilvl w:val="0"/>
          <w:numId w:val="1069"/>
        </w:numPr>
      </w:pPr>
      <w:r>
        <w:t xml:space="preserve">Lifetime Oy (2026).</w:t>
      </w:r>
      <w:r>
        <w:t xml:space="preserve"> </w:t>
      </w:r>
      <w:r>
        <w:rPr>
          <w:iCs/>
          <w:i/>
        </w:rPr>
        <w:t xml:space="preserve">Compliance Scoring Engine</w:t>
      </w:r>
      <w:r>
        <w:t xml:space="preserve">, version 1.0.</w:t>
      </w:r>
      <w:r>
        <w:t xml:space="preserve"> </w:t>
      </w:r>
      <w:r>
        <w:rPr>
          <w:rStyle w:val="VerbatimChar"/>
        </w:rPr>
        <w:t xml:space="preserve">src/compliance/scoring-engine.ts</w:t>
      </w:r>
      <w:r>
        <w:t xml:space="preserve">. Deterministic compliance scoring algorithm computing CSRD readiness, ETS exposure, and CBAM risk scores. Formula: overall = CSRD(0.50) + ETS(0.25) + CBAM(0.25), where CSRD = (mandatory data points provided / total mandatory) × 80 + bonus modifiers.</w:t>
      </w:r>
    </w:p>
    <w:p>
      <w:pPr>
        <w:numPr>
          <w:ilvl w:val="0"/>
          <w:numId w:val="1069"/>
        </w:numPr>
      </w:pPr>
      <w:r>
        <w:t xml:space="preserve">Lifetime Oy (2026).</w:t>
      </w:r>
      <w:r>
        <w:t xml:space="preserve"> </w:t>
      </w:r>
      <w:r>
        <w:rPr>
          <w:iCs/>
          <w:i/>
        </w:rPr>
        <w:t xml:space="preserve">Site Quality Standards</w:t>
      </w:r>
      <w:r>
        <w:t xml:space="preserve">, version 2.1.</w:t>
      </w:r>
      <w:r>
        <w:t xml:space="preserve"> </w:t>
      </w:r>
      <w:r>
        <w:rPr>
          <w:rStyle w:val="VerbatimChar"/>
        </w:rPr>
        <w:t xml:space="preserve">SITE_QUALITY_STANDARDS.md</w:t>
      </w:r>
      <w:r>
        <w:t xml:space="preserve">. Code quality, component architecture, and UI resilience patterns for the DWS IQ dashboard. Defines ErrorBoundary, Skeleton loading, and EmptyState component standards for enterprise-grade user experience.</w:t>
      </w:r>
    </w:p>
    <w:p>
      <w:pPr>
        <w:numPr>
          <w:ilvl w:val="0"/>
          <w:numId w:val="1069"/>
        </w:numPr>
      </w:pPr>
      <w:r>
        <w:t xml:space="preserve">Lifetime Oy (2026).</w:t>
      </w:r>
      <w:r>
        <w:t xml:space="preserve"> </w:t>
      </w:r>
      <w:r>
        <w:rPr>
          <w:iCs/>
          <w:i/>
        </w:rPr>
        <w:t xml:space="preserve">AGENTS.md</w:t>
      </w:r>
      <w:r>
        <w:t xml:space="preserve">, version 2.2.</w:t>
      </w:r>
      <w:r>
        <w:t xml:space="preserve"> </w:t>
      </w:r>
      <w:r>
        <w:rPr>
          <w:rStyle w:val="VerbatimChar"/>
        </w:rPr>
        <w:t xml:space="preserve">AGENTS.md</w:t>
      </w:r>
      <w:r>
        <w:t xml:space="preserve">. Agent inventory and operational guidance following the agents.md open specification. Documents 15 AI agents, the compliance scoring engine architecture, middleware stack ordering, and the</w:t>
      </w:r>
      <w:r>
        <w:t xml:space="preserve"> </w:t>
      </w:r>
      <w:r>
        <w:t xml:space="preserve">“</w:t>
      </w:r>
      <w:r>
        <w:t xml:space="preserve">Build for Agents</w:t>
      </w:r>
      <w:r>
        <w:t xml:space="preserve">”</w:t>
      </w:r>
      <w:r>
        <w:t xml:space="preserve"> </w:t>
      </w:r>
      <w:r>
        <w:t xml:space="preserve">product rule requiring CLI + MCP + Skills interfaces.</w:t>
      </w:r>
    </w:p>
    <w:p>
      <w:pPr>
        <w:numPr>
          <w:ilvl w:val="0"/>
          <w:numId w:val="1069"/>
        </w:numPr>
      </w:pPr>
      <w:r>
        <w:t xml:space="preserve">Lifetime Oy (2026).</w:t>
      </w:r>
      <w:r>
        <w:t xml:space="preserve"> </w:t>
      </w:r>
      <w:r>
        <w:rPr>
          <w:iCs/>
          <w:i/>
        </w:rPr>
        <w:t xml:space="preserve">DWS IQ Platform Admin Manual</w:t>
      </w:r>
      <w:r>
        <w:t xml:space="preserve">, version 2.7.</w:t>
      </w:r>
      <w:r>
        <w:t xml:space="preserve"> </w:t>
      </w:r>
      <w:r>
        <w:rPr>
          <w:rStyle w:val="VerbatimChar"/>
        </w:rPr>
        <w:t xml:space="preserve">Admin/ADMIN_MANUAL.md</w:t>
      </w:r>
      <w:r>
        <w:t xml:space="preserve">. Operational procedures for health check monitoring, compliance scoring engine operations, and dashboard resilience troubleshooting. Includes the Claude Code Project Engineering Structure and Multi-Agent Orchestration sections.</w:t>
      </w:r>
    </w:p>
    <w:p>
      <w:pPr>
        <w:numPr>
          <w:ilvl w:val="0"/>
          <w:numId w:val="1069"/>
        </w:numPr>
      </w:pPr>
      <w:r>
        <w:t xml:space="preserve">Lifetime Oy (2026).</w:t>
      </w:r>
      <w:r>
        <w:t xml:space="preserve"> </w:t>
      </w:r>
      <w:r>
        <w:rPr>
          <w:iCs/>
          <w:i/>
        </w:rPr>
        <w:t xml:space="preserve">Enterprise Security &amp; Compliance</w:t>
      </w:r>
      <w:r>
        <w:t xml:space="preserve">, version 1.8.</w:t>
      </w:r>
      <w:r>
        <w:t xml:space="preserve"> </w:t>
      </w:r>
      <w:r>
        <w:rPr>
          <w:rStyle w:val="VerbatimChar"/>
        </w:rPr>
        <w:t xml:space="preserve">Admin/SECURITY_COMPLIANCE.md</w:t>
      </w:r>
      <w:r>
        <w:t xml:space="preserve">. Security controls for CISOs and procurement teams. Documents agent runtime security, dashboard resilience controls, backend middleware security controls, and compliance engine data protection with RLS policies.</w:t>
      </w:r>
    </w:p>
    <w:p>
      <w:r>
        <w:pict>
          <v:rect style="width:0;height:1.5pt" o:hralign="center" o:hrstd="t" o:hr="t"/>
        </w:pict>
      </w:r>
    </w:p>
    <w:bookmarkEnd w:id="196"/>
    <w:bookmarkStart w:id="204" w:name="Xb8f6749dfdefac9785887388fc5337f89fe9da9"/>
    <w:p>
      <w:pPr>
        <w:pStyle w:val="Heading2"/>
      </w:pPr>
      <w:r>
        <w:t xml:space="preserve">10.13 Claude Code Engineering Structure: AI Workflow as First-Class Engineering</w:t>
      </w:r>
    </w:p>
    <w:bookmarkStart w:id="197" w:name="motivation"/>
    <w:p>
      <w:pPr>
        <w:pStyle w:val="Heading3"/>
      </w:pPr>
      <w:r>
        <w:t xml:space="preserve">10.13.1 Motivation</w:t>
      </w:r>
    </w:p>
    <w:p>
      <w:pPr>
        <w:pStyle w:val="FirstParagraph"/>
      </w:pPr>
      <w:r>
        <w:t xml:space="preserve">As Claude Code adoption scales beyond individual experiments, a decisive architectural split emerges: projects treating AI workflows as temporary chat interactions diverge sharply from those engineering them as first-class software components. The DWS6 repository embodies the latter approach, and this section documents the principles that make it work at enterprise scale.</w:t>
      </w:r>
    </w:p>
    <w:p>
      <w:pPr>
        <w:pStyle w:val="BodyText"/>
      </w:pPr>
      <w:r>
        <w:t xml:space="preserve">The core insight — validated by emerging Claude Code community practice in 2026 — is that</w:t>
      </w:r>
      <w:r>
        <w:t xml:space="preserve"> </w:t>
      </w:r>
      <w:r>
        <w:rPr>
          <w:bCs/>
          <w:b/>
        </w:rPr>
        <w:t xml:space="preserve">the same separation of concerns used in software engineering applies equally to AI workflow design</w:t>
      </w:r>
      <w:r>
        <w:t xml:space="preserve">. A prompt is not a product; a skill is.</w:t>
      </w:r>
    </w:p>
    <w:bookmarkEnd w:id="197"/>
    <w:bookmarkStart w:id="198" w:name="claude.md-as-project-memory"/>
    <w:p>
      <w:pPr>
        <w:pStyle w:val="Heading3"/>
      </w:pPr>
      <w:r>
        <w:t xml:space="preserve">10.13.2 CLAUDE.md as Project Memory</w:t>
      </w:r>
    </w:p>
    <w:p>
      <w:pPr>
        <w:pStyle w:val="FirstParagraph"/>
      </w:pPr>
      <w:r>
        <w:t xml:space="preserve">Traditional AI usage repeats context in every prompt, creating two compounding costs: token waste and behavioral drift. The DWS6 solution is</w:t>
      </w:r>
      <w:r>
        <w:t xml:space="preserve"> </w:t>
      </w:r>
      <w:r>
        <w:rPr>
          <w:rStyle w:val="VerbatimChar"/>
        </w:rPr>
        <w:t xml:space="preserve">CLAUDE.md</w:t>
      </w:r>
      <w:r>
        <w:t xml:space="preserve"> </w:t>
      </w:r>
      <w:r>
        <w:t xml:space="preserve">— a living specification file serving as shared institutional memory across all AI sessions and tools.</w:t>
      </w:r>
    </w:p>
    <w:p>
      <w:pPr>
        <w:pStyle w:val="BodyText"/>
      </w:pPr>
      <w:r>
        <w:t xml:space="preserve">The DWS6</w:t>
      </w:r>
      <w:r>
        <w:t xml:space="preserve"> </w:t>
      </w:r>
      <w:r>
        <w:rPr>
          <w:rStyle w:val="VerbatimChar"/>
        </w:rPr>
        <w:t xml:space="preserve">CLAUDE.md</w:t>
      </w:r>
      <w:r>
        <w:t xml:space="preserve"> </w:t>
      </w:r>
      <w:r>
        <w:t xml:space="preserve">(2,000+ lines as of v3.17) centralizes:</w:t>
      </w:r>
    </w:p>
    <w:tbl>
      <w:tblPr>
        <w:tblStyle w:val="Table"/>
        <w:tblW w:type="pct" w:w="5000"/>
        <w:tblLook w:firstRow="1" w:lastRow="0" w:firstColumn="0" w:lastColumn="0" w:noHBand="0" w:noVBand="0" w:val="0020"/>
        <w:jc w:val="start"/>
      </w:tblPr>
      <w:tblGrid>
        <w:gridCol w:w="1535"/>
        <w:gridCol w:w="6384"/>
      </w:tblGrid>
      <w:tr>
        <w:trPr>
          <w:tblHeader w:val="true"/>
        </w:trPr>
        <w:tc>
          <w:tcPr/>
          <w:p>
            <w:pPr>
              <w:pStyle w:val="Compact"/>
              <w:jc w:val="left"/>
            </w:pPr>
            <w:r>
              <w:t xml:space="preserve">Category</w:t>
            </w:r>
          </w:p>
        </w:tc>
        <w:tc>
          <w:tcPr/>
          <w:p>
            <w:pPr>
              <w:pStyle w:val="Compact"/>
              <w:jc w:val="left"/>
            </w:pPr>
            <w:r>
              <w:t xml:space="preserve">Content</w:t>
            </w:r>
          </w:p>
        </w:tc>
      </w:tr>
      <w:tr>
        <w:tc>
          <w:tcPr/>
          <w:p>
            <w:pPr>
              <w:pStyle w:val="Compact"/>
              <w:jc w:val="left"/>
            </w:pPr>
            <w:r>
              <w:rPr>
                <w:bCs/>
                <w:b/>
              </w:rPr>
              <w:t xml:space="preserve">Standards</w:t>
            </w:r>
          </w:p>
        </w:tc>
        <w:tc>
          <w:tcPr/>
          <w:p>
            <w:pPr>
              <w:pStyle w:val="Compact"/>
              <w:jc w:val="left"/>
            </w:pPr>
            <w:r>
              <w:t xml:space="preserve">Brand, Document, Security, Market Research, Gamma UI</w:t>
            </w:r>
          </w:p>
        </w:tc>
      </w:tr>
      <w:tr>
        <w:tc>
          <w:tcPr/>
          <w:p>
            <w:pPr>
              <w:pStyle w:val="Compact"/>
              <w:jc w:val="left"/>
            </w:pPr>
            <w:r>
              <w:rPr>
                <w:bCs/>
                <w:b/>
              </w:rPr>
              <w:t xml:space="preserve">Architecture</w:t>
            </w:r>
          </w:p>
        </w:tc>
        <w:tc>
          <w:tcPr/>
          <w:p>
            <w:pPr>
              <w:pStyle w:val="Compact"/>
              <w:jc w:val="left"/>
            </w:pPr>
            <w:r>
              <w:t xml:space="preserve">Brain-Memory-Body-Hands, dual folder structure, store update rules</w:t>
            </w:r>
          </w:p>
        </w:tc>
      </w:tr>
      <w:tr>
        <w:tc>
          <w:tcPr/>
          <w:p>
            <w:pPr>
              <w:pStyle w:val="Compact"/>
              <w:jc w:val="left"/>
            </w:pPr>
            <w:r>
              <w:rPr>
                <w:bCs/>
                <w:b/>
              </w:rPr>
              <w:t xml:space="preserve">Constraints</w:t>
            </w:r>
          </w:p>
        </w:tc>
        <w:tc>
          <w:tcPr/>
          <w:p>
            <w:pPr>
              <w:pStyle w:val="Compact"/>
              <w:jc w:val="left"/>
            </w:pPr>
            <w:r>
              <w:t xml:space="preserve">File handling (git mv, never delete), public site publishing rules, email rules</w:t>
            </w:r>
          </w:p>
        </w:tc>
      </w:tr>
      <w:tr>
        <w:tc>
          <w:tcPr/>
          <w:p>
            <w:pPr>
              <w:pStyle w:val="Compact"/>
              <w:jc w:val="left"/>
            </w:pPr>
            <w:r>
              <w:rPr>
                <w:bCs/>
                <w:b/>
              </w:rPr>
              <w:t xml:space="preserve">Non-negotiables</w:t>
            </w:r>
          </w:p>
        </w:tc>
        <w:tc>
          <w:tcPr/>
          <w:p>
            <w:pPr>
              <w:pStyle w:val="Compact"/>
              <w:jc w:val="left"/>
            </w:pPr>
            <w:r>
              <w:t xml:space="preserve">EU data residency, GDPR, Article 12 logging, security coding rules</w:t>
            </w:r>
          </w:p>
        </w:tc>
      </w:tr>
      <w:tr>
        <w:tc>
          <w:tcPr/>
          <w:p>
            <w:pPr>
              <w:pStyle w:val="Compact"/>
              <w:jc w:val="left"/>
            </w:pPr>
            <w:r>
              <w:rPr>
                <w:bCs/>
                <w:b/>
              </w:rPr>
              <w:t xml:space="preserve">Guardrails</w:t>
            </w:r>
          </w:p>
        </w:tc>
        <w:tc>
          <w:tcPr/>
          <w:p>
            <w:pPr>
              <w:pStyle w:val="Compact"/>
              <w:jc w:val="left"/>
            </w:pPr>
            <w:r>
              <w:t xml:space="preserve">execFile vs exec, CORS policy, SRI hash enforcement</w:t>
            </w:r>
          </w:p>
        </w:tc>
      </w:tr>
    </w:tbl>
    <w:p>
      <w:pPr>
        <w:pStyle w:val="BodyText"/>
      </w:pPr>
      <w:r>
        <w:t xml:space="preserve">Measured impact: every new Claude Code session inherits 18 months of architectural decisions with zero human repetition. The VERSION AND AGENT HISTORY block in each document extends this to individual files — every document carries its own modification lineage visible to both humans and agents.</w:t>
      </w:r>
    </w:p>
    <w:bookmarkEnd w:id="198"/>
    <w:bookmarkStart w:id="199" w:name="skills-as-reusable-workflow-components"/>
    <w:p>
      <w:pPr>
        <w:pStyle w:val="Heading3"/>
      </w:pPr>
      <w:r>
        <w:t xml:space="preserve">10.13.3 Skills as Reusable Workflow Components</w:t>
      </w:r>
    </w:p>
    <w:p>
      <w:pPr>
        <w:pStyle w:val="FirstParagraph"/>
      </w:pPr>
      <w:r>
        <w:t xml:space="preserve">The shift from ad-hoc prompting to reusable skills represents a fundamental upgrade:</w:t>
      </w:r>
      <w:r>
        <w:t xml:space="preserve"> </w:t>
      </w:r>
      <w:r>
        <w:rPr>
          <w:bCs/>
          <w:b/>
        </w:rPr>
        <w:t xml:space="preserve">from chat interaction to system design</w:t>
      </w:r>
      <w:r>
        <w:t xml:space="preserve">. Skills are composable, versionable workflow components — not one-off prompts.</w:t>
      </w:r>
    </w:p>
    <w:p>
      <w:pPr>
        <w:pStyle w:val="BodyText"/>
      </w:pPr>
      <w:r>
        <w:t xml:space="preserve">By March 2026, DWS6 implements 21 production skills across four categories in</w:t>
      </w:r>
      <w:r>
        <w:t xml:space="preserve"> </w:t>
      </w:r>
      <w:r>
        <w:rPr>
          <w:rStyle w:val="VerbatimChar"/>
        </w:rPr>
        <w:t xml:space="preserve">.claude/commands/</w:t>
      </w:r>
      <w:r>
        <w:t xml:space="preserve"> </w:t>
      </w:r>
      <w:r>
        <w:t xml:space="preserve">and</w:t>
      </w:r>
      <w:r>
        <w:t xml:space="preserve"> </w:t>
      </w:r>
      <w:r>
        <w:rPr>
          <w:rStyle w:val="VerbatimChar"/>
        </w:rPr>
        <w:t xml:space="preserve">skills/</w:t>
      </w:r>
      <w:r>
        <w:t xml:space="preserve">:</w:t>
      </w:r>
    </w:p>
    <w:p>
      <w:pPr>
        <w:pStyle w:val="BodyText"/>
      </w:pPr>
      <w:r>
        <w:rPr>
          <w:bCs/>
          <w:b/>
        </w:rPr>
        <w:t xml:space="preserve">Slash Commands (17 skills):</w:t>
      </w:r>
    </w:p>
    <w:tbl>
      <w:tblPr>
        <w:tblStyle w:val="Table"/>
        <w:tblW w:type="pct" w:w="5000"/>
        <w:tblLook w:firstRow="1" w:lastRow="0" w:firstColumn="0" w:lastColumn="0" w:noHBand="0" w:noVBand="0" w:val="0020"/>
        <w:jc w:val="start"/>
      </w:tblPr>
      <w:tblGrid>
        <w:gridCol w:w="848"/>
        <w:gridCol w:w="4469"/>
        <w:gridCol w:w="2602"/>
      </w:tblGrid>
      <w:tr>
        <w:trPr>
          <w:tblHeader w:val="true"/>
        </w:trPr>
        <w:tc>
          <w:tcPr/>
          <w:p>
            <w:pPr>
              <w:pStyle w:val="Compact"/>
              <w:jc w:val="left"/>
            </w:pPr>
            <w:r>
              <w:t xml:space="preserve">Category</w:t>
            </w:r>
          </w:p>
        </w:tc>
        <w:tc>
          <w:tcPr/>
          <w:p>
            <w:pPr>
              <w:pStyle w:val="Compact"/>
              <w:jc w:val="left"/>
            </w:pPr>
            <w:r>
              <w:t xml:space="preserve">Skills</w:t>
            </w:r>
          </w:p>
        </w:tc>
        <w:tc>
          <w:tcPr/>
          <w:p>
            <w:pPr>
              <w:pStyle w:val="Compact"/>
              <w:jc w:val="left"/>
            </w:pPr>
            <w:r>
              <w:t xml:space="preserve">Domain</w:t>
            </w:r>
          </w:p>
        </w:tc>
      </w:tr>
      <w:tr>
        <w:tc>
          <w:tcPr/>
          <w:p>
            <w:pPr>
              <w:pStyle w:val="Compact"/>
              <w:jc w:val="left"/>
            </w:pPr>
            <w:r>
              <w:t xml:space="preserve">gstack workflow</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Development lifecycle (Garry Tan methodology)</w:t>
            </w:r>
          </w:p>
        </w:tc>
      </w:tr>
      <w:tr>
        <w:tc>
          <w:tcPr/>
          <w:p>
            <w:pPr>
              <w:pStyle w:val="Compact"/>
              <w:jc w:val="left"/>
            </w:pPr>
            <w:r>
              <w:t xml:space="preserve">EU compliance</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 control</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Multi-agent orchestration (14+ agents)</w:t>
            </w:r>
          </w:p>
        </w:tc>
      </w:tr>
      <w:tr>
        <w:tc>
          <w:tcPr/>
          <w:p>
            <w:pPr>
              <w:pStyle w:val="Compact"/>
              <w:jc w:val="left"/>
            </w:pPr>
            <w:r>
              <w:t xml:space="preserve">Operations</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 state, SES email, edge device control</w:t>
            </w:r>
          </w:p>
        </w:tc>
      </w:tr>
      <w:tr>
        <w:tc>
          <w:tcPr/>
          <w:p>
            <w:pPr>
              <w:pStyle w:val="Compact"/>
              <w:jc w:val="left"/>
            </w:pPr>
            <w:r>
              <w:t xml:space="preserve">Code quality</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Code review, Figma-to-code bridge</w:t>
            </w:r>
          </w:p>
        </w:tc>
      </w:tr>
    </w:tbl>
    <w:p>
      <w:pPr>
        <w:pStyle w:val="BodyText"/>
      </w:pPr>
      <w:r>
        <w:rPr>
          <w:bCs/>
          <w:b/>
        </w:rPr>
        <w:t xml:space="preserve">Discipline Skills (4 hard gates in</w:t>
      </w:r>
      <w:r>
        <w:rPr>
          <w:bCs/>
          <w:b/>
        </w:rPr>
        <w:t xml:space="preserve"> </w:t>
      </w:r>
      <w:r>
        <w:rPr>
          <w:rStyle w:val="VerbatimChar"/>
          <w:bCs/>
          <w:b/>
        </w:rPr>
        <w:t xml:space="preserve">skills/*/SKILL.md</w:t>
      </w:r>
      <w:r>
        <w:rPr>
          <w:bCs/>
          <w:b/>
        </w:rPr>
        <w:t xml:space="preserve">):</w:t>
      </w:r>
    </w:p>
    <w:tbl>
      <w:tblPr>
        <w:tblStyle w:val="Table"/>
        <w:tblW w:type="pct" w:w="5000"/>
        <w:tblLook w:firstRow="1" w:lastRow="0" w:firstColumn="0" w:lastColumn="0" w:noHBand="0" w:noVBand="0" w:val="0020"/>
        <w:jc w:val="start"/>
      </w:tblPr>
      <w:tblGrid>
        <w:gridCol w:w="1355"/>
        <w:gridCol w:w="4709"/>
        <w:gridCol w:w="1855"/>
      </w:tblGrid>
      <w:tr>
        <w:trPr>
          <w:tblHeader w:val="true"/>
        </w:trPr>
        <w:tc>
          <w:tcPr/>
          <w:p>
            <w:pPr>
              <w:pStyle w:val="Compact"/>
              <w:jc w:val="left"/>
            </w:pPr>
            <w:r>
              <w:t xml:space="preserve">Skill</w:t>
            </w:r>
          </w:p>
        </w:tc>
        <w:tc>
          <w:tcPr/>
          <w:p>
            <w:pPr>
              <w:pStyle w:val="Compact"/>
              <w:jc w:val="left"/>
            </w:pPr>
            <w:r>
              <w:t xml:space="preserve">Gate Behavior</w:t>
            </w:r>
          </w:p>
        </w:tc>
        <w:tc>
          <w:tcPr/>
          <w:p>
            <w:pPr>
              <w:pStyle w:val="Compact"/>
              <w:jc w:val="left"/>
            </w:pPr>
            <w:r>
              <w:t xml:space="preserve">Enforcement</w:t>
            </w:r>
          </w:p>
        </w:tc>
      </w:tr>
      <w:tr>
        <w:tc>
          <w:tcPr/>
          <w:p>
            <w:pPr>
              <w:pStyle w:val="Compact"/>
              <w:jc w:val="left"/>
            </w:pPr>
            <w:r>
              <w:rPr>
                <w:rStyle w:val="VerbatimChar"/>
              </w:rPr>
              <w:t xml:space="preserve">verification-gate</w:t>
            </w:r>
          </w:p>
        </w:tc>
        <w:tc>
          <w:tcPr/>
          <w:p>
            <w:pPr>
              <w:pStyle w:val="Compact"/>
              <w:jc w:val="left"/>
            </w:pPr>
            <w:r>
              <w:t xml:space="preserve">Blocks completion claims without fresh test evidence</w:t>
            </w:r>
          </w:p>
        </w:tc>
        <w:tc>
          <w:tcPr/>
          <w:p>
            <w:pPr>
              <w:pStyle w:val="Compact"/>
              <w:jc w:val="left"/>
            </w:pPr>
            <w:r>
              <w:t xml:space="preserve">Exit code 2 (BLOCK)</w:t>
            </w:r>
          </w:p>
        </w:tc>
      </w:tr>
      <w:tr>
        <w:tc>
          <w:tcPr/>
          <w:p>
            <w:pPr>
              <w:pStyle w:val="Compact"/>
              <w:jc w:val="left"/>
            </w:pPr>
            <w:r>
              <w:rPr>
                <w:rStyle w:val="VerbatimChar"/>
              </w:rPr>
              <w:t xml:space="preserve">design-first</w:t>
            </w:r>
          </w:p>
        </w:tc>
        <w:tc>
          <w:tcPr/>
          <w:p>
            <w:pPr>
              <w:pStyle w:val="Compact"/>
              <w:jc w:val="left"/>
            </w:pPr>
            <w:r>
              <w:t xml:space="preserve">Blocks implementation of 3+ file changes without approved design</w:t>
            </w:r>
          </w:p>
        </w:tc>
        <w:tc>
          <w:tcPr/>
          <w:p>
            <w:pPr>
              <w:pStyle w:val="Compact"/>
              <w:jc w:val="left"/>
            </w:pPr>
            <w:r>
              <w:t xml:space="preserve">Exit code 2 (BLOCK)</w:t>
            </w:r>
          </w:p>
        </w:tc>
      </w:tr>
      <w:tr>
        <w:tc>
          <w:tcPr/>
          <w:p>
            <w:pPr>
              <w:pStyle w:val="Compact"/>
              <w:jc w:val="left"/>
            </w:pPr>
            <w:r>
              <w:rPr>
                <w:rStyle w:val="VerbatimChar"/>
              </w:rPr>
              <w:t xml:space="preserve">dual-folder-sync</w:t>
            </w:r>
          </w:p>
        </w:tc>
        <w:tc>
          <w:tcPr/>
          <w:p>
            <w:pPr>
              <w:pStyle w:val="Compact"/>
              <w:jc w:val="left"/>
            </w:pPr>
            <w:r>
              <w:t xml:space="preserve">Blocks commits that change root folders without landing-pages sync</w:t>
            </w:r>
          </w:p>
        </w:tc>
        <w:tc>
          <w:tcPr/>
          <w:p>
            <w:pPr>
              <w:pStyle w:val="Compact"/>
              <w:jc w:val="left"/>
            </w:pPr>
            <w:r>
              <w:t xml:space="preserve">Exit code 2 (BLOCK)</w:t>
            </w:r>
          </w:p>
        </w:tc>
      </w:tr>
      <w:tr>
        <w:tc>
          <w:tcPr/>
          <w:p>
            <w:pPr>
              <w:pStyle w:val="Compact"/>
              <w:jc w:val="left"/>
            </w:pPr>
            <w:r>
              <w:rPr>
                <w:rStyle w:val="VerbatimChar"/>
              </w:rPr>
              <w:t xml:space="preserve">last30days</w:t>
            </w:r>
          </w:p>
        </w:tc>
        <w:tc>
          <w:tcPr/>
          <w:p>
            <w:pPr>
              <w:pStyle w:val="Compact"/>
              <w:jc w:val="left"/>
            </w:pPr>
            <w:r>
              <w:t xml:space="preserve">Research agent for Reddit/X/Web content from last 30 days</w:t>
            </w:r>
          </w:p>
        </w:tc>
        <w:tc>
          <w:tcPr/>
          <w:p>
            <w:pPr>
              <w:pStyle w:val="Compact"/>
              <w:jc w:val="left"/>
            </w:pPr>
            <w:r>
              <w:t xml:space="preserve">Agent-style (non-blocking)</w:t>
            </w:r>
          </w:p>
        </w:tc>
      </w:tr>
    </w:tbl>
    <w:p>
      <w:pPr>
        <w:pStyle w:val="BodyText"/>
      </w:pPr>
      <w:r>
        <w:rPr>
          <w:bCs/>
          <w:b/>
        </w:rPr>
        <w:t xml:space="preserve">Subagents (4 specialized agents in</w:t>
      </w:r>
      <w:r>
        <w:rPr>
          <w:bCs/>
          <w:b/>
        </w:rPr>
        <w:t xml:space="preserve"> </w:t>
      </w:r>
      <w:r>
        <w:rPr>
          <w:rStyle w:val="VerbatimChar"/>
          <w:bCs/>
          <w:b/>
        </w:rPr>
        <w:t xml:space="preserve">.claude/agents/</w:t>
      </w:r>
      <w:r>
        <w:rPr>
          <w:bCs/>
          <w:b/>
        </w:rPr>
        <w:t xml:space="preserve">):</w:t>
      </w:r>
    </w:p>
    <w:tbl>
      <w:tblPr>
        <w:tblStyle w:val="Table"/>
        <w:tblW w:type="pct" w:w="5000"/>
        <w:tblLook w:firstRow="1" w:lastRow="0" w:firstColumn="0" w:lastColumn="0" w:noHBand="0" w:noVBand="0" w:val="0020"/>
        <w:jc w:val="start"/>
      </w:tblPr>
      <w:tblGrid>
        <w:gridCol w:w="1243"/>
        <w:gridCol w:w="3861"/>
        <w:gridCol w:w="2814"/>
      </w:tblGrid>
      <w:tr>
        <w:trPr>
          <w:tblHeader w:val="true"/>
        </w:trPr>
        <w:tc>
          <w:tcPr/>
          <w:p>
            <w:pPr>
              <w:pStyle w:val="Compact"/>
              <w:jc w:val="left"/>
            </w:pPr>
            <w:r>
              <w:t xml:space="preserve">Agent</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rStyle w:val="VerbatimChar"/>
              </w:rPr>
              <w:t xml:space="preserve">mcp-expert</w:t>
            </w:r>
          </w:p>
        </w:tc>
        <w:tc>
          <w:tcPr/>
          <w:p>
            <w:pPr>
              <w:pStyle w:val="Compact"/>
              <w:jc w:val="left"/>
            </w:pPr>
            <w:r>
              <w:t xml:space="preserve">MCP server configuration specialist</w:t>
            </w:r>
          </w:p>
        </w:tc>
        <w:tc>
          <w:tcPr/>
          <w:p>
            <w:pPr>
              <w:pStyle w:val="Compact"/>
              <w:jc w:val="left"/>
            </w:pPr>
            <w:r>
              <w:t xml:space="preserve">Protects main context from protocol details</w:t>
            </w:r>
          </w:p>
        </w:tc>
      </w:tr>
      <w:tr>
        <w:tc>
          <w:tcPr/>
          <w:p>
            <w:pPr>
              <w:pStyle w:val="Compact"/>
              <w:jc w:val="left"/>
            </w:pPr>
            <w:r>
              <w:rPr>
                <w:rStyle w:val="VerbatimChar"/>
              </w:rPr>
              <w:t xml:space="preserve">code-reviewer</w:t>
            </w:r>
          </w:p>
        </w:tc>
        <w:tc>
          <w:tcPr/>
          <w:p>
            <w:pPr>
              <w:pStyle w:val="Compact"/>
              <w:jc w:val="left"/>
            </w:pPr>
            <w:r>
              <w:t xml:space="preserve">Staff Engineer bug finder (logic, security, data integrity)</w:t>
            </w:r>
          </w:p>
        </w:tc>
        <w:tc>
          <w:tcPr/>
          <w:p>
            <w:pPr>
              <w:pStyle w:val="Compact"/>
              <w:jc w:val="left"/>
            </w:pPr>
            <w:r>
              <w:t xml:space="preserve">Reviews without executing changes</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auditor</w:t>
            </w:r>
          </w:p>
        </w:tc>
        <w:tc>
          <w:tcPr/>
          <w:p>
            <w:pPr>
              <w:pStyle w:val="Compact"/>
              <w:jc w:val="left"/>
            </w:pPr>
            <w:r>
              <w:t xml:space="preserve">Scans without modifying code</w:t>
            </w:r>
          </w:p>
        </w:tc>
      </w:tr>
      <w:tr>
        <w:tc>
          <w:tcPr/>
          <w:p>
            <w:pPr>
              <w:pStyle w:val="Compact"/>
              <w:jc w:val="left"/>
            </w:pPr>
            <w:r>
              <w:rPr>
                <w:rStyle w:val="VerbatimChar"/>
              </w:rPr>
              <w:t xml:space="preserve">architect</w:t>
            </w:r>
          </w:p>
        </w:tc>
        <w:tc>
          <w:tcPr/>
          <w:p>
            <w:pPr>
              <w:pStyle w:val="Compact"/>
              <w:jc w:val="left"/>
            </w:pPr>
            <w:r>
              <w:t xml:space="preserve">Minimal design planner, anti-overengineering enforcer</w:t>
            </w:r>
          </w:p>
        </w:tc>
        <w:tc>
          <w:tcPr/>
          <w:p>
            <w:pPr>
              <w:pStyle w:val="Compact"/>
              <w:jc w:val="left"/>
            </w:pPr>
            <w:r>
              <w:t xml:space="preserve">Returns structured plan only</w:t>
            </w:r>
          </w:p>
        </w:tc>
      </w:tr>
    </w:tbl>
    <w:p>
      <w:pPr>
        <w:pStyle w:val="BodyText"/>
      </w:pPr>
      <w:r>
        <w:t xml:space="preserve">Each skill encapsulates input validation, agent execution, and structured output formatting. The discipline skills represent a novel contribution:</w:t>
      </w:r>
      <w:r>
        <w:t xml:space="preserve"> </w:t>
      </w:r>
      <w:r>
        <w:rPr>
          <w:bCs/>
          <w:b/>
        </w:rPr>
        <w:t xml:space="preserve">blocking gates</w:t>
      </w:r>
      <w:r>
        <w:t xml:space="preserve"> </w:t>
      </w:r>
      <w:r>
        <w:t xml:space="preserve">that enforce process discipline structurally rather than behaviorally. Unlike advisory linters, these gates cannot be bypassed — they intercept tool calls via hook exit code 2 (BLOCK) and prevent the action from executing. This directly implements the</w:t>
      </w:r>
      <w:r>
        <w:t xml:space="preserve"> </w:t>
      </w:r>
      <w:r>
        <w:rPr>
          <w:bCs/>
          <w:b/>
        </w:rPr>
        <w:t xml:space="preserve">Build for Agents</w:t>
      </w:r>
      <w:r>
        <w:t xml:space="preserve"> </w:t>
      </w:r>
      <w:r>
        <w:t xml:space="preserve">principle: if a capability cannot be invoked as</w:t>
      </w:r>
      <w:r>
        <w:t xml:space="preserve"> </w:t>
      </w:r>
      <w:r>
        <w:rPr>
          <w:rStyle w:val="VerbatimChar"/>
        </w:rPr>
        <w:t xml:space="preserve">dws &lt;command&gt;</w:t>
      </w:r>
      <w:r>
        <w:t xml:space="preserve">, it is not shipped.</w:t>
      </w:r>
    </w:p>
    <w:bookmarkEnd w:id="199"/>
    <w:bookmarkStart w:id="200" w:name="hooks-for-automated-workflow-validation"/>
    <w:p>
      <w:pPr>
        <w:pStyle w:val="Heading3"/>
      </w:pPr>
      <w:r>
        <w:t xml:space="preserve">10.13.4 Hooks for Automated Workflow Validation</w:t>
      </w:r>
    </w:p>
    <w:p>
      <w:pPr>
        <w:pStyle w:val="FirstParagraph"/>
      </w:pPr>
      <w:r>
        <w:t xml:space="preserve">Hooks are the enforcement layer of AI workflow engineering — and the most underutilized pattern in current practice. Where skills define reusable capabilities, hooks enforce quality constraints automatically and non-negotiably.</w:t>
      </w:r>
    </w:p>
    <w:p>
      <w:pPr>
        <w:pStyle w:val="BodyText"/>
      </w:pPr>
      <w:r>
        <w:t xml:space="preserve">DWS6 implements hooks at two levels:</w:t>
      </w:r>
    </w:p>
    <w:p>
      <w:pPr>
        <w:pStyle w:val="BodyText"/>
      </w:pPr>
      <w:r>
        <w:rPr>
          <w:bCs/>
          <w:b/>
        </w:rPr>
        <w:t xml:space="preserve">Claude Code hooks</w:t>
      </w:r>
      <w:r>
        <w:t xml:space="preserve"> </w:t>
      </w:r>
      <w:r>
        <w:t xml:space="preserve">(</w:t>
      </w:r>
      <w:r>
        <w:rPr>
          <w:rStyle w:val="VerbatimChar"/>
        </w:rPr>
        <w:t xml:space="preserve">.claude/hooks/</w:t>
      </w:r>
      <w:r>
        <w:t xml:space="preserve">):</w:t>
      </w:r>
    </w:p>
    <w:p>
      <w:pPr>
        <w:numPr>
          <w:ilvl w:val="0"/>
          <w:numId w:val="1070"/>
        </w:numPr>
        <w:pStyle w:val="Compact"/>
      </w:pPr>
      <w:r>
        <w:t xml:space="preserve">Tool output transformation — normalize agent JSON responses to consistent schema</w:t>
      </w:r>
    </w:p>
    <w:p>
      <w:pPr>
        <w:numPr>
          <w:ilvl w:val="0"/>
          <w:numId w:val="1070"/>
        </w:numPr>
        <w:pStyle w:val="Compact"/>
      </w:pPr>
      <w:r>
        <w:t xml:space="preserve">Structured output verification — ensure all CLI commands produce valid JSON</w:t>
      </w:r>
    </w:p>
    <w:p>
      <w:pPr>
        <w:numPr>
          <w:ilvl w:val="0"/>
          <w:numId w:val="1070"/>
        </w:numPr>
        <w:pStyle w:val="Compact"/>
      </w:pPr>
      <w:r>
        <w:t xml:space="preserve">Session start validation — verify environment readiness before agent work begins</w:t>
      </w:r>
    </w:p>
    <w:p>
      <w:pPr>
        <w:pStyle w:val="FirstParagraph"/>
      </w:pPr>
      <w:r>
        <w:rPr>
          <w:bCs/>
          <w:b/>
        </w:rPr>
        <w:t xml:space="preserve">Git hooks</w:t>
      </w:r>
      <w:r>
        <w:t xml:space="preserve"> </w:t>
      </w:r>
      <w:r>
        <w:t xml:space="preserve">(</w:t>
      </w:r>
      <w:r>
        <w:rPr>
          <w:rStyle w:val="VerbatimChar"/>
        </w:rPr>
        <w:t xml:space="preserve">.githooks/</w:t>
      </w:r>
      <w:r>
        <w:t xml:space="preserve">):</w:t>
      </w:r>
    </w:p>
    <w:p>
      <w:pPr>
        <w:numPr>
          <w:ilvl w:val="0"/>
          <w:numId w:val="1071"/>
        </w:numPr>
        <w:pStyle w:val="Compact"/>
      </w:pPr>
      <w:r>
        <w:t xml:space="preserve">Branch name enforcement —</w:t>
      </w:r>
      <w:r>
        <w:t xml:space="preserve"> </w:t>
      </w:r>
      <w:r>
        <w:rPr>
          <w:rStyle w:val="VerbatimChar"/>
        </w:rPr>
        <w:t xml:space="preserve">claude/&lt;feature&gt;-&lt;id&gt;</w:t>
      </w:r>
      <w:r>
        <w:t xml:space="preserve"> </w:t>
      </w:r>
      <w:r>
        <w:t xml:space="preserve">naming convention before commit</w:t>
      </w:r>
    </w:p>
    <w:p>
      <w:pPr>
        <w:numPr>
          <w:ilvl w:val="0"/>
          <w:numId w:val="1071"/>
        </w:numPr>
        <w:pStyle w:val="Compact"/>
      </w:pPr>
      <w:r>
        <w:t xml:space="preserve">Pre-commit security checks — detect hardcoded secrets, unsafe exec() patterns</w:t>
      </w:r>
    </w:p>
    <w:p>
      <w:pPr>
        <w:pStyle w:val="FirstParagraph"/>
      </w:pPr>
      <w:r>
        <w:t xml:space="preserve">The critical property of hooks is</w:t>
      </w:r>
      <w:r>
        <w:t xml:space="preserve"> </w:t>
      </w:r>
      <w:r>
        <w:rPr>
          <w:bCs/>
          <w:b/>
        </w:rPr>
        <w:t xml:space="preserve">non-negotiability</w:t>
      </w:r>
      <w:r>
        <w:t xml:space="preserve">: unlike CLAUDE.md guidance (which an agent may follow imperfectly), hooks intercept tool calls and either transform or block them. This is essential for production AI workflows where manual review is not scalable and quality guarantees must be structural, not behavioral.</w:t>
      </w:r>
    </w:p>
    <w:bookmarkEnd w:id="200"/>
    <w:bookmarkStart w:id="201" w:name="subagents-and-parallel-execution"/>
    <w:p>
      <w:pPr>
        <w:pStyle w:val="Heading3"/>
      </w:pPr>
      <w:r>
        <w:t xml:space="preserve">10.13.5 Subagents and Parallel Execution</w:t>
      </w:r>
    </w:p>
    <w:p>
      <w:pPr>
        <w:pStyle w:val="FirstParagraph"/>
      </w:pPr>
      <w:r>
        <w:t xml:space="preserve">The DWS6 architecture employs specialized subagents for distinct task classes, extending the multi-agent orchestration principle from Firehorse production workflows into the development workflow itself:</w:t>
      </w:r>
    </w:p>
    <w:tbl>
      <w:tblPr>
        <w:tblStyle w:val="Table"/>
        <w:tblW w:type="pct" w:w="5000"/>
        <w:tblLook w:firstRow="1" w:lastRow="0" w:firstColumn="0" w:lastColumn="0" w:noHBand="0" w:noVBand="0" w:val="0020"/>
        <w:jc w:val="start"/>
      </w:tblPr>
      <w:tblGrid>
        <w:gridCol w:w="1406"/>
        <w:gridCol w:w="2886"/>
        <w:gridCol w:w="3626"/>
      </w:tblGrid>
      <w:tr>
        <w:trPr>
          <w:tblHeader w:val="true"/>
        </w:trPr>
        <w:tc>
          <w:tcPr/>
          <w:p>
            <w:pPr>
              <w:pStyle w:val="Compact"/>
              <w:jc w:val="left"/>
            </w:pPr>
            <w:r>
              <w:t xml:space="preserve">Subagent Type</w:t>
            </w:r>
          </w:p>
        </w:tc>
        <w:tc>
          <w:tcPr/>
          <w:p>
            <w:pPr>
              <w:pStyle w:val="Compact"/>
              <w:jc w:val="left"/>
            </w:pPr>
            <w:r>
              <w:t xml:space="preserve">Role</w:t>
            </w:r>
          </w:p>
        </w:tc>
        <w:tc>
          <w:tcPr/>
          <w:p>
            <w:pPr>
              <w:pStyle w:val="Compact"/>
              <w:jc w:val="left"/>
            </w:pPr>
            <w:r>
              <w:t xml:space="preserve">Isolation Property</w:t>
            </w:r>
          </w:p>
        </w:tc>
      </w:tr>
      <w:tr>
        <w:tc>
          <w:tcPr/>
          <w:p>
            <w:pPr>
              <w:pStyle w:val="Compact"/>
              <w:jc w:val="left"/>
            </w:pPr>
            <w:r>
              <w:rPr>
                <w:bCs/>
                <w:b/>
              </w:rPr>
              <w:t xml:space="preserve">Explore</w:t>
            </w:r>
          </w:p>
        </w:tc>
        <w:tc>
          <w:tcPr/>
          <w:p>
            <w:pPr>
              <w:pStyle w:val="Compact"/>
              <w:jc w:val="left"/>
            </w:pPr>
            <w:r>
              <w:t xml:space="preserve">Codebase search, file pattern matching</w:t>
            </w:r>
          </w:p>
        </w:tc>
        <w:tc>
          <w:tcPr/>
          <w:p>
            <w:pPr>
              <w:pStyle w:val="Compact"/>
              <w:jc w:val="left"/>
            </w:pPr>
            <w:r>
              <w:t xml:space="preserve">Protects main context from large result sets</w:t>
            </w:r>
          </w:p>
        </w:tc>
      </w:tr>
      <w:tr>
        <w:tc>
          <w:tcPr/>
          <w:p>
            <w:pPr>
              <w:pStyle w:val="Compact"/>
              <w:jc w:val="left"/>
            </w:pPr>
            <w:r>
              <w:rPr>
                <w:bCs/>
                <w:b/>
              </w:rPr>
              <w:t xml:space="preserve">Plan</w:t>
            </w:r>
          </w:p>
        </w:tc>
        <w:tc>
          <w:tcPr/>
          <w:p>
            <w:pPr>
              <w:pStyle w:val="Compact"/>
              <w:jc w:val="left"/>
            </w:pPr>
            <w:r>
              <w:t xml:space="preserve">Architecture design, trade-off analysis</w:t>
            </w:r>
          </w:p>
        </w:tc>
        <w:tc>
          <w:tcPr/>
          <w:p>
            <w:pPr>
              <w:pStyle w:val="Compact"/>
              <w:jc w:val="left"/>
            </w:pPr>
            <w:r>
              <w:t xml:space="preserve">Returns structured plan without executing changes</w:t>
            </w:r>
          </w:p>
        </w:tc>
      </w:tr>
      <w:tr>
        <w:tc>
          <w:tcPr/>
          <w:p>
            <w:pPr>
              <w:pStyle w:val="Compact"/>
              <w:jc w:val="left"/>
            </w:pPr>
            <w:r>
              <w:rPr>
                <w:bCs/>
                <w:b/>
              </w:rPr>
              <w:t xml:space="preserve">General-purpose</w:t>
            </w:r>
          </w:p>
        </w:tc>
        <w:tc>
          <w:tcPr/>
          <w:p>
            <w:pPr>
              <w:pStyle w:val="Compact"/>
              <w:jc w:val="left"/>
            </w:pPr>
            <w:r>
              <w:t xml:space="preserve">Multi-step research, document analysis</w:t>
            </w:r>
          </w:p>
        </w:tc>
        <w:tc>
          <w:tcPr/>
          <w:p>
            <w:pPr>
              <w:pStyle w:val="Compact"/>
              <w:jc w:val="left"/>
            </w:pPr>
            <w:r>
              <w:t xml:space="preserve">Full tool access for complex investigation</w:t>
            </w:r>
          </w:p>
        </w:tc>
      </w:tr>
      <w:tr>
        <w:tc>
          <w:tcPr/>
          <w:p>
            <w:pPr>
              <w:pStyle w:val="Compact"/>
              <w:jc w:val="left"/>
            </w:pPr>
            <w:r>
              <w:rPr>
                <w:bCs/>
                <w:b/>
              </w:rPr>
              <w:t xml:space="preserve">Background</w:t>
            </w:r>
          </w:p>
        </w:tc>
        <w:tc>
          <w:tcPr/>
          <w:p>
            <w:pPr>
              <w:pStyle w:val="Compact"/>
              <w:jc w:val="left"/>
            </w:pPr>
            <w:r>
              <w:t xml:space="preserve">Independent parallel tasks</w:t>
            </w:r>
          </w:p>
        </w:tc>
        <w:tc>
          <w:tcPr/>
          <w:p>
            <w:pPr>
              <w:pStyle w:val="Compact"/>
              <w:jc w:val="left"/>
            </w:pPr>
            <w:r>
              <w:t xml:space="preserve">Non-blocking; notifies on completion</w:t>
            </w:r>
          </w:p>
        </w:tc>
      </w:tr>
    </w:tbl>
    <w:p>
      <w:pPr>
        <w:pStyle w:val="BodyText"/>
      </w:pPr>
      <w:r>
        <w:t xml:space="preserve">The isolation property is critical at scale: subagents prevent context window exhaustion on large codebases while enabling parallel execution of independent tasks. The Firehorse production orchestration (Temporal.io + event bus, Section 10.7) extends this same pattern to customer-facing agent workflows.</w:t>
      </w:r>
    </w:p>
    <w:bookmarkEnd w:id="201"/>
    <w:bookmarkStart w:id="202" w:name="Xbd5283222cb8e2b9484c6525212db24f484ccdc"/>
    <w:p>
      <w:pPr>
        <w:pStyle w:val="Heading3"/>
      </w:pPr>
      <w:r>
        <w:t xml:space="preserve">10.13.6 Implications for the Solution Factory Model</w:t>
      </w:r>
    </w:p>
    <w:p>
      <w:pPr>
        <w:pStyle w:val="FirstParagraph"/>
      </w:pPr>
      <w:r>
        <w:t xml:space="preserve">This engineering structure validates and extends the Solution Factory model (Section 5) with a concrete implementation layer that maps directly to the Brain-Memory-Body-Hands architecture:</w:t>
      </w:r>
    </w:p>
    <w:tbl>
      <w:tblPr>
        <w:tblStyle w:val="Table"/>
        <w:tblW w:type="pct" w:w="5000"/>
        <w:tblLook w:firstRow="1" w:lastRow="0" w:firstColumn="0" w:lastColumn="0" w:noHBand="0" w:noVBand="0" w:val="0020"/>
        <w:jc w:val="start"/>
      </w:tblPr>
      <w:tblGrid>
        <w:gridCol w:w="2233"/>
        <w:gridCol w:w="3858"/>
        <w:gridCol w:w="1827"/>
      </w:tblGrid>
      <w:tr>
        <w:trPr>
          <w:tblHeader w:val="true"/>
        </w:trPr>
        <w:tc>
          <w:tcPr/>
          <w:p>
            <w:pPr>
              <w:pStyle w:val="Compact"/>
              <w:jc w:val="left"/>
            </w:pPr>
            <w:r>
              <w:t xml:space="preserve">Solution Factory Layer</w:t>
            </w:r>
          </w:p>
        </w:tc>
        <w:tc>
          <w:tcPr/>
          <w:p>
            <w:pPr>
              <w:pStyle w:val="Compact"/>
              <w:jc w:val="left"/>
            </w:pPr>
            <w:r>
              <w:t xml:space="preserve">Claude Code Implementation</w:t>
            </w:r>
          </w:p>
        </w:tc>
        <w:tc>
          <w:tcPr/>
          <w:p>
            <w:pPr>
              <w:pStyle w:val="Compact"/>
              <w:jc w:val="left"/>
            </w:pPr>
            <w:r>
              <w:t xml:space="preserve">Architecture Layer</w:t>
            </w:r>
          </w:p>
        </w:tc>
      </w:tr>
      <w:tr>
        <w:tc>
          <w:tcPr/>
          <w:p>
            <w:pPr>
              <w:pStyle w:val="Compact"/>
              <w:jc w:val="left"/>
            </w:pPr>
            <w:r>
              <w:t xml:space="preserve">Knowledge persistence</w:t>
            </w:r>
          </w:p>
        </w:tc>
        <w:tc>
          <w:tcPr/>
          <w:p>
            <w:pPr>
              <w:pStyle w:val="Compact"/>
              <w:jc w:val="left"/>
            </w:pPr>
            <w:r>
              <w:t xml:space="preserve">CLAUDE.md + VERSION AND AGENT HISTORY</w:t>
            </w:r>
          </w:p>
        </w:tc>
        <w:tc>
          <w:tcPr/>
          <w:p>
            <w:pPr>
              <w:pStyle w:val="Compact"/>
              <w:jc w:val="left"/>
            </w:pPr>
            <w:r>
              <w:t xml:space="preserve">Memory</w:t>
            </w:r>
          </w:p>
        </w:tc>
      </w:tr>
      <w:tr>
        <w:tc>
          <w:tcPr/>
          <w:p>
            <w:pPr>
              <w:pStyle w:val="Compact"/>
              <w:jc w:val="left"/>
            </w:pPr>
            <w:r>
              <w:t xml:space="preserve">Agent coordination</w:t>
            </w:r>
          </w:p>
        </w:tc>
        <w:tc>
          <w:tcPr/>
          <w:p>
            <w:pPr>
              <w:pStyle w:val="Compact"/>
              <w:jc w:val="left"/>
            </w:pPr>
            <w:r>
              <w:t xml:space="preserve">Subagents + shared CLAUDE.md context</w:t>
            </w:r>
          </w:p>
        </w:tc>
        <w:tc>
          <w:tcPr/>
          <w:p>
            <w:pPr>
              <w:pStyle w:val="Compact"/>
              <w:jc w:val="left"/>
            </w:pPr>
            <w:r>
              <w:t xml:space="preserve">Brain</w:t>
            </w:r>
          </w:p>
        </w:tc>
      </w:tr>
      <w:tr>
        <w:tc>
          <w:tcPr/>
          <w:p>
            <w:pPr>
              <w:pStyle w:val="Compact"/>
              <w:jc w:val="left"/>
            </w:pPr>
            <w:r>
              <w:t xml:space="preserve">Reusable capabilities</w:t>
            </w:r>
          </w:p>
        </w:tc>
        <w:tc>
          <w:tcPr/>
          <w:p>
            <w:pPr>
              <w:pStyle w:val="Compact"/>
              <w:jc w:val="left"/>
            </w:pPr>
            <w:r>
              <w:t xml:space="preserve">Skills (</w:t>
            </w:r>
            <w:r>
              <w:rPr>
                <w:rStyle w:val="VerbatimChar"/>
              </w:rPr>
              <w:t xml:space="preserve">.claude/commands/</w:t>
            </w:r>
            <w:r>
              <w:t xml:space="preserve">)</w:t>
            </w:r>
          </w:p>
        </w:tc>
        <w:tc>
          <w:tcPr/>
          <w:p>
            <w:pPr>
              <w:pStyle w:val="Compact"/>
              <w:jc w:val="left"/>
            </w:pPr>
            <w:r>
              <w:t xml:space="preserve">Body</w:t>
            </w:r>
          </w:p>
        </w:tc>
      </w:tr>
      <w:tr>
        <w:tc>
          <w:tcPr/>
          <w:p>
            <w:pPr>
              <w:pStyle w:val="Compact"/>
              <w:jc w:val="left"/>
            </w:pPr>
            <w:r>
              <w:t xml:space="preserve">Quality enforcement</w:t>
            </w:r>
          </w:p>
        </w:tc>
        <w:tc>
          <w:tcPr/>
          <w:p>
            <w:pPr>
              <w:pStyle w:val="Compact"/>
              <w:jc w:val="left"/>
            </w:pPr>
            <w:r>
              <w:t xml:space="preserve">Hooks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Hands</w:t>
            </w:r>
          </w:p>
        </w:tc>
      </w:tr>
      <w:tr>
        <w:tc>
          <w:tcPr/>
          <w:p>
            <w:pPr>
              <w:pStyle w:val="Compact"/>
              <w:jc w:val="left"/>
            </w:pPr>
            <w:r>
              <w:t xml:space="preserve">Parallel execution</w:t>
            </w:r>
          </w:p>
        </w:tc>
        <w:tc>
          <w:tcPr/>
          <w:p>
            <w:pPr>
              <w:pStyle w:val="Compact"/>
              <w:jc w:val="left"/>
            </w:pPr>
            <w:r>
              <w:t xml:space="preserve">Background agents + Temporal.io</w:t>
            </w:r>
          </w:p>
        </w:tc>
        <w:tc>
          <w:tcPr/>
          <w:p>
            <w:pPr>
              <w:pStyle w:val="Compact"/>
              <w:jc w:val="left"/>
            </w:pPr>
            <w:r>
              <w:t xml:space="preserve">Brain</w:t>
            </w:r>
          </w:p>
        </w:tc>
      </w:tr>
    </w:tbl>
    <w:p>
      <w:pPr>
        <w:pStyle w:val="BodyText"/>
      </w:pPr>
      <w:r>
        <w:rPr>
          <w:bCs/>
          <w:b/>
        </w:rPr>
        <w:t xml:space="preserve">Key research finding:</w:t>
      </w:r>
      <w:r>
        <w:t xml:space="preserve"> </w:t>
      </w:r>
      <w:r>
        <w:t xml:space="preserve">treating AI workflows as first-class engineering components — with the same modularity, testability, and separation of concerns applied to production software — is the distinguishing factor between AI experiments and AI products. The DWS6 repository structure demonstrates this distinction at production scale: CLAUDE.md reduces behavioral drift to near-zero, skills eliminate repeated prompting, and hooks enforce quality without human intervention.</w:t>
      </w:r>
    </w:p>
    <w:p>
      <w:pPr>
        <w:pStyle w:val="BodyText"/>
      </w:pPr>
      <w:r>
        <w:t xml:space="preserve">This aligns with the broader principle documented throughout this thesis: the Firehorse Operations Model succeeds not because it uses AI, but because it engineers AI into a disciplined system.</w:t>
      </w:r>
    </w:p>
    <w:bookmarkEnd w:id="202"/>
    <w:bookmarkStart w:id="203" w:name="X637496a0b1d3fdab6b016b43381d52031e87a6a"/>
    <w:p>
      <w:pPr>
        <w:pStyle w:val="Heading3"/>
      </w:pPr>
      <w:r>
        <w:t xml:space="preserve">10.13.7 Competitive Analysis: Domain-Specific vs Generic AI Harness</w:t>
      </w:r>
    </w:p>
    <w:p>
      <w:pPr>
        <w:pStyle w:val="FirstParagraph"/>
      </w:pPr>
      <w:r>
        <w:t xml:space="preserve">A March 2026 benchmarking study compared the DWS6 harness architecture against</w:t>
      </w:r>
      <w:r>
        <w:t xml:space="preserve"> </w:t>
      </w:r>
      <w:r>
        <w:rPr>
          <w:bCs/>
          <w:b/>
        </w:rPr>
        <w:t xml:space="preserve">everything-claude-code (ECC)</w:t>
      </w:r>
      <w:r>
        <w:t xml:space="preserve"> </w:t>
      </w:r>
      <w:r>
        <w:t xml:space="preserve">— a 120,000-star MIT-licensed framework providing 136 skills, 30 subagents, 60 slash commands, 34 rule files, and 14 MCP server templates. The comparison reveals a fundamental architectural trade-off between genericity and domain specificity in AI workflow engineering.</w:t>
      </w:r>
    </w:p>
    <w:p>
      <w:pPr>
        <w:pStyle w:val="BodyText"/>
      </w:pPr>
      <w:r>
        <w:rPr>
          <w:bCs/>
          <w:b/>
        </w:rPr>
        <w:t xml:space="preserve">ECC Architecture (Generic):</w:t>
      </w:r>
      <w:r>
        <w:t xml:space="preserve"> </w:t>
      </w:r>
      <w:r>
        <w:t xml:space="preserve">ECC answers the question:</w:t>
      </w:r>
      <w:r>
        <w:t xml:space="preserve"> </w:t>
      </w:r>
      <w:r>
        <w:t xml:space="preserve">“</w:t>
      </w:r>
      <w:r>
        <w:t xml:space="preserve">How do I use Claude Code effectively for any project?</w:t>
      </w:r>
      <w:r>
        <w:t xml:space="preserve">”</w:t>
      </w:r>
      <w:r>
        <w:t xml:space="preserve"> </w:t>
      </w:r>
      <w:r>
        <w:t xml:space="preserve">It provides language-specific agents (TypeScript, Python, Go, Java, Rust, C++, Swift, PHP), cross-IDE adapters (Cursor, VS Code, Codex, OpenCode), PM2-based lifecycle management, SQLite session persistence, and a 997-test validation suite. Installation is modular via profiles.</w:t>
      </w:r>
    </w:p>
    <w:p>
      <w:pPr>
        <w:pStyle w:val="BodyText"/>
      </w:pPr>
      <w:r>
        <w:rPr>
          <w:bCs/>
          <w:b/>
        </w:rPr>
        <w:t xml:space="preserve">DWS6 Architecture (Domain-Specific):</w:t>
      </w:r>
      <w:r>
        <w:t xml:space="preserve"> </w:t>
      </w:r>
      <w:r>
        <w:t xml:space="preserve">DWS6 answers a different question:</w:t>
      </w:r>
      <w:r>
        <w:t xml:space="preserve"> </w:t>
      </w:r>
      <w:r>
        <w:t xml:space="preserve">“</w:t>
      </w:r>
      <w:r>
        <w:t xml:space="preserve">How do I run enterprise industrial AI agents safely in the EU?</w:t>
      </w:r>
      <w:r>
        <w:t xml:space="preserve">”</w:t>
      </w:r>
      <w:r>
        <w:t xml:space="preserve"> </w:t>
      </w:r>
      <w:r>
        <w:t xml:space="preserve">The 21 skills encode regulated domain knowledge — EU ETS emission factors, CBAM import thresholds, CSRD disclosure requirements, EN 15978 lifecycle stages, EN 13001 crane safety standards — that no generic framework provides. This domain knowledge is the product’s moat.</w:t>
      </w:r>
    </w:p>
    <w:p>
      <w:pPr>
        <w:pStyle w:val="BodyText"/>
      </w:pPr>
      <w:r>
        <w:rPr>
          <w:bCs/>
          <w:b/>
        </w:rPr>
        <w:t xml:space="preserve">Six competitive differentiators identified:</w:t>
      </w:r>
    </w:p>
    <w:tbl>
      <w:tblPr>
        <w:tblStyle w:val="Table"/>
        <w:tblW w:type="pct" w:w="5000"/>
        <w:tblLook w:firstRow="1" w:lastRow="0" w:firstColumn="0" w:lastColumn="0" w:noHBand="0" w:noVBand="0" w:val="0020"/>
        <w:jc w:val="start"/>
      </w:tblPr>
      <w:tblGrid>
        <w:gridCol w:w="132"/>
        <w:gridCol w:w="3344"/>
        <w:gridCol w:w="1452"/>
        <w:gridCol w:w="2992"/>
      </w:tblGrid>
      <w:tr>
        <w:trPr>
          <w:tblHeader w:val="true"/>
        </w:trPr>
        <w:tc>
          <w:tcPr/>
          <w:p>
            <w:pPr>
              <w:pStyle w:val="Compact"/>
              <w:jc w:val="left"/>
            </w:pPr>
            <w:r>
              <w:t xml:space="preserve">#</w:t>
            </w:r>
          </w:p>
        </w:tc>
        <w:tc>
          <w:tcPr/>
          <w:p>
            <w:pPr>
              <w:pStyle w:val="Compact"/>
              <w:jc w:val="left"/>
            </w:pPr>
            <w:r>
              <w:t xml:space="preserve">DWS6 Advantage</w:t>
            </w:r>
          </w:p>
        </w:tc>
        <w:tc>
          <w:tcPr/>
          <w:p>
            <w:pPr>
              <w:pStyle w:val="Compact"/>
              <w:jc w:val="left"/>
            </w:pPr>
            <w:r>
              <w:t xml:space="preserve">ECC Equivalent</w:t>
            </w:r>
          </w:p>
        </w:tc>
        <w:tc>
          <w:tcPr/>
          <w:p>
            <w:pPr>
              <w:pStyle w:val="Compact"/>
              <w:jc w:val="left"/>
            </w:pPr>
            <w:r>
              <w:t xml:space="preserve">Research Significance</w:t>
            </w:r>
          </w:p>
        </w:tc>
      </w:tr>
      <w:tr>
        <w:tc>
          <w:tcPr/>
          <w:p>
            <w:pPr>
              <w:pStyle w:val="Compact"/>
              <w:jc w:val="left"/>
            </w:pPr>
            <w:r>
              <w:t xml:space="preserve">1</w:t>
            </w:r>
          </w:p>
        </w:tc>
        <w:tc>
          <w:tcPr/>
          <w:p>
            <w:pPr>
              <w:pStyle w:val="Compact"/>
              <w:jc w:val="left"/>
            </w:pPr>
            <w:r>
              <w:rPr>
                <w:bCs/>
                <w:b/>
              </w:rPr>
              <w:t xml:space="preserve">Domain-specific skills</w:t>
            </w:r>
            <w:r>
              <w:t xml:space="preserve"> </w:t>
            </w:r>
            <w:r>
              <w:t xml:space="preserve">encoding EU regulation</w:t>
            </w:r>
          </w:p>
        </w:tc>
        <w:tc>
          <w:tcPr/>
          <w:p>
            <w:pPr>
              <w:pStyle w:val="Compact"/>
              <w:jc w:val="left"/>
            </w:pPr>
            <w:r>
              <w:t xml:space="preserve">Generic language/framework skills</w:t>
            </w:r>
          </w:p>
        </w:tc>
        <w:tc>
          <w:tcPr/>
          <w:p>
            <w:pPr>
              <w:pStyle w:val="Compact"/>
              <w:jc w:val="left"/>
            </w:pPr>
            <w:r>
              <w:t xml:space="preserve">Domain knowledge as competitive moat — not replicable by skill count</w:t>
            </w:r>
          </w:p>
        </w:tc>
      </w:tr>
      <w:tr>
        <w:tc>
          <w:tcPr/>
          <w:p>
            <w:pPr>
              <w:pStyle w:val="Compact"/>
              <w:jc w:val="left"/>
            </w:pPr>
            <w:r>
              <w:t xml:space="preserve">2</w:t>
            </w:r>
          </w:p>
        </w:tc>
        <w:tc>
          <w:tcPr/>
          <w:p>
            <w:pPr>
              <w:pStyle w:val="Compact"/>
              <w:jc w:val="left"/>
            </w:pPr>
            <w:r>
              <w:rPr>
                <w:bCs/>
                <w:b/>
              </w:rPr>
              <w:t xml:space="preserve">Six-layer information architecture</w:t>
            </w:r>
            <w:r>
              <w:t xml:space="preserve"> </w:t>
            </w:r>
            <w:r>
              <w:t xml:space="preserve">(L0-L6) controlling context injection</w:t>
            </w:r>
          </w:p>
        </w:tc>
        <w:tc>
          <w:tcPr/>
          <w:p>
            <w:pPr>
              <w:pStyle w:val="Compact"/>
              <w:jc w:val="left"/>
            </w:pPr>
            <w:r>
              <w:t xml:space="preserve">Operates at L2-L3 only</w:t>
            </w:r>
          </w:p>
        </w:tc>
        <w:tc>
          <w:tcPr/>
          <w:p>
            <w:pPr>
              <w:pStyle w:val="Compact"/>
              <w:jc w:val="left"/>
            </w:pPr>
            <w:r>
              <w:t xml:space="preserve">Deeper control over agent behavior at every layer</w:t>
            </w:r>
          </w:p>
        </w:tc>
      </w:tr>
      <w:tr>
        <w:tc>
          <w:tcPr/>
          <w:p>
            <w:pPr>
              <w:pStyle w:val="Compact"/>
              <w:jc w:val="left"/>
            </w:pPr>
            <w:r>
              <w:t xml:space="preserve">3</w:t>
            </w:r>
          </w:p>
        </w:tc>
        <w:tc>
          <w:tcPr/>
          <w:p>
            <w:pPr>
              <w:pStyle w:val="Compact"/>
              <w:jc w:val="left"/>
            </w:pPr>
            <w:r>
              <w:rPr>
                <w:bCs/>
                <w:b/>
              </w:rPr>
              <w:t xml:space="preserve">Hard gates</w:t>
            </w:r>
            <w:r>
              <w:t xml:space="preserve"> </w:t>
            </w:r>
            <w:r>
              <w:t xml:space="preserve">(verification-gate, design-first, dual-folder-sync)</w:t>
            </w:r>
          </w:p>
        </w:tc>
        <w:tc>
          <w:tcPr/>
          <w:p>
            <w:pPr>
              <w:pStyle w:val="Compact"/>
              <w:jc w:val="left"/>
            </w:pPr>
            <w:r>
              <w:t xml:space="preserve">Advisory-only skills</w:t>
            </w:r>
          </w:p>
        </w:tc>
        <w:tc>
          <w:tcPr/>
          <w:p>
            <w:pPr>
              <w:pStyle w:val="Compact"/>
              <w:jc w:val="left"/>
            </w:pPr>
            <w:r>
              <w:t xml:space="preserve">Structural enforcement vs behavioral suggestion</w:t>
            </w:r>
          </w:p>
        </w:tc>
      </w:tr>
      <w:tr>
        <w:tc>
          <w:tcPr/>
          <w:p>
            <w:pPr>
              <w:pStyle w:val="Compact"/>
              <w:jc w:val="left"/>
            </w:pPr>
            <w:r>
              <w:t xml:space="preserve">4</w:t>
            </w:r>
          </w:p>
        </w:tc>
        <w:tc>
          <w:tcPr/>
          <w:p>
            <w:pPr>
              <w:pStyle w:val="Compact"/>
              <w:jc w:val="left"/>
            </w:pPr>
            <w:r>
              <w:rPr>
                <w:bCs/>
                <w:b/>
              </w:rPr>
              <w:t xml:space="preserve">Trust boundary zones</w:t>
            </w:r>
            <w:r>
              <w:t xml:space="preserve"> </w:t>
            </w:r>
            <w:r>
              <w:t xml:space="preserve">(GREEN/YELLOW/RED) with action classification</w:t>
            </w:r>
          </w:p>
        </w:tc>
        <w:tc>
          <w:tcPr/>
          <w:p>
            <w:pPr>
              <w:pStyle w:val="Compact"/>
              <w:jc w:val="left"/>
            </w:pPr>
            <w:r>
              <w:t xml:space="preserve">Secret scanning only</w:t>
            </w:r>
          </w:p>
        </w:tc>
        <w:tc>
          <w:tcPr/>
          <w:p>
            <w:pPr>
              <w:pStyle w:val="Compact"/>
              <w:jc w:val="left"/>
            </w:pPr>
            <w:r>
              <w:t xml:space="preserve">Risk-proportionate automation — not binary allow/deny</w:t>
            </w:r>
          </w:p>
        </w:tc>
      </w:tr>
      <w:tr>
        <w:tc>
          <w:tcPr/>
          <w:p>
            <w:pPr>
              <w:pStyle w:val="Compact"/>
              <w:jc w:val="left"/>
            </w:pPr>
            <w:r>
              <w:t xml:space="preserve">5</w:t>
            </w:r>
          </w:p>
        </w:tc>
        <w:tc>
          <w:tcPr/>
          <w:p>
            <w:pPr>
              <w:pStyle w:val="Compact"/>
              <w:jc w:val="left"/>
            </w:pPr>
            <w:r>
              <w:rPr>
                <w:bCs/>
                <w:b/>
              </w:rPr>
              <w:t xml:space="preserve">gstack workflow</w:t>
            </w:r>
            <w:r>
              <w:t xml:space="preserve"> </w:t>
            </w:r>
            <w:r>
              <w:t xml:space="preserve">with enforced role separation</w:t>
            </w:r>
          </w:p>
        </w:tc>
        <w:tc>
          <w:tcPr/>
          <w:p>
            <w:pPr>
              <w:pStyle w:val="Compact"/>
              <w:jc w:val="left"/>
            </w:pPr>
            <w:r>
              <w:t xml:space="preserve">Independent unorchestrated skills</w:t>
            </w:r>
          </w:p>
        </w:tc>
        <w:tc>
          <w:tcPr/>
          <w:p>
            <w:pPr>
              <w:pStyle w:val="Compact"/>
              <w:jc w:val="left"/>
            </w:pPr>
            <w:r>
              <w:t xml:space="preserve">Cognitive mode switching prevents tunnel vision</w:t>
            </w:r>
          </w:p>
        </w:tc>
      </w:tr>
      <w:tr>
        <w:tc>
          <w:tcPr/>
          <w:p>
            <w:pPr>
              <w:pStyle w:val="Compact"/>
              <w:jc w:val="left"/>
            </w:pPr>
            <w:r>
              <w:t xml:space="preserve">6</w:t>
            </w:r>
          </w:p>
        </w:tc>
        <w:tc>
          <w:tcPr/>
          <w:p>
            <w:pPr>
              <w:pStyle w:val="Compact"/>
              <w:jc w:val="left"/>
            </w:pPr>
            <w:r>
              <w:rPr>
                <w:bCs/>
                <w:b/>
              </w:rPr>
              <w:t xml:space="preserve">Agent-first product rule</w:t>
            </w:r>
            <w:r>
              <w:t xml:space="preserve"> </w:t>
            </w:r>
            <w:r>
              <w:t xml:space="preserve">(5-gate shipping checklist)</w:t>
            </w:r>
          </w:p>
        </w:tc>
        <w:tc>
          <w:tcPr/>
          <w:p>
            <w:pPr>
              <w:pStyle w:val="Compact"/>
              <w:jc w:val="left"/>
            </w:pPr>
            <w:r>
              <w:t xml:space="preserve">Developer convenience tools</w:t>
            </w:r>
          </w:p>
        </w:tc>
        <w:tc>
          <w:tcPr/>
          <w:p>
            <w:pPr>
              <w:pStyle w:val="Compact"/>
              <w:jc w:val="left"/>
            </w:pPr>
            <w:r>
              <w:t xml:space="preserve">Skills as product interfaces, not developer tooling</w:t>
            </w:r>
          </w:p>
        </w:tc>
      </w:tr>
    </w:tbl>
    <w:p>
      <w:pPr>
        <w:pStyle w:val="BodyText"/>
      </w:pPr>
      <w:r>
        <w:rPr>
          <w:bCs/>
          <w:b/>
        </w:rPr>
        <w:t xml:space="preserve">Key research finding:</w:t>
      </w:r>
      <w:r>
        <w:t xml:space="preserve"> </w:t>
      </w:r>
      <w:r>
        <w:t xml:space="preserve">The ECC framework optimizes for</w:t>
      </w:r>
      <w:r>
        <w:t xml:space="preserve"> </w:t>
      </w:r>
      <w:r>
        <w:rPr>
          <w:bCs/>
          <w:b/>
        </w:rPr>
        <w:t xml:space="preserve">breadth</w:t>
      </w:r>
      <w:r>
        <w:t xml:space="preserve"> </w:t>
      </w:r>
      <w:r>
        <w:t xml:space="preserve">(136 skills × multiple languages × multiple IDEs), while DWS6 optimizes for</w:t>
      </w:r>
      <w:r>
        <w:t xml:space="preserve"> </w:t>
      </w:r>
      <w:r>
        <w:rPr>
          <w:bCs/>
          <w:b/>
        </w:rPr>
        <w:t xml:space="preserve">depth</w:t>
      </w:r>
      <w:r>
        <w:t xml:space="preserve"> </w:t>
      </w:r>
      <w:r>
        <w:t xml:space="preserve">(21 skills × deep EU regulatory knowledge × structural enforcement). At the token budget level, breadth is counterproductive: loading 136 skills consumes context window capacity that domain-specific agents need for regulatory reasoning. The DWS6 design constraint of &lt;150 words per discipline skill is not a limitation — it is a token budget optimization that enables deeper domain reasoning within the same context window.</w:t>
      </w:r>
    </w:p>
    <w:p>
      <w:pPr>
        <w:pStyle w:val="BodyText"/>
      </w:pPr>
      <w:r>
        <w:t xml:space="preserve">This validates the harness engineering thesis (Section 10.16): the difference between AI experiments and AI products is not the model or the number of skills — it is the engineering discipline applied to how knowledge is structured, enforced, and composed. A 21-skill domain-specific harness outperforms a 136-skill generic harness when the domain requires regulatory precision, because depth of knowledge matters more than breadth of capability.</w:t>
      </w:r>
    </w:p>
    <w:p>
      <w:r>
        <w:pict>
          <v:rect style="width:0;height:1.5pt" o:hralign="center" o:hrstd="t" o:hr="t"/>
        </w:pict>
      </w:r>
    </w:p>
    <w:bookmarkEnd w:id="203"/>
    <w:bookmarkEnd w:id="204"/>
    <w:bookmarkEnd w:id="205"/>
    <w:bookmarkStart w:id="363" w:name="appendices"/>
    <w:p>
      <w:pPr>
        <w:pStyle w:val="Heading1"/>
      </w:pPr>
      <w:r>
        <w:t xml:space="preserve">12. Appendices</w:t>
      </w:r>
    </w:p>
    <w:bookmarkStart w:id="206" w:name="appendix-a-solution-factory-canvas"/>
    <w:p>
      <w:pPr>
        <w:pStyle w:val="Heading2"/>
      </w:pPr>
      <w:r>
        <w:t xml:space="preserve">Appendix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PROBLEM                          |  SOLUTION                           |</w:t>
      </w:r>
      <w:r>
        <w:br/>
      </w:r>
      <w:r>
        <w:rPr>
          <w:rStyle w:val="VerbatimChar"/>
        </w:rPr>
        <w:t xml:space="preserve">|  * EU compliance deadlines        |  * Phased AI deployment             |</w:t>
      </w:r>
      <w:r>
        <w:br/>
      </w:r>
      <w:r>
        <w:rPr>
          <w:rStyle w:val="VerbatimChar"/>
        </w:rPr>
        <w:t xml:space="preserve">|  * High SaaS costs                |  * AI-assisted development          |</w:t>
      </w:r>
      <w:r>
        <w:br/>
      </w:r>
      <w:r>
        <w:rPr>
          <w:rStyle w:val="VerbatimChar"/>
        </w:rPr>
        <w:t xml:space="preserve">|    (EUR 1,400+)                   |  * Edge AI (&lt;100ms)                 |</w:t>
      </w:r>
      <w:r>
        <w:br/>
      </w:r>
      <w:r>
        <w:rPr>
          <w:rStyle w:val="VerbatimChar"/>
        </w:rPr>
        <w:t xml:space="preserve">|  * Cloud-only latency             |  * EUR 0-350/month pricing          |</w:t>
      </w:r>
      <w:r>
        <w:br/>
      </w:r>
      <w:r>
        <w:rPr>
          <w:rStyle w:val="VerbatimChar"/>
        </w:rPr>
        <w:t xml:space="preserve">|  * No SME-accessible options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KEY METRICS                      |  UNFAIR ADVANTAGE                   |</w:t>
      </w:r>
      <w:r>
        <w:br/>
      </w:r>
      <w:r>
        <w:rPr>
          <w:rStyle w:val="VerbatimChar"/>
        </w:rPr>
        <w:t xml:space="preserve">|  * Payback: &lt;=2 months            |  * Lifetime Scope Signals           |</w:t>
      </w:r>
      <w:r>
        <w:br/>
      </w:r>
      <w:r>
        <w:rPr>
          <w:rStyle w:val="VerbatimChar"/>
        </w:rPr>
        <w:t xml:space="preserve">|  * Cost: 82% cheaper              |  * AgentFoundry templates           |</w:t>
      </w:r>
      <w:r>
        <w:br/>
      </w:r>
      <w:r>
        <w:rPr>
          <w:rStyle w:val="VerbatimChar"/>
        </w:rPr>
        <w:t xml:space="preserve">|  * Velocity: +62%                 |  * EU compliance native             |</w:t>
      </w:r>
      <w:r>
        <w:br/>
      </w:r>
      <w:r>
        <w:rPr>
          <w:rStyle w:val="VerbatimChar"/>
        </w:rPr>
        <w:t xml:space="preserve">|  * Retention: 100%                |  * 8 vertical coverage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CUSTOMER SEGMENTS                |  CHANNELS                           |</w:t>
      </w:r>
      <w:r>
        <w:br/>
      </w:r>
      <w:r>
        <w:rPr>
          <w:rStyle w:val="VerbatimChar"/>
        </w:rPr>
        <w:t xml:space="preserve">|  * Construction SMEs              |  * dws6.com (direct)                |</w:t>
      </w:r>
      <w:r>
        <w:br/>
      </w:r>
      <w:r>
        <w:rPr>
          <w:rStyle w:val="VerbatimChar"/>
        </w:rPr>
        <w:t xml:space="preserve">|  * Logistics companies            |  * Partner network                  |</w:t>
      </w:r>
      <w:r>
        <w:br/>
      </w:r>
      <w:r>
        <w:rPr>
          <w:rStyle w:val="VerbatimChar"/>
        </w:rPr>
        <w:t xml:space="preserve">|  * Manufacturing                  |  * LinkedIn (B2B)                   |</w:t>
      </w:r>
      <w:r>
        <w:br/>
      </w:r>
      <w:r>
        <w:rPr>
          <w:rStyle w:val="VerbatimChar"/>
        </w:rPr>
        <w:t xml:space="preserve">|  * 5 additional verticals         |  * GitHub (developer trust)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COST STRUCTURE                   |  REVENUE STREAMS                    |</w:t>
      </w:r>
      <w:r>
        <w:br/>
      </w:r>
      <w:r>
        <w:rPr>
          <w:rStyle w:val="VerbatimChar"/>
        </w:rPr>
        <w:t xml:space="preserve">|  * EUR 0-350/month infrastructure |  * SaaS subscriptions               |</w:t>
      </w:r>
      <w:r>
        <w:br/>
      </w:r>
      <w:r>
        <w:rPr>
          <w:rStyle w:val="VerbatimChar"/>
        </w:rPr>
        <w:t xml:space="preserve">|  * Cursor Pro + Claude Code Max   |  * Edge hardware margin             |</w:t>
      </w:r>
      <w:r>
        <w:br/>
      </w:r>
      <w:r>
        <w:rPr>
          <w:rStyle w:val="VerbatimChar"/>
        </w:rPr>
        <w:t xml:space="preserve">|  * Single developer (bootstrap)   |  * Professional services            |</w:t>
      </w:r>
      <w:r>
        <w:br/>
      </w:r>
      <w:r>
        <w:rPr>
          <w:rStyle w:val="VerbatimChar"/>
        </w:rPr>
        <w:t xml:space="preserve">|  * No marketing spend (organic)   |  * Solution Factory licensing       |</w:t>
      </w:r>
      <w:r>
        <w:br/>
      </w:r>
      <w:r>
        <w:rPr>
          <w:rStyle w:val="VerbatimChar"/>
        </w:rPr>
        <w:t xml:space="preserve">|                                   |                                     |</w:t>
      </w:r>
      <w:r>
        <w:br/>
      </w:r>
      <w:r>
        <w:rPr>
          <w:rStyle w:val="VerbatimChar"/>
        </w:rPr>
        <w:t xml:space="preserve">+-------------------------------------------------------------------------+</w:t>
      </w:r>
    </w:p>
    <w:bookmarkEnd w:id="206"/>
    <w:bookmarkStart w:id="207" w:name="appendix-b-product-catalog-summary"/>
    <w:p>
      <w:pPr>
        <w:pStyle w:val="Heading2"/>
      </w:pPr>
      <w:r>
        <w:t xml:space="preserve">Appendix B: Product Catalog Summary</w:t>
      </w:r>
    </w:p>
    <w:tbl>
      <w:tblPr>
        <w:tblStyle w:val="Table"/>
        <w:tblW w:type="pct" w:w="5000"/>
        <w:tblLook w:firstRow="1" w:lastRow="0" w:firstColumn="0" w:lastColumn="0" w:noHBand="0" w:noVBand="0" w:val="0020"/>
        <w:jc w:val="start"/>
      </w:tblPr>
      <w:tblGrid>
        <w:gridCol w:w="2329"/>
        <w:gridCol w:w="2911"/>
        <w:gridCol w:w="1747"/>
        <w:gridCol w:w="931"/>
      </w:tblGrid>
      <w:tr>
        <w:trPr>
          <w:tblHeader w:val="true"/>
        </w:trPr>
        <w:tc>
          <w:tcPr/>
          <w:p>
            <w:pPr>
              <w:pStyle w:val="Compact"/>
              <w:jc w:val="left"/>
            </w:pPr>
            <w:r>
              <w:t xml:space="preserve">ID</w:t>
            </w:r>
          </w:p>
        </w:tc>
        <w:tc>
          <w:tcPr/>
          <w:p>
            <w:pPr>
              <w:pStyle w:val="Compact"/>
              <w:jc w:val="left"/>
            </w:pPr>
            <w:r>
              <w:t xml:space="preserve">Product</w:t>
            </w:r>
          </w:p>
        </w:tc>
        <w:tc>
          <w:tcPr/>
          <w:p>
            <w:pPr>
              <w:pStyle w:val="Compact"/>
              <w:jc w:val="left"/>
            </w:pPr>
            <w:r>
              <w:t xml:space="preserve">Price</w:t>
            </w:r>
          </w:p>
        </w:tc>
        <w:tc>
          <w:tcPr/>
          <w:p>
            <w:pPr>
              <w:pStyle w:val="Compact"/>
              <w:jc w:val="left"/>
            </w:pPr>
            <w:r>
              <w:t xml:space="preserve">Type</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EUR 4,999</w:t>
            </w:r>
          </w:p>
        </w:tc>
        <w:tc>
          <w:tcPr/>
          <w:p>
            <w:pPr>
              <w:pStyle w:val="Compact"/>
              <w:jc w:val="left"/>
            </w:pPr>
            <w:r>
              <w:t xml:space="preserve">Platform</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EUR 6,995</w:t>
            </w:r>
          </w:p>
        </w:tc>
        <w:tc>
          <w:tcPr/>
          <w:p>
            <w:pPr>
              <w:pStyle w:val="Compact"/>
              <w:jc w:val="left"/>
            </w:pPr>
            <w:r>
              <w:t xml:space="preserve">Platform</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EUR 4,950</w:t>
            </w:r>
          </w:p>
        </w:tc>
        <w:tc>
          <w:tcPr/>
          <w:p>
            <w:pPr>
              <w:pStyle w:val="Compact"/>
              <w:jc w:val="left"/>
            </w:pPr>
            <w:r>
              <w:t xml:space="preserve">Software</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EUR 1,999</w:t>
            </w:r>
          </w:p>
        </w:tc>
        <w:tc>
          <w:tcPr/>
          <w:p>
            <w:pPr>
              <w:pStyle w:val="Compact"/>
              <w:jc w:val="left"/>
            </w:pPr>
            <w:r>
              <w:t xml:space="preserve">Software</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EUR 2,999</w:t>
            </w:r>
          </w:p>
        </w:tc>
        <w:tc>
          <w:tcPr/>
          <w:p>
            <w:pPr>
              <w:pStyle w:val="Compact"/>
              <w:jc w:val="left"/>
            </w:pPr>
            <w:r>
              <w:t xml:space="preserve">Software</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EUR 499</w:t>
            </w:r>
          </w:p>
        </w:tc>
        <w:tc>
          <w:tcPr/>
          <w:p>
            <w:pPr>
              <w:pStyle w:val="Compact"/>
              <w:jc w:val="left"/>
            </w:pPr>
            <w:r>
              <w:t xml:space="preserve">Software</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EUR 6,500</w:t>
            </w:r>
          </w:p>
        </w:tc>
        <w:tc>
          <w:tcPr/>
          <w:p>
            <w:pPr>
              <w:pStyle w:val="Compact"/>
              <w:jc w:val="left"/>
            </w:pPr>
            <w:r>
              <w:t xml:space="preserve">Bundle</w:t>
            </w:r>
          </w:p>
        </w:tc>
      </w:tr>
      <w:tr>
        <w:tc>
          <w:tcPr/>
          <w:p>
            <w:pPr>
              <w:pStyle w:val="Compact"/>
              <w:jc w:val="left"/>
            </w:pPr>
            <w:r>
              <w:t xml:space="preserve">consulting-hourly</w:t>
            </w:r>
          </w:p>
        </w:tc>
        <w:tc>
          <w:tcPr/>
          <w:p>
            <w:pPr>
              <w:pStyle w:val="Compact"/>
              <w:jc w:val="left"/>
            </w:pPr>
            <w:r>
              <w:t xml:space="preserve">Consulting hourly rate</w:t>
            </w:r>
          </w:p>
        </w:tc>
        <w:tc>
          <w:tcPr/>
          <w:p>
            <w:pPr>
              <w:pStyle w:val="Compact"/>
              <w:jc w:val="left"/>
            </w:pPr>
            <w:r>
              <w:t xml:space="preserve">EUR 98/h</w:t>
            </w:r>
          </w:p>
        </w:tc>
        <w:tc>
          <w:tcPr/>
          <w:p>
            <w:pPr>
              <w:pStyle w:val="Compact"/>
              <w:jc w:val="left"/>
            </w:pPr>
            <w:r>
              <w:t xml:space="preserve">Service</w:t>
            </w:r>
          </w:p>
        </w:tc>
      </w:tr>
      <w:tr>
        <w:tc>
          <w:tcPr/>
          <w:p>
            <w:pPr>
              <w:pStyle w:val="Compact"/>
              <w:jc w:val="left"/>
            </w:pPr>
            <w:r>
              <w:t xml:space="preserve">consulting-fit55</w:t>
            </w:r>
          </w:p>
        </w:tc>
        <w:tc>
          <w:tcPr/>
          <w:p>
            <w:pPr>
              <w:pStyle w:val="Compact"/>
              <w:jc w:val="left"/>
            </w:pPr>
            <w:r>
              <w:t xml:space="preserve">Fit55 expert advisory</w:t>
            </w:r>
          </w:p>
        </w:tc>
        <w:tc>
          <w:tcPr/>
          <w:p>
            <w:pPr>
              <w:pStyle w:val="Compact"/>
              <w:jc w:val="left"/>
            </w:pPr>
            <w:r>
              <w:t xml:space="preserve">EUR 3,000/month</w:t>
            </w:r>
          </w:p>
        </w:tc>
        <w:tc>
          <w:tcPr/>
          <w:p>
            <w:pPr>
              <w:pStyle w:val="Compact"/>
              <w:jc w:val="left"/>
            </w:pPr>
            <w:r>
              <w:t xml:space="preserve">Service</w:t>
            </w:r>
          </w:p>
        </w:tc>
      </w:tr>
      <w:tr>
        <w:tc>
          <w:tcPr/>
          <w:p>
            <w:pPr>
              <w:pStyle w:val="Compact"/>
              <w:jc w:val="left"/>
            </w:pPr>
            <w:r>
              <w:t xml:space="preserve">secure-email-proton</w:t>
            </w:r>
          </w:p>
        </w:tc>
        <w:tc>
          <w:tcPr/>
          <w:p>
            <w:pPr>
              <w:pStyle w:val="Compact"/>
              <w:jc w:val="left"/>
            </w:pPr>
            <w:r>
              <w:t xml:space="preserve">Protonmail implementation</w:t>
            </w:r>
          </w:p>
        </w:tc>
        <w:tc>
          <w:tcPr/>
          <w:p>
            <w:pPr>
              <w:pStyle w:val="Compact"/>
              <w:jc w:val="left"/>
            </w:pPr>
            <w:r>
              <w:t xml:space="preserve">EUR 499</w:t>
            </w:r>
          </w:p>
        </w:tc>
        <w:tc>
          <w:tcPr/>
          <w:p>
            <w:pPr>
              <w:pStyle w:val="Compact"/>
              <w:jc w:val="left"/>
            </w:pPr>
            <w:r>
              <w:t xml:space="preserve">Service</w:t>
            </w:r>
          </w:p>
        </w:tc>
      </w:tr>
      <w:tr>
        <w:tc>
          <w:tcPr/>
          <w:p>
            <w:pPr>
              <w:pStyle w:val="Compact"/>
              <w:jc w:val="left"/>
            </w:pPr>
            <w:r>
              <w:t xml:space="preserve">ai-koulutus-3d</w:t>
            </w:r>
          </w:p>
        </w:tc>
        <w:tc>
          <w:tcPr/>
          <w:p>
            <w:pPr>
              <w:pStyle w:val="Compact"/>
              <w:jc w:val="left"/>
            </w:pPr>
            <w:r>
              <w:t xml:space="preserve">AI Training 3 days</w:t>
            </w:r>
          </w:p>
        </w:tc>
        <w:tc>
          <w:tcPr/>
          <w:p>
            <w:pPr>
              <w:pStyle w:val="Compact"/>
              <w:jc w:val="left"/>
            </w:pPr>
            <w:r>
              <w:t xml:space="preserve">EUR 6,250</w:t>
            </w:r>
          </w:p>
        </w:tc>
        <w:tc>
          <w:tcPr/>
          <w:p>
            <w:pPr>
              <w:pStyle w:val="Compact"/>
              <w:jc w:val="left"/>
            </w:pPr>
            <w:r>
              <w:t xml:space="preserve">Training</w:t>
            </w:r>
          </w:p>
        </w:tc>
      </w:tr>
    </w:tbl>
    <w:bookmarkEnd w:id="207"/>
    <w:bookmarkStart w:id="208" w:name="X7002632e99d82ed2e4d65b16818534ba5d08a94"/>
    <w:p>
      <w:pPr>
        <w:pStyle w:val="Heading2"/>
      </w:pPr>
      <w:r>
        <w:t xml:space="preserve">Appendix C: Lifetime Scope Signals Protocol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"Milestone achieved, unblocks downstream agents"</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"All agent work finished"</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 encountered an error"</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"Waiting for external dependency"</w:t>
      </w:r>
      <w:r>
        <w:br/>
      </w:r>
      <w:r>
        <w:rPr>
          <w:rStyle w:val="NormalTok"/>
        </w:rPr>
        <w:t xml:space="preserve">  </w:t>
      </w:r>
      <w:r>
        <w:rPr>
          <w:rStyle w:val="FunctionTok"/>
        </w:rPr>
        <w:t xml:space="preserve">}</w:t>
      </w:r>
      <w:r>
        <w:br/>
      </w:r>
      <w:r>
        <w:rPr>
          <w:rStyle w:val="FunctionTok"/>
        </w:rPr>
        <w:t xml:space="preserve">}</w:t>
      </w:r>
    </w:p>
    <w:bookmarkEnd w:id="208"/>
    <w:bookmarkStart w:id="213" w:name="Xcb9df346946d60fb9ff26730b3c0e0b0e4140cc"/>
    <w:p>
      <w:pPr>
        <w:pStyle w:val="Heading2"/>
      </w:pPr>
      <w:r>
        <w:t xml:space="preserve">Appendix D: AI Agent Behavioral Guidelines (Karpathy Principles)</w:t>
      </w:r>
    </w:p>
    <w:bookmarkStart w:id="209" w:name="d.1-background"/>
    <w:p>
      <w:pPr>
        <w:pStyle w:val="Heading3"/>
      </w:pPr>
      <w:r>
        <w:t xml:space="preserve">D.1 Background</w:t>
      </w:r>
    </w:p>
    <w:p>
      <w:pPr>
        <w:pStyle w:val="FirstParagraph"/>
      </w:pPr>
      <w:r>
        <w:t xml:space="preserve">The DWS6 project adopted AI coding agent behavioral guidelines based on</w:t>
      </w:r>
      <w:r>
        <w:t xml:space="preserve"> </w:t>
      </w:r>
      <w:r>
        <w:rPr>
          <w:bCs/>
          <w:b/>
        </w:rPr>
        <w:t xml:space="preserve">Andrej Karpathy’s viral AI coding guidelines</w:t>
      </w:r>
      <w:r>
        <w:t xml:space="preserve">. These guidelines are documented in the repository’s</w:t>
      </w:r>
      <w:r>
        <w:t xml:space="preserve"> </w:t>
      </w:r>
      <w:r>
        <w:rPr>
          <w:rStyle w:val="VerbatimChar"/>
        </w:rPr>
        <w:t xml:space="preserve">CLAUDE.md</w:t>
      </w:r>
      <w:r>
        <w:t xml:space="preserve"> </w:t>
      </w:r>
      <w:r>
        <w:t xml:space="preserve">file and ensure consistent, high-quality AI-human collaboration in agent-based coding workflows.</w:t>
      </w:r>
    </w:p>
    <w:bookmarkEnd w:id="209"/>
    <w:bookmarkStart w:id="210" w:name="d.2-core-philosophy"/>
    <w:p>
      <w:pPr>
        <w:pStyle w:val="Heading3"/>
      </w:pPr>
      <w:r>
        <w:t xml:space="preserve">D.2 Core Philosophy</w:t>
      </w:r>
    </w:p>
    <w:p>
      <w:pPr>
        <w:pStyle w:val="SourceCode"/>
      </w:pPr>
      <w:r>
        <w:rPr>
          <w:rStyle w:val="VerbatimChar"/>
        </w:rPr>
        <w:t xml:space="preserve">"You are the hands; the human is the architect.</w:t>
      </w:r>
      <w:r>
        <w:br/>
      </w:r>
      <w:r>
        <w:rPr>
          <w:rStyle w:val="VerbatimChar"/>
        </w:rPr>
        <w:t xml:space="preserve">Move fast, but never faster than the human can verify.</w:t>
      </w:r>
      <w:r>
        <w:br/>
      </w:r>
      <w:r>
        <w:rPr>
          <w:rStyle w:val="VerbatimChar"/>
        </w:rPr>
        <w:t xml:space="preserve">Your code will be watched -- write accordingly."</w:t>
      </w:r>
    </w:p>
    <w:bookmarkEnd w:id="210"/>
    <w:bookmarkStart w:id="211" w:name="d.3-critical-behavioral-patterns"/>
    <w:p>
      <w:pPr>
        <w:pStyle w:val="Heading3"/>
      </w:pPr>
      <w:r>
        <w:t xml:space="preserve">D.3 Critical Behavioral Patterns</w:t>
      </w:r>
    </w:p>
    <w:tbl>
      <w:tblPr>
        <w:tblStyle w:val="Table"/>
        <w:tblW w:type="pct" w:w="5000"/>
        <w:tblLook w:firstRow="1" w:lastRow="0" w:firstColumn="0" w:lastColumn="0" w:noHBand="0" w:noVBand="0" w:val="0020"/>
        <w:jc w:val="start"/>
      </w:tblPr>
      <w:tblGrid>
        <w:gridCol w:w="198"/>
        <w:gridCol w:w="1848"/>
        <w:gridCol w:w="3300"/>
        <w:gridCol w:w="2574"/>
      </w:tblGrid>
      <w:tr>
        <w:trPr>
          <w:tblHeader w:val="true"/>
        </w:trPr>
        <w:tc>
          <w:tcPr/>
          <w:p>
            <w:pPr>
              <w:pStyle w:val="Compact"/>
              <w:jc w:val="left"/>
            </w:pPr>
            <w:r>
              <w:t xml:space="preserve">#</w:t>
            </w:r>
          </w:p>
        </w:tc>
        <w:tc>
          <w:tcPr/>
          <w:p>
            <w:pPr>
              <w:pStyle w:val="Compact"/>
              <w:jc w:val="left"/>
            </w:pPr>
            <w:r>
              <w:t xml:space="preserve">Behavior</w:t>
            </w:r>
          </w:p>
        </w:tc>
        <w:tc>
          <w:tcPr/>
          <w:p>
            <w:pPr>
              <w:pStyle w:val="Compact"/>
              <w:jc w:val="left"/>
            </w:pPr>
            <w:r>
              <w:t xml:space="preserve">Description</w:t>
            </w:r>
          </w:p>
        </w:tc>
        <w:tc>
          <w:tcPr/>
          <w:p>
            <w:pPr>
              <w:pStyle w:val="Compact"/>
              <w:jc w:val="left"/>
            </w:pPr>
            <w:r>
              <w:t xml:space="preserve">EU AI Act Alignment</w:t>
            </w:r>
          </w:p>
        </w:tc>
      </w:tr>
      <w:tr>
        <w:tc>
          <w:tcPr/>
          <w:p>
            <w:pPr>
              <w:pStyle w:val="Compact"/>
              <w:jc w:val="left"/>
            </w:pPr>
            <w:r>
              <w:t xml:space="preserve">1</w:t>
            </w:r>
          </w:p>
        </w:tc>
        <w:tc>
          <w:tcPr/>
          <w:p>
            <w:pPr>
              <w:pStyle w:val="Compact"/>
              <w:jc w:val="left"/>
            </w:pPr>
            <w:r>
              <w:rPr>
                <w:bCs/>
                <w:b/>
              </w:rPr>
              <w:t xml:space="preserve">Assumption surfacing</w:t>
            </w:r>
          </w:p>
        </w:tc>
        <w:tc>
          <w:tcPr/>
          <w:p>
            <w:pPr>
              <w:pStyle w:val="Compact"/>
              <w:jc w:val="left"/>
            </w:pPr>
            <w:r>
              <w:t xml:space="preserve">State assumptions explicitly before implementation</w:t>
            </w:r>
          </w:p>
        </w:tc>
        <w:tc>
          <w:tcPr/>
          <w:p>
            <w:pPr>
              <w:pStyle w:val="Compact"/>
              <w:jc w:val="left"/>
            </w:pPr>
            <w:r>
              <w:t xml:space="preserve">Supports reasoning lineage (Article 12)</w:t>
            </w:r>
          </w:p>
        </w:tc>
      </w:tr>
      <w:tr>
        <w:tc>
          <w:tcPr/>
          <w:p>
            <w:pPr>
              <w:pStyle w:val="Compact"/>
              <w:jc w:val="left"/>
            </w:pPr>
            <w:r>
              <w:t xml:space="preserve">2</w:t>
            </w:r>
          </w:p>
        </w:tc>
        <w:tc>
          <w:tcPr/>
          <w:p>
            <w:pPr>
              <w:pStyle w:val="Compact"/>
              <w:jc w:val="left"/>
            </w:pPr>
            <w:r>
              <w:rPr>
                <w:bCs/>
                <w:b/>
              </w:rPr>
              <w:t xml:space="preserve">Confusion management</w:t>
            </w:r>
          </w:p>
        </w:tc>
        <w:tc>
          <w:tcPr/>
          <w:p>
            <w:pPr>
              <w:pStyle w:val="Compact"/>
              <w:jc w:val="left"/>
            </w:pPr>
            <w:r>
              <w:t xml:space="preserve">STOP when confused; ask clarifying questions</w:t>
            </w:r>
          </w:p>
        </w:tc>
        <w:tc>
          <w:tcPr/>
          <w:p>
            <w:pPr>
              <w:pStyle w:val="Compact"/>
              <w:jc w:val="left"/>
            </w:pPr>
            <w:r>
              <w:t xml:space="preserve">Prevents autonomous errors</w:t>
            </w:r>
          </w:p>
        </w:tc>
      </w:tr>
      <w:tr>
        <w:tc>
          <w:tcPr/>
          <w:p>
            <w:pPr>
              <w:pStyle w:val="Compact"/>
              <w:jc w:val="left"/>
            </w:pPr>
            <w:r>
              <w:t xml:space="preserve">3</w:t>
            </w:r>
          </w:p>
        </w:tc>
        <w:tc>
          <w:tcPr/>
          <w:p>
            <w:pPr>
              <w:pStyle w:val="Compact"/>
              <w:jc w:val="left"/>
            </w:pPr>
            <w:r>
              <w:rPr>
                <w:bCs/>
                <w:b/>
              </w:rPr>
              <w:t xml:space="preserve">Push back when warranted</w:t>
            </w:r>
          </w:p>
        </w:tc>
        <w:tc>
          <w:tcPr/>
          <w:p>
            <w:pPr>
              <w:pStyle w:val="Compact"/>
              <w:jc w:val="left"/>
            </w:pPr>
            <w:r>
              <w:t xml:space="preserve">Point out issues directly</w:t>
            </w:r>
          </w:p>
        </w:tc>
        <w:tc>
          <w:tcPr/>
          <w:p>
            <w:pPr>
              <w:pStyle w:val="Compact"/>
              <w:jc w:val="left"/>
            </w:pPr>
            <w:r>
              <w:t xml:space="preserve">Ensures human oversight</w:t>
            </w:r>
          </w:p>
        </w:tc>
      </w:tr>
      <w:tr>
        <w:tc>
          <w:tcPr/>
          <w:p>
            <w:pPr>
              <w:pStyle w:val="Compact"/>
              <w:jc w:val="left"/>
            </w:pPr>
            <w:r>
              <w:t xml:space="preserve">4</w:t>
            </w:r>
          </w:p>
        </w:tc>
        <w:tc>
          <w:tcPr/>
          <w:p>
            <w:pPr>
              <w:pStyle w:val="Compact"/>
              <w:jc w:val="left"/>
            </w:pPr>
            <w:r>
              <w:rPr>
                <w:bCs/>
                <w:b/>
              </w:rPr>
              <w:t xml:space="preserve">Simplicity enforcement</w:t>
            </w:r>
          </w:p>
        </w:tc>
        <w:tc>
          <w:tcPr/>
          <w:p>
            <w:pPr>
              <w:pStyle w:val="Compact"/>
              <w:jc w:val="left"/>
            </w:pPr>
            <w:r>
              <w:t xml:space="preserve">Actively resist overcomplication</w:t>
            </w:r>
          </w:p>
        </w:tc>
        <w:tc>
          <w:tcPr/>
          <w:p>
            <w:pPr>
              <w:pStyle w:val="Compact"/>
              <w:jc w:val="left"/>
            </w:pPr>
            <w:r>
              <w:t xml:space="preserve">Maintainability</w:t>
            </w:r>
          </w:p>
        </w:tc>
      </w:tr>
      <w:tr>
        <w:tc>
          <w:tcPr/>
          <w:p>
            <w:pPr>
              <w:pStyle w:val="Compact"/>
              <w:jc w:val="left"/>
            </w:pPr>
            <w:r>
              <w:t xml:space="preserve">5</w:t>
            </w:r>
          </w:p>
        </w:tc>
        <w:tc>
          <w:tcPr/>
          <w:p>
            <w:pPr>
              <w:pStyle w:val="Compact"/>
              <w:jc w:val="left"/>
            </w:pPr>
            <w:r>
              <w:rPr>
                <w:bCs/>
                <w:b/>
              </w:rPr>
              <w:t xml:space="preserve">Scope discipline</w:t>
            </w:r>
          </w:p>
        </w:tc>
        <w:tc>
          <w:tcPr/>
          <w:p>
            <w:pPr>
              <w:pStyle w:val="Compact"/>
              <w:jc w:val="left"/>
            </w:pPr>
            <w:r>
              <w:t xml:space="preserve">Touch only what is asked</w:t>
            </w:r>
          </w:p>
        </w:tc>
        <w:tc>
          <w:tcPr/>
          <w:p>
            <w:pPr>
              <w:pStyle w:val="Compact"/>
              <w:jc w:val="left"/>
            </w:pPr>
            <w:r>
              <w:t xml:space="preserve">Audit trail clarity</w:t>
            </w:r>
          </w:p>
        </w:tc>
      </w:tr>
      <w:tr>
        <w:tc>
          <w:tcPr/>
          <w:p>
            <w:pPr>
              <w:pStyle w:val="Compact"/>
              <w:jc w:val="left"/>
            </w:pPr>
            <w:r>
              <w:t xml:space="preserve">6</w:t>
            </w:r>
          </w:p>
        </w:tc>
        <w:tc>
          <w:tcPr/>
          <w:p>
            <w:pPr>
              <w:pStyle w:val="Compact"/>
              <w:jc w:val="left"/>
            </w:pPr>
            <w:r>
              <w:rPr>
                <w:bCs/>
                <w:b/>
              </w:rPr>
              <w:t xml:space="preserve">Dead code hygiene</w:t>
            </w:r>
          </w:p>
        </w:tc>
        <w:tc>
          <w:tcPr/>
          <w:p>
            <w:pPr>
              <w:pStyle w:val="Compact"/>
              <w:jc w:val="left"/>
            </w:pPr>
            <w:r>
              <w:t xml:space="preserve">Ask before removing unused code</w:t>
            </w:r>
          </w:p>
        </w:tc>
        <w:tc>
          <w:tcPr/>
          <w:p>
            <w:pPr>
              <w:pStyle w:val="Compact"/>
              <w:jc w:val="left"/>
            </w:pPr>
            <w:r>
              <w:t xml:space="preserve">Change documentation</w:t>
            </w:r>
          </w:p>
        </w:tc>
      </w:tr>
    </w:tbl>
    <w:bookmarkEnd w:id="211"/>
    <w:bookmarkStart w:id="212" w:name="d.4-implementation-outcomes"/>
    <w:p>
      <w:pPr>
        <w:pStyle w:val="Heading3"/>
      </w:pPr>
      <w:r>
        <w:t xml:space="preserve">D.4 Implementation Outcomes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Code review rejections</w:t>
            </w:r>
          </w:p>
        </w:tc>
        <w:tc>
          <w:tcPr/>
          <w:p>
            <w:pPr>
              <w:pStyle w:val="Compact"/>
              <w:jc w:val="left"/>
            </w:pPr>
            <w:r>
              <w:t xml:space="preserve">15%</w:t>
            </w:r>
          </w:p>
        </w:tc>
        <w:tc>
          <w:tcPr/>
          <w:p>
            <w:pPr>
              <w:pStyle w:val="Compact"/>
              <w:jc w:val="left"/>
            </w:pPr>
            <w:r>
              <w:t xml:space="preserve">3%</w:t>
            </w:r>
          </w:p>
        </w:tc>
        <w:tc>
          <w:tcPr/>
          <w:p>
            <w:pPr>
              <w:pStyle w:val="Compact"/>
              <w:jc w:val="left"/>
            </w:pPr>
            <w:r>
              <w:t xml:space="preserve">80% reduction</w:t>
            </w:r>
          </w:p>
        </w:tc>
      </w:tr>
      <w:tr>
        <w:tc>
          <w:tcPr/>
          <w:p>
            <w:pPr>
              <w:pStyle w:val="Compact"/>
              <w:jc w:val="left"/>
            </w:pPr>
            <w:r>
              <w:t xml:space="preserve">Unclear change rationale</w:t>
            </w:r>
          </w:p>
        </w:tc>
        <w:tc>
          <w:tcPr/>
          <w:p>
            <w:pPr>
              <w:pStyle w:val="Compact"/>
              <w:jc w:val="left"/>
            </w:pPr>
            <w:r>
              <w:t xml:space="preserve">25%</w:t>
            </w:r>
          </w:p>
        </w:tc>
        <w:tc>
          <w:tcPr/>
          <w:p>
            <w:pPr>
              <w:pStyle w:val="Compact"/>
              <w:jc w:val="left"/>
            </w:pPr>
            <w:r>
              <w:t xml:space="preserve">5%</w:t>
            </w:r>
          </w:p>
        </w:tc>
        <w:tc>
          <w:tcPr/>
          <w:p>
            <w:pPr>
              <w:pStyle w:val="Compact"/>
              <w:jc w:val="left"/>
            </w:pPr>
            <w:r>
              <w:t xml:space="preserve">80% reduction</w:t>
            </w:r>
          </w:p>
        </w:tc>
      </w:tr>
      <w:tr>
        <w:tc>
          <w:tcPr/>
          <w:p>
            <w:pPr>
              <w:pStyle w:val="Compact"/>
              <w:jc w:val="left"/>
            </w:pPr>
            <w:r>
              <w:t xml:space="preserve">Unauthorized scope changes</w:t>
            </w:r>
          </w:p>
        </w:tc>
        <w:tc>
          <w:tcPr/>
          <w:p>
            <w:pPr>
              <w:pStyle w:val="Compact"/>
              <w:jc w:val="left"/>
            </w:pPr>
            <w:r>
              <w:t xml:space="preserve">10%</w:t>
            </w:r>
          </w:p>
        </w:tc>
        <w:tc>
          <w:tcPr/>
          <w:p>
            <w:pPr>
              <w:pStyle w:val="Compact"/>
              <w:jc w:val="left"/>
            </w:pPr>
            <w:r>
              <w:t xml:space="preserve">&lt;1%</w:t>
            </w:r>
          </w:p>
        </w:tc>
        <w:tc>
          <w:tcPr/>
          <w:p>
            <w:pPr>
              <w:pStyle w:val="Compact"/>
              <w:jc w:val="left"/>
            </w:pPr>
            <w:r>
              <w:t xml:space="preserve">90% reduction</w:t>
            </w:r>
          </w:p>
        </w:tc>
      </w:tr>
      <w:tr>
        <w:tc>
          <w:tcPr/>
          <w:p>
            <w:pPr>
              <w:pStyle w:val="Compact"/>
              <w:jc w:val="left"/>
            </w:pPr>
            <w:r>
              <w:t xml:space="preserve">Documentation coverage</w:t>
            </w:r>
          </w:p>
        </w:tc>
        <w:tc>
          <w:tcPr/>
          <w:p>
            <w:pPr>
              <w:pStyle w:val="Compact"/>
              <w:jc w:val="left"/>
            </w:pPr>
            <w:r>
              <w:t xml:space="preserve">60%</w:t>
            </w:r>
          </w:p>
        </w:tc>
        <w:tc>
          <w:tcPr/>
          <w:p>
            <w:pPr>
              <w:pStyle w:val="Compact"/>
              <w:jc w:val="left"/>
            </w:pPr>
            <w:r>
              <w:t xml:space="preserve">95%</w:t>
            </w:r>
          </w:p>
        </w:tc>
        <w:tc>
          <w:tcPr/>
          <w:p>
            <w:pPr>
              <w:pStyle w:val="Compact"/>
              <w:jc w:val="left"/>
            </w:pPr>
            <w:r>
              <w:t xml:space="preserve">58% improvement</w:t>
            </w:r>
          </w:p>
        </w:tc>
      </w:tr>
    </w:tbl>
    <w:bookmarkEnd w:id="212"/>
    <w:bookmarkEnd w:id="213"/>
    <w:bookmarkStart w:id="215" w:name="X426344c2f10a3420b0bf0c81e39f821e695a313"/>
    <w:p>
      <w:pPr>
        <w:pStyle w:val="Heading2"/>
      </w:pPr>
      <w:r>
        <w:t xml:space="preserve">Appendix E: AI Model Training Infrastructure</w:t>
      </w:r>
    </w:p>
    <w:bookmarkStart w:id="214" w:name="X201736bd7a6d39b9c43700f25e58f856f339699"/>
    <w:p>
      <w:pPr>
        <w:pStyle w:val="Heading3"/>
      </w:pPr>
      <w:r>
        <w:t xml:space="preserve">Lifetime World Model (LWM) Training Pipeline</w:t>
      </w:r>
    </w:p>
    <w:p>
      <w:pPr>
        <w:pStyle w:val="FirstParagraph"/>
      </w:pPr>
      <w:r>
        <w:rPr>
          <w:bCs/>
          <w:b/>
        </w:rPr>
        <w:t xml:space="preserve">Hardware:</w:t>
      </w:r>
    </w:p>
    <w:p>
      <w:pPr>
        <w:numPr>
          <w:ilvl w:val="0"/>
          <w:numId w:val="1072"/>
        </w:numPr>
        <w:pStyle w:val="Compact"/>
      </w:pPr>
      <w:r>
        <w:rPr>
          <w:bCs/>
          <w:b/>
        </w:rPr>
        <w:t xml:space="preserve">Primary:</w:t>
      </w:r>
      <w:r>
        <w:t xml:space="preserve"> </w:t>
      </w:r>
      <w:r>
        <w:t xml:space="preserve">Acer Veriton GN-100 (dedicated, on-premises)</w:t>
      </w:r>
    </w:p>
    <w:p>
      <w:pPr>
        <w:numPr>
          <w:ilvl w:val="0"/>
          <w:numId w:val="1072"/>
        </w:numPr>
        <w:pStyle w:val="Compact"/>
      </w:pPr>
      <w:r>
        <w:rPr>
          <w:bCs/>
          <w:b/>
        </w:rPr>
        <w:t xml:space="preserve">Accelerator:</w:t>
      </w:r>
      <w:r>
        <w:t xml:space="preserve"> </w:t>
      </w:r>
      <w:r>
        <w:t xml:space="preserve">NVIDIA GB10 Grace Blackwell Superchip</w:t>
      </w:r>
    </w:p>
    <w:p>
      <w:pPr>
        <w:numPr>
          <w:ilvl w:val="0"/>
          <w:numId w:val="1072"/>
        </w:numPr>
        <w:pStyle w:val="Compact"/>
      </w:pPr>
      <w:r>
        <w:rPr>
          <w:bCs/>
          <w:b/>
        </w:rPr>
        <w:t xml:space="preserve">Compute:</w:t>
      </w:r>
      <w:r>
        <w:t xml:space="preserve"> </w:t>
      </w:r>
      <w:r>
        <w:t xml:space="preserve">1 PetaFLOP local inference</w:t>
      </w:r>
    </w:p>
    <w:p>
      <w:pPr>
        <w:numPr>
          <w:ilvl w:val="0"/>
          <w:numId w:val="1072"/>
        </w:numPr>
        <w:pStyle w:val="Compact"/>
      </w:pPr>
      <w:r>
        <w:rPr>
          <w:bCs/>
          <w:b/>
        </w:rPr>
        <w:t xml:space="preserve">Memory:</w:t>
      </w:r>
      <w:r>
        <w:t xml:space="preserve"> </w:t>
      </w:r>
      <w:r>
        <w:t xml:space="preserve">128GB unified memory</w:t>
      </w:r>
    </w:p>
    <w:p>
      <w:pPr>
        <w:pStyle w:val="FirstParagraph"/>
      </w:pPr>
      <w:r>
        <w:rPr>
          <w:bCs/>
          <w:b/>
        </w:rPr>
        <w:t xml:space="preserve">Training workflow:</w:t>
      </w:r>
    </w:p>
    <w:p>
      <w:pPr>
        <w:numPr>
          <w:ilvl w:val="0"/>
          <w:numId w:val="1073"/>
        </w:numPr>
        <w:pStyle w:val="Compact"/>
      </w:pPr>
      <w:r>
        <w:t xml:space="preserve">Curriculum design (Claude API)</w:t>
      </w:r>
    </w:p>
    <w:p>
      <w:pPr>
        <w:numPr>
          <w:ilvl w:val="0"/>
          <w:numId w:val="1073"/>
        </w:numPr>
        <w:pStyle w:val="Compact"/>
      </w:pPr>
      <w:r>
        <w:t xml:space="preserve">Synthetic data generation (Claude API, 2000+ examples per industry)</w:t>
      </w:r>
    </w:p>
    <w:p>
      <w:pPr>
        <w:numPr>
          <w:ilvl w:val="0"/>
          <w:numId w:val="1073"/>
        </w:numPr>
        <w:pStyle w:val="Compact"/>
      </w:pPr>
      <w:r>
        <w:t xml:space="preserve">Local fine-tuning (Acer Veriton GN-100, QLoRA, 16h per model)</w:t>
      </w:r>
    </w:p>
    <w:p>
      <w:pPr>
        <w:numPr>
          <w:ilvl w:val="0"/>
          <w:numId w:val="1073"/>
        </w:numPr>
        <w:pStyle w:val="Compact"/>
      </w:pPr>
      <w:r>
        <w:t xml:space="preserve">Evaluation &amp; deployment (Claude-as-judge, target &gt;7.0/10)</w:t>
      </w:r>
    </w:p>
    <w:p>
      <w:pPr>
        <w:pStyle w:val="FirstParagraph"/>
      </w:pPr>
      <w:r>
        <w:rPr>
          <w:bCs/>
          <w:b/>
        </w:rPr>
        <w:t xml:space="preserve">Cost:</w:t>
      </w:r>
      <w:r>
        <w:t xml:space="preserve"> </w:t>
      </w:r>
      <w:r>
        <w:t xml:space="preserve">EUR 80-125 per industry model (vs. EUR 15,000+ traditionally, 99% cost reduction)</w:t>
      </w:r>
    </w:p>
    <w:bookmarkEnd w:id="214"/>
    <w:bookmarkEnd w:id="215"/>
    <w:bookmarkStart w:id="216" w:name="appendix-f-v1.0-agent-fleet"/>
    <w:p>
      <w:pPr>
        <w:pStyle w:val="Heading2"/>
      </w:pPr>
      <w:r>
        <w:t xml:space="preserve">Appendix F: V1.0 Agent Fleet</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 ID</w:t>
            </w:r>
          </w:p>
        </w:tc>
        <w:tc>
          <w:tcPr/>
          <w:p>
            <w:pPr>
              <w:pStyle w:val="Compact"/>
              <w:jc w:val="left"/>
            </w:pPr>
            <w:r>
              <w:t xml:space="preserve">Name</w:t>
            </w:r>
          </w:p>
        </w:tc>
        <w:tc>
          <w:tcPr/>
          <w:p>
            <w:pPr>
              <w:pStyle w:val="Compact"/>
              <w:jc w:val="left"/>
            </w:pPr>
            <w:r>
              <w:t xml:space="preserve">Phase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Critical</w:t>
            </w:r>
          </w:p>
        </w:tc>
        <w:tc>
          <w:tcPr/>
          <w:p>
            <w:pPr>
              <w:pStyle w:val="Compact"/>
              <w:jc w:val="left"/>
            </w:pPr>
            <w:r>
              <w:t xml:space="preserve">Pending</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Low</w:t>
            </w:r>
          </w:p>
        </w:tc>
        <w:tc>
          <w:tcPr/>
          <w:p>
            <w:pPr>
              <w:pStyle w:val="Compact"/>
              <w:jc w:val="left"/>
            </w:pPr>
            <w:r>
              <w:t xml:space="preserve">Deferred</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Critical</w:t>
            </w:r>
          </w:p>
        </w:tc>
        <w:tc>
          <w:tcPr/>
          <w:p>
            <w:pPr>
              <w:pStyle w:val="Compact"/>
              <w:jc w:val="left"/>
            </w:pPr>
            <w:r>
              <w:t xml:space="preserve">In Progress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Medium</w:t>
            </w:r>
          </w:p>
        </w:tc>
        <w:tc>
          <w:tcPr/>
          <w:p>
            <w:pPr>
              <w:pStyle w:val="Compact"/>
              <w:jc w:val="left"/>
            </w:pPr>
            <w:r>
              <w:t xml:space="preserve">Pending</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High</w:t>
            </w:r>
          </w:p>
        </w:tc>
        <w:tc>
          <w:tcPr/>
          <w:p>
            <w:pPr>
              <w:pStyle w:val="Compact"/>
              <w:jc w:val="left"/>
            </w:pPr>
            <w:r>
              <w:t xml:space="preserve">Pending</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Low</w:t>
            </w:r>
          </w:p>
        </w:tc>
        <w:tc>
          <w:tcPr/>
          <w:p>
            <w:pPr>
              <w:pStyle w:val="Compact"/>
              <w:jc w:val="left"/>
            </w:pPr>
            <w:r>
              <w:t xml:space="preserve">In Progress</w:t>
            </w:r>
          </w:p>
        </w:tc>
      </w:tr>
    </w:tbl>
    <w:bookmarkEnd w:id="216"/>
    <w:bookmarkStart w:id="221" w:name="appendix-g-glossary"/>
    <w:p>
      <w:pPr>
        <w:pStyle w:val="Heading2"/>
      </w:pPr>
      <w:r>
        <w:t xml:space="preserve">Appendix G: Glossary</w:t>
      </w:r>
    </w:p>
    <w:bookmarkStart w:id="217" w:name="platform-and-business-concepts"/>
    <w:p>
      <w:pPr>
        <w:pStyle w:val="Heading3"/>
      </w:pPr>
      <w:r>
        <w:t xml:space="preserve">Platform and Business Concepts</w:t>
      </w:r>
    </w:p>
    <w:tbl>
      <w:tblPr>
        <w:tblStyle w:val="Table"/>
        <w:tblW w:type="pct" w:w="5000"/>
        <w:tblLook w:firstRow="1" w:lastRow="0" w:firstColumn="0" w:lastColumn="0" w:noHBand="0" w:noVBand="0" w:val="0020"/>
        <w:jc w:val="start"/>
      </w:tblPr>
      <w:tblGrid>
        <w:gridCol w:w="1525"/>
        <w:gridCol w:w="1290"/>
        <w:gridCol w:w="510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Multi-model, multi-tenant framework for deploying AI agents across industrial verticals</w:t>
            </w:r>
          </w:p>
        </w:tc>
      </w:tr>
      <w:tr>
        <w:tc>
          <w:tcPr/>
          <w:p>
            <w:pPr>
              <w:pStyle w:val="Compact"/>
              <w:jc w:val="left"/>
            </w:pPr>
            <w:r>
              <w:rPr>
                <w:bCs/>
                <w:b/>
              </w:rPr>
              <w:t xml:space="preserve">Edge AI</w:t>
            </w:r>
          </w:p>
        </w:tc>
        <w:tc>
          <w:tcPr/>
          <w:p>
            <w:pPr>
              <w:pStyle w:val="Compact"/>
              <w:jc w:val="left"/>
            </w:pPr>
            <w:r>
              <w:t xml:space="preserve">Reunatekoaly</w:t>
            </w:r>
          </w:p>
        </w:tc>
        <w:tc>
          <w:tcPr/>
          <w:p>
            <w:pPr>
              <w:pStyle w:val="Compact"/>
              <w:jc w:val="left"/>
            </w:pPr>
            <w:r>
              <w:t xml:space="preserve">AI processing on local devices instead of cloud servers</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 product suite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 legislative package mandating 55% emissions reduction by 2030</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Coordination protocol for multi-agent development via declarative signal emission</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coordination server for multi-agent orchestration</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Operating model for producing multiple industrial AI platforms from shared components</w:t>
            </w:r>
          </w:p>
        </w:tc>
      </w:tr>
    </w:tbl>
    <w:bookmarkEnd w:id="217"/>
    <w:bookmarkStart w:id="218" w:name="security-and-compliance"/>
    <w:p>
      <w:pPr>
        <w:pStyle w:val="Heading3"/>
      </w:pPr>
      <w:r>
        <w:t xml:space="preserve">Security and Compliance</w:t>
      </w:r>
    </w:p>
    <w:tbl>
      <w:tblPr>
        <w:tblStyle w:val="Table"/>
        <w:tblW w:type="pct" w:w="5000"/>
        <w:tblLook w:firstRow="1" w:lastRow="0" w:firstColumn="0" w:lastColumn="0" w:noHBand="0" w:noVBand="0" w:val="0020"/>
        <w:jc w:val="start"/>
      </w:tblPr>
      <w:tblGrid>
        <w:gridCol w:w="880"/>
        <w:gridCol w:w="2166"/>
        <w:gridCol w:w="4873"/>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EU AI Act</w:t>
            </w:r>
          </w:p>
        </w:tc>
        <w:tc>
          <w:tcPr/>
          <w:p>
            <w:pPr>
              <w:pStyle w:val="Compact"/>
              <w:jc w:val="left"/>
            </w:pPr>
            <w:r>
              <w:t xml:space="preserve">EU:n tekoalysaados</w:t>
            </w:r>
          </w:p>
        </w:tc>
        <w:tc>
          <w:tcPr/>
          <w:p>
            <w:pPr>
              <w:pStyle w:val="Compact"/>
              <w:jc w:val="left"/>
            </w:pPr>
            <w:r>
              <w:t xml:space="preserve">EU regulation for AI systems (August 2026 deadline)</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 data protection regulation</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 cybersecurity directive for critical infrastructure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Row-Level Security - database-level access control per user/organization</w:t>
            </w:r>
          </w:p>
        </w:tc>
      </w:tr>
    </w:tbl>
    <w:bookmarkEnd w:id="218"/>
    <w:bookmarkStart w:id="219" w:name="data-architecture-and-analytics"/>
    <w:p>
      <w:pPr>
        <w:pStyle w:val="Heading3"/>
      </w:pPr>
      <w:r>
        <w:t xml:space="preserve">Data Architecture and Analytics</w:t>
      </w:r>
    </w:p>
    <w:tbl>
      <w:tblPr>
        <w:tblStyle w:val="Table"/>
        <w:tblW w:type="pct" w:w="5000"/>
        <w:tblLook w:firstRow="1" w:lastRow="0" w:firstColumn="0" w:lastColumn="0" w:noHBand="0" w:noVBand="0" w:val="0020"/>
        <w:jc w:val="start"/>
      </w:tblPr>
      <w:tblGrid>
        <w:gridCol w:w="960"/>
        <w:gridCol w:w="912"/>
        <w:gridCol w:w="6048"/>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Karpathy-inspired autonomous validation loop: hypothesize → modify → verify → keep/discard → repeat</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Database storage format organizing data by columns instead of rows, enabling 10-100× compression and faster analytical queries</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single database handles both OLTP and OLAP workloads</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TimescaleDB’s automatic hybrid row→columnar tiering engine with 90-98% compression</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 time-partitioned table for time-series data with automatic chunk management</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 extension embedding DuckDB for 50-600× OLAP acceleration (edge-only in DWS)</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 extension for vector similarity search, used in RAG pipelines</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 extension for time-series data with compression and continuous aggregates</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Architecture pattern: Tier 1 (Aiven managed, TimescaleDB) + Tier 2 (self-managed edge, pg_duckdb)</w:t>
            </w:r>
          </w:p>
        </w:tc>
      </w:tr>
    </w:tbl>
    <w:bookmarkEnd w:id="219"/>
    <w:bookmarkStart w:id="220" w:name="research-methodology"/>
    <w:p>
      <w:pPr>
        <w:pStyle w:val="Heading3"/>
      </w:pPr>
      <w:r>
        <w:t xml:space="preserve">Research Methodology</w:t>
      </w:r>
    </w:p>
    <w:tbl>
      <w:tblPr>
        <w:tblStyle w:val="Table"/>
        <w:tblW w:type="pct" w:w="5000"/>
        <w:tblLook w:firstRow="1" w:lastRow="0" w:firstColumn="0" w:lastColumn="0" w:noHBand="0" w:noVBand="0" w:val="0020"/>
        <w:jc w:val="start"/>
      </w:tblPr>
      <w:tblGrid>
        <w:gridCol w:w="1071"/>
        <w:gridCol w:w="1304"/>
        <w:gridCol w:w="5544"/>
      </w:tblGrid>
      <w:tr>
        <w:trPr>
          <w:tblHeader w:val="true"/>
        </w:trPr>
        <w:tc>
          <w:tcPr/>
          <w:p>
            <w:pPr>
              <w:pStyle w:val="Compact"/>
              <w:jc w:val="left"/>
            </w:pPr>
            <w:r>
              <w:t xml:space="preserve">Term (EN)</w:t>
            </w:r>
          </w:p>
        </w:tc>
        <w:tc>
          <w:tcPr/>
          <w:p>
            <w:pPr>
              <w:pStyle w:val="Compact"/>
              <w:jc w:val="left"/>
            </w:pPr>
            <w:r>
              <w:t xml:space="preserve">Finnish</w:t>
            </w:r>
          </w:p>
        </w:tc>
        <w:tc>
          <w:tcPr/>
          <w:p>
            <w:pPr>
              <w:pStyle w:val="Compact"/>
              <w:jc w:val="left"/>
            </w:pPr>
            <w:r>
              <w:t xml:space="preserve">Definition</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 policy requiring all production database extensions to be Aiven-compatible before adoption</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Internal standard governing data storage decisions, extension governance, and EU regulatory compliance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dual-purpose standard for AI agent security (Shield) and optimization governance (Sword)</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 pattern: validate changes on small proxy (depth=12) before scaling to production (depth=24)</w:t>
            </w:r>
          </w:p>
        </w:tc>
      </w:tr>
    </w:tbl>
    <w:p>
      <w:r>
        <w:pict>
          <v:rect style="width:0;height:1.5pt" o:hralign="center" o:hrstd="t" o:hr="t"/>
        </w:pict>
      </w:r>
    </w:p>
    <w:bookmarkEnd w:id="220"/>
    <w:bookmarkEnd w:id="221"/>
    <w:bookmarkStart w:id="228" w:name="X913c5d6278562a2088bf833de44a465c3cc1013"/>
    <w:p>
      <w:pPr>
        <w:pStyle w:val="Heading2"/>
      </w:pPr>
      <w:r>
        <w:t xml:space="preserve">Appendix H: Automated PR Workflow (HIL Automation)</w:t>
      </w:r>
    </w:p>
    <w:bookmarkStart w:id="222" w:name="background-2"/>
    <w:p>
      <w:pPr>
        <w:pStyle w:val="Heading3"/>
      </w:pPr>
      <w:r>
        <w:t xml:space="preserve">Background</w:t>
      </w:r>
    </w:p>
    <w:p>
      <w:pPr>
        <w:pStyle w:val="FirstParagraph"/>
      </w:pPr>
      <w:r>
        <w:t xml:space="preserve">A key operational challenge for solo developers and small teams managing enterprise-grade codebases is maintaining code quality without a dedicated review team. The Firehorse model addresses this with a fully automated pull request review and merge workflow that replaces manual human-in-the-loop (HIL) code review with dual-model AI review.</w:t>
      </w:r>
    </w:p>
    <w:bookmarkEnd w:id="222"/>
    <w:bookmarkStart w:id="223" w:name="architecture"/>
    <w:p>
      <w:pPr>
        <w:pStyle w:val="Heading3"/>
      </w:pPr>
      <w:r>
        <w:t xml:space="preserve">Architecture</w:t>
      </w:r>
    </w:p>
    <w:p>
      <w:pPr>
        <w:pStyle w:val="SourceCode"/>
      </w:pPr>
      <w:r>
        <w:rPr>
          <w:rStyle w:val="VerbatimChar"/>
        </w:rPr>
        <w:t xml:space="preserve">Claude Code → PR → Claude sanity check → Gemini HIL review → @copilot fixes → CI → auto-merge</w:t>
      </w:r>
      <w:r>
        <w:br/>
      </w:r>
      <w:r>
        <w:rPr>
          <w:rStyle w:val="VerbatimChar"/>
        </w:rPr>
        <w:t xml:space="preserve">                                                ↑                    |</w:t>
      </w:r>
      <w:r>
        <w:br/>
      </w:r>
      <w:r>
        <w:rPr>
          <w:rStyle w:val="VerbatimChar"/>
        </w:rPr>
        <w:t xml:space="preserve">                                                └────────────────────┘  (fix loop)</w:t>
      </w:r>
    </w:p>
    <w:bookmarkEnd w:id="223"/>
    <w:bookmarkStart w:id="224" w:name="components"/>
    <w:p>
      <w:pPr>
        <w:pStyle w:val="Heading3"/>
      </w:pPr>
      <w:r>
        <w:t xml:space="preserve">Components</w:t>
      </w:r>
    </w:p>
    <w:tbl>
      <w:tblPr>
        <w:tblStyle w:val="Table"/>
        <w:tblW w:type="pct" w:w="5000"/>
        <w:tblLook w:firstRow="1" w:lastRow="0" w:firstColumn="0" w:lastColumn="0" w:noHBand="0" w:noVBand="0" w:val="0020"/>
        <w:jc w:val="start"/>
      </w:tblPr>
      <w:tblGrid>
        <w:gridCol w:w="1466"/>
        <w:gridCol w:w="4400"/>
        <w:gridCol w:w="2053"/>
      </w:tblGrid>
      <w:tr>
        <w:trPr>
          <w:tblHeader w:val="true"/>
        </w:trPr>
        <w:tc>
          <w:tcPr/>
          <w:p>
            <w:pPr>
              <w:pStyle w:val="Compact"/>
              <w:jc w:val="left"/>
            </w:pPr>
            <w:r>
              <w:t xml:space="preserve">Component</w:t>
            </w:r>
          </w:p>
        </w:tc>
        <w:tc>
          <w:tcPr/>
          <w:p>
            <w:pPr>
              <w:pStyle w:val="Compact"/>
              <w:jc w:val="left"/>
            </w:pPr>
            <w:r>
              <w:t xml:space="preserve">Role</w:t>
            </w:r>
          </w:p>
        </w:tc>
        <w:tc>
          <w:tcPr/>
          <w:p>
            <w:pPr>
              <w:pStyle w:val="Compact"/>
              <w:jc w:val="left"/>
            </w:pPr>
            <w:r>
              <w:t xml:space="preserve">Technology</w:t>
            </w:r>
          </w:p>
        </w:tc>
      </w:tr>
      <w:tr>
        <w:tc>
          <w:tcPr/>
          <w:p>
            <w:pPr>
              <w:pStyle w:val="Compact"/>
              <w:jc w:val="left"/>
            </w:pPr>
            <w:r>
              <w:t xml:space="preserve">Claude Code</w:t>
            </w:r>
          </w:p>
        </w:tc>
        <w:tc>
          <w:tcPr/>
          <w:p>
            <w:pPr>
              <w:pStyle w:val="Compact"/>
              <w:jc w:val="left"/>
            </w:pPr>
            <w:r>
              <w:t xml:space="preserve">Code generation, branch creation, PR opening</w:t>
            </w:r>
          </w:p>
        </w:tc>
        <w:tc>
          <w:tcPr/>
          <w:p>
            <w:pPr>
              <w:pStyle w:val="Compact"/>
              <w:jc w:val="left"/>
            </w:pPr>
            <w:r>
              <w:t xml:space="preserve">Anthropic Claude Opus/Sonnet</w:t>
            </w:r>
          </w:p>
        </w:tc>
      </w:tr>
      <w:tr>
        <w:tc>
          <w:tcPr/>
          <w:p>
            <w:pPr>
              <w:pStyle w:val="Compact"/>
              <w:jc w:val="left"/>
            </w:pPr>
            <w:r>
              <w:t xml:space="preserve">Claude (reviewer)</w:t>
            </w:r>
          </w:p>
        </w:tc>
        <w:tc>
          <w:tcPr/>
          <w:p>
            <w:pPr>
              <w:pStyle w:val="Compact"/>
              <w:jc w:val="left"/>
            </w:pPr>
            <w:r>
              <w:t xml:space="preserve">Quick sanity check: security, correctness, breaking changes</w:t>
            </w:r>
          </w:p>
        </w:tc>
        <w:tc>
          <w:tcPr/>
          <w:p>
            <w:pPr>
              <w:pStyle w:val="Compact"/>
              <w:jc w:val="left"/>
            </w:pPr>
            <w:r>
              <w:t xml:space="preserve">Claude Sonnet 4 API</w:t>
            </w:r>
          </w:p>
        </w:tc>
      </w:tr>
      <w:tr>
        <w:tc>
          <w:tcPr/>
          <w:p>
            <w:pPr>
              <w:pStyle w:val="Compact"/>
              <w:jc w:val="left"/>
            </w:pPr>
            <w:r>
              <w:t xml:space="preserve">Gemini (HIL gate)</w:t>
            </w:r>
          </w:p>
        </w:tc>
        <w:tc>
          <w:tcPr/>
          <w:p>
            <w:pPr>
              <w:pStyle w:val="Compact"/>
              <w:jc w:val="left"/>
            </w:pPr>
            <w:r>
              <w:t xml:space="preserve">Deep review: edge cases, tests, architecture, OWASP security</w:t>
            </w:r>
          </w:p>
        </w:tc>
        <w:tc>
          <w:tcPr/>
          <w:p>
            <w:pPr>
              <w:pStyle w:val="Compact"/>
              <w:jc w:val="left"/>
            </w:pPr>
            <w:r>
              <w:t xml:space="preserve">Gemini 2.0 Flash API</w:t>
            </w:r>
          </w:p>
        </w:tc>
      </w:tr>
      <w:tr>
        <w:tc>
          <w:tcPr/>
          <w:p>
            <w:pPr>
              <w:pStyle w:val="Compact"/>
              <w:jc w:val="left"/>
            </w:pPr>
            <w:r>
              <w:t xml:space="preserve">Copilot coding agent</w:t>
            </w:r>
          </w:p>
        </w:tc>
        <w:tc>
          <w:tcPr/>
          <w:p>
            <w:pPr>
              <w:pStyle w:val="Compact"/>
              <w:jc w:val="left"/>
            </w:pPr>
            <w:r>
              <w:t xml:space="preserve">Implements fix instructions from review comments</w:t>
            </w:r>
          </w:p>
        </w:tc>
        <w:tc>
          <w:tcPr/>
          <w:p>
            <w:pPr>
              <w:pStyle w:val="Compact"/>
              <w:jc w:val="left"/>
            </w:pPr>
            <w:r>
              <w:t xml:space="preserve">GitHub Copilot</w:t>
            </w:r>
          </w:p>
        </w:tc>
      </w:tr>
      <w:tr>
        <w:tc>
          <w:tcPr/>
          <w:p>
            <w:pPr>
              <w:pStyle w:val="Compact"/>
              <w:jc w:val="left"/>
            </w:pPr>
            <w:r>
              <w:t xml:space="preserve">PR Auto-Merge</w:t>
            </w:r>
          </w:p>
        </w:tc>
        <w:tc>
          <w:tcPr/>
          <w:p>
            <w:pPr>
              <w:pStyle w:val="Compact"/>
              <w:jc w:val="left"/>
            </w:pPr>
            <w:r>
              <w:t xml:space="preserve">Merges when all checks pass and AI approves</w:t>
            </w:r>
          </w:p>
        </w:tc>
        <w:tc>
          <w:tcPr/>
          <w:p>
            <w:pPr>
              <w:pStyle w:val="Compact"/>
              <w:jc w:val="left"/>
            </w:pPr>
            <w:r>
              <w:t xml:space="preserve">GitHub Actions + GraphQL</w:t>
            </w:r>
          </w:p>
        </w:tc>
      </w:tr>
    </w:tbl>
    <w:bookmarkEnd w:id="224"/>
    <w:bookmarkStart w:id="225" w:name="design-decisions"/>
    <w:p>
      <w:pPr>
        <w:pStyle w:val="Heading3"/>
      </w:pPr>
      <w:r>
        <w:t xml:space="preserve">Design Decisions</w:t>
      </w:r>
    </w:p>
    <w:p>
      <w:pPr>
        <w:numPr>
          <w:ilvl w:val="0"/>
          <w:numId w:val="1074"/>
        </w:numPr>
        <w:pStyle w:val="Compact"/>
      </w:pPr>
      <w:r>
        <w:rPr>
          <w:bCs/>
          <w:b/>
        </w:rPr>
        <w:t xml:space="preserve">Gemini defaults to REQUEST_CHANGES</w:t>
      </w:r>
      <w:r>
        <w:t xml:space="preserve"> </w:t>
      </w:r>
      <w:r>
        <w:t xml:space="preserve">— ensures every PR goes through at least one improvement cycle, even when the original implementation appears correct</w:t>
      </w:r>
    </w:p>
    <w:p>
      <w:pPr>
        <w:numPr>
          <w:ilvl w:val="0"/>
          <w:numId w:val="1074"/>
        </w:numPr>
        <w:pStyle w:val="Compact"/>
      </w:pPr>
      <w:r>
        <w:rPr>
          <w:bCs/>
          <w:b/>
        </w:rPr>
        <w:t xml:space="preserve">Dual-model review</w:t>
      </w:r>
      <w:r>
        <w:t xml:space="preserve"> </w:t>
      </w:r>
      <w:r>
        <w:t xml:space="preserve">— two different AI models catch different classes of issues (structural vs. security vs. convention)</w:t>
      </w:r>
    </w:p>
    <w:p>
      <w:pPr>
        <w:numPr>
          <w:ilvl w:val="0"/>
          <w:numId w:val="1074"/>
        </w:numPr>
        <w:pStyle w:val="Compact"/>
      </w:pPr>
      <w:r>
        <w:rPr>
          <w:bCs/>
          <w:b/>
        </w:rPr>
        <w:t xml:space="preserve">Automated fix loop</w:t>
      </w:r>
      <w:r>
        <w:t xml:space="preserve"> </w:t>
      </w:r>
      <w:r>
        <w:t xml:space="preserve">— structured fix instructions sent to</w:t>
      </w:r>
      <w:r>
        <w:t xml:space="preserve"> </w:t>
      </w:r>
      <w:r>
        <w:t xml:space="preserve">@copilot</w:t>
      </w:r>
      <w:r>
        <w:t xml:space="preserve">, which implements fixes and re-triggers review, reducing developer involvement to final skim (~5 min per PR)</w:t>
      </w:r>
    </w:p>
    <w:p>
      <w:pPr>
        <w:numPr>
          <w:ilvl w:val="0"/>
          <w:numId w:val="1074"/>
        </w:numPr>
        <w:pStyle w:val="Compact"/>
      </w:pPr>
      <w:r>
        <w:rPr>
          <w:bCs/>
          <w:b/>
        </w:rPr>
        <w:t xml:space="preserve">Human overrides</w:t>
      </w:r>
      <w:r>
        <w:t xml:space="preserve"> </w:t>
      </w:r>
      <w:r>
        <w:t xml:space="preserve">—</w:t>
      </w:r>
      <w:r>
        <w:t xml:space="preserve"> </w:t>
      </w:r>
      <w:r>
        <w:rPr>
          <w:rStyle w:val="VerbatimChar"/>
        </w:rPr>
        <w:t xml:space="preserve">do-not-merge</w:t>
      </w:r>
      <w:r>
        <w:t xml:space="preserve"> </w:t>
      </w:r>
      <w:r>
        <w:t xml:space="preserve">and</w:t>
      </w:r>
      <w:r>
        <w:t xml:space="preserve"> </w:t>
      </w:r>
      <w:r>
        <w:rPr>
          <w:rStyle w:val="VerbatimChar"/>
        </w:rPr>
        <w:t xml:space="preserve">needs-human-review</w:t>
      </w:r>
      <w:r>
        <w:t xml:space="preserve"> </w:t>
      </w:r>
      <w:r>
        <w:t xml:space="preserve">labels pause automation for manual review when needed</w:t>
      </w:r>
    </w:p>
    <w:bookmarkEnd w:id="225"/>
    <w:bookmarkStart w:id="226" w:name="relevance-to-thesis"/>
    <w:p>
      <w:pPr>
        <w:pStyle w:val="Heading3"/>
      </w:pPr>
      <w:r>
        <w:t xml:space="preserve">Relevance to Thesis</w:t>
      </w:r>
    </w:p>
    <w:p>
      <w:pPr>
        <w:pStyle w:val="FirstParagraph"/>
      </w:pPr>
      <w:r>
        <w:t xml:space="preserve">This workflow demonstrates the Solution Factory model (Section 5) operating at full automation: a single developer with AI agents produces enterprise-quality code at scale. The HIL learning pipeline (Section 6.7) feeds review insights back into agent training, creating a continuous improvement loop that aligns with EU AI Act Article 12 auditability requirements.</w:t>
      </w:r>
    </w:p>
    <w:bookmarkEnd w:id="226"/>
    <w:bookmarkStart w:id="227" w:name="deployment"/>
    <w:p>
      <w:pPr>
        <w:pStyle w:val="Heading3"/>
      </w:pPr>
      <w:r>
        <w:t xml:space="preserve">Deployment</w:t>
      </w:r>
    </w:p>
    <w:p>
      <w:pPr>
        <w:pStyle w:val="FirstParagraph"/>
      </w:pPr>
      <w:r>
        <w:t xml:space="preserve">Cloud Run service</w:t>
      </w:r>
      <w:r>
        <w:t xml:space="preserve"> </w:t>
      </w:r>
      <w:r>
        <w:rPr>
          <w:rStyle w:val="VerbatimChar"/>
        </w:rPr>
        <w:t xml:space="preserve">dws6run6</w:t>
      </w:r>
      <w:r>
        <w:t xml:space="preserve"> </w:t>
      </w:r>
      <w:r>
        <w:t xml:space="preserve">(europe-north1, Finland). MCP Hub exposes</w:t>
      </w:r>
      <w:r>
        <w:t xml:space="preserve"> </w:t>
      </w:r>
      <w:r>
        <w:rPr>
          <w:rStyle w:val="VerbatimChar"/>
        </w:rPr>
        <w:t xml:space="preserve">POST /gemini/review</w:t>
      </w:r>
      <w:r>
        <w:t xml:space="preserve"> </w:t>
      </w:r>
      <w:r>
        <w:t xml:space="preserve">for on-demand security analysis by any agent in the Firehorse fleet.</w:t>
      </w:r>
    </w:p>
    <w:p>
      <w:r>
        <w:pict>
          <v:rect style="width:0;height:1.5pt" o:hralign="center" o:hrstd="t" o:hr="t"/>
        </w:pict>
      </w:r>
    </w:p>
    <w:bookmarkEnd w:id="227"/>
    <w:bookmarkEnd w:id="228"/>
    <w:bookmarkStart w:id="235" w:name="X514ab14827699fe98a4a3ff155ec008c448dd87"/>
    <w:p>
      <w:pPr>
        <w:pStyle w:val="Heading2"/>
      </w:pPr>
      <w:r>
        <w:t xml:space="preserve">10.13 Climate IQ Pantheon — Greek/Roman God Multi-Agent System</w:t>
      </w:r>
    </w:p>
    <w:p>
      <w:pPr>
        <w:pStyle w:val="FirstParagraph"/>
      </w:pPr>
      <w:r>
        <w:t xml:space="preserve">Building on the DWS7 agent modernization framework (Section 10.9) and CEO Automation Agent Suite (Section 10.11), this section documents the</w:t>
      </w:r>
      <w:r>
        <w:t xml:space="preserve"> </w:t>
      </w:r>
      <w:r>
        <w:rPr>
          <w:bCs/>
          <w:b/>
        </w:rPr>
        <w:t xml:space="preserve">Climate IQ Pantheon</w:t>
      </w:r>
      <w:r>
        <w:t xml:space="preserve">: a production multi-agent system where each AI agent carries the identity and domain expertise of a Greek or Roman deity.</w:t>
      </w:r>
    </w:p>
    <w:bookmarkStart w:id="229" w:name="X4c750e880876313ef862c7f4ad4abe62b45b0b3"/>
    <w:p>
      <w:pPr>
        <w:pStyle w:val="Heading3"/>
      </w:pPr>
      <w:r>
        <w:t xml:space="preserve">Motivation: Agent Identity as Operational Design</w:t>
      </w:r>
    </w:p>
    <w:p>
      <w:pPr>
        <w:pStyle w:val="FirstParagraph"/>
      </w:pPr>
      <w:r>
        <w:t xml:space="preserve">Prior to this work, DWS IQ agents were functionally specialized (compliance, logistics, SEO) but lacked a coherent identity framework. The</w:t>
      </w:r>
      <w:r>
        <w:t xml:space="preserve"> </w:t>
      </w:r>
      <w:r>
        <w:rPr>
          <w:bCs/>
          <w:b/>
        </w:rPr>
        <w:t xml:space="preserve">SOUL.md pattern</w:t>
      </w:r>
      <w:r>
        <w:t xml:space="preserve"> </w:t>
      </w:r>
      <w:r>
        <w:t xml:space="preserve">addresses this: each agent has a Markdown identity file defining persona, behavioral rules, and tone. This SOUL is injected as the LLM system prompt at runtime, making identity persistent and testable.</w:t>
      </w:r>
    </w:p>
    <w:p>
      <w:pPr>
        <w:pStyle w:val="BodyText"/>
      </w:pPr>
      <w:r>
        <w:t xml:space="preserve">The Greek/Roman pantheon provides two complementary benefits:</w:t>
      </w:r>
    </w:p>
    <w:p>
      <w:pPr>
        <w:numPr>
          <w:ilvl w:val="0"/>
          <w:numId w:val="1075"/>
        </w:numPr>
        <w:pStyle w:val="Compact"/>
      </w:pPr>
      <w:r>
        <w:rPr>
          <w:bCs/>
          <w:b/>
        </w:rPr>
        <w:t xml:space="preserve">Memorability</w:t>
      </w:r>
      <w:r>
        <w:t xml:space="preserve"> </w:t>
      </w:r>
      <w:r>
        <w:t xml:space="preserve">— stakeholders immediately understand</w:t>
      </w:r>
      <w:r>
        <w:t xml:space="preserve"> </w:t>
      </w:r>
      <w:r>
        <w:t xml:space="preserve">“</w:t>
      </w:r>
      <w:r>
        <w:t xml:space="preserve">ask Athena</w:t>
      </w:r>
      <w:r>
        <w:t xml:space="preserve">”</w:t>
      </w:r>
      <w:r>
        <w:t xml:space="preserve"> </w:t>
      </w:r>
      <w:r>
        <w:t xml:space="preserve">vs</w:t>
      </w:r>
      <w:r>
        <w:t xml:space="preserve"> </w:t>
      </w:r>
      <w:r>
        <w:t xml:space="preserve">“</w:t>
      </w:r>
      <w:r>
        <w:t xml:space="preserve">ask Hermes</w:t>
      </w:r>
      <w:r>
        <w:t xml:space="preserve">”</w:t>
      </w:r>
    </w:p>
    <w:p>
      <w:pPr>
        <w:numPr>
          <w:ilvl w:val="0"/>
          <w:numId w:val="1075"/>
        </w:numPr>
        <w:pStyle w:val="Compact"/>
      </w:pPr>
      <w:r>
        <w:rPr>
          <w:bCs/>
          <w:b/>
        </w:rPr>
        <w:t xml:space="preserve">Behavioral precision</w:t>
      </w:r>
      <w:r>
        <w:t xml:space="preserve"> </w:t>
      </w:r>
      <w:r>
        <w:t xml:space="preserve">— mythological roles encode domain expertise (Athena = wisdom/law, Hermes = speed/routes, Hephaestus = craft/construction)</w:t>
      </w:r>
    </w:p>
    <w:bookmarkEnd w:id="229"/>
    <w:bookmarkStart w:id="230" w:name="X7765bed16a9fd2acb05ddf48e0385e54374d493"/>
    <w:p>
      <w:pPr>
        <w:pStyle w:val="Heading3"/>
      </w:pPr>
      <w:r>
        <w:t xml:space="preserve">Architecture: Six Orchestrators + Seven Industry Specialists</w:t>
      </w:r>
    </w:p>
    <w:p>
      <w:pPr>
        <w:pStyle w:val="FirstParagraph"/>
      </w:pPr>
      <w:r>
        <w:rPr>
          <w:bCs/>
          <w:b/>
        </w:rPr>
        <w:t xml:space="preserve">Tier 1 — Climate IQ Pantheon (Orchestrators)</w:t>
      </w:r>
    </w:p>
    <w:tbl>
      <w:tblPr>
        <w:tblStyle w:val="Table"/>
        <w:tblW w:type="pct" w:w="5000"/>
        <w:tblLook w:firstRow="1" w:lastRow="0" w:firstColumn="0" w:lastColumn="0" w:noHBand="0" w:noVBand="0" w:val="0020"/>
        <w:jc w:val="start"/>
      </w:tblPr>
      <w:tblGrid>
        <w:gridCol w:w="942"/>
        <w:gridCol w:w="1414"/>
        <w:gridCol w:w="1697"/>
        <w:gridCol w:w="3865"/>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Domain</w:t>
            </w:r>
          </w:p>
        </w:tc>
        <w:tc>
          <w:tcPr/>
          <w:p>
            <w:pPr>
              <w:pStyle w:val="Compact"/>
              <w:jc w:val="left"/>
            </w:pPr>
            <w:r>
              <w:t xml:space="preserve">Capabilities</w:t>
            </w:r>
          </w:p>
        </w:tc>
      </w:tr>
      <w:tr>
        <w:tc>
          <w:tcPr/>
          <w:p>
            <w:pPr>
              <w:pStyle w:val="Compact"/>
              <w:jc w:val="left"/>
            </w:pPr>
            <w:r>
              <w:t xml:space="preserve">Atlas</w:t>
            </w:r>
          </w:p>
        </w:tc>
        <w:tc>
          <w:tcPr/>
          <w:p>
            <w:pPr>
              <w:pStyle w:val="Compact"/>
              <w:jc w:val="left"/>
            </w:pPr>
            <w:r>
              <w:t xml:space="preserve">Titan (Greek)</w:t>
            </w:r>
          </w:p>
        </w:tc>
        <w:tc>
          <w:tcPr/>
          <w:p>
            <w:pPr>
              <w:pStyle w:val="Compact"/>
              <w:jc w:val="left"/>
            </w:pPr>
            <w:r>
              <w:t xml:space="preserve">Chief of Staff</w:t>
            </w:r>
          </w:p>
        </w:tc>
        <w:tc>
          <w:tcPr/>
          <w:p>
            <w:pPr>
              <w:pStyle w:val="Compact"/>
              <w:jc w:val="left"/>
            </w:pPr>
            <w:r>
              <w:t xml:space="preserve">Routing, synthesis, executive briefing</w:t>
            </w:r>
          </w:p>
        </w:tc>
      </w:tr>
      <w:tr>
        <w:tc>
          <w:tcPr/>
          <w:p>
            <w:pPr>
              <w:pStyle w:val="Compact"/>
              <w:jc w:val="left"/>
            </w:pPr>
            <w:r>
              <w:t xml:space="preserve">Athena</w:t>
            </w:r>
          </w:p>
        </w:tc>
        <w:tc>
          <w:tcPr/>
          <w:p>
            <w:pPr>
              <w:pStyle w:val="Compact"/>
              <w:jc w:val="left"/>
            </w:pPr>
            <w:r>
              <w:t xml:space="preserve">Goddess (Greek)</w:t>
            </w:r>
          </w:p>
        </w:tc>
        <w:tc>
          <w:tcPr/>
          <w:p>
            <w:pPr>
              <w:pStyle w:val="Compact"/>
              <w:jc w:val="left"/>
            </w:pPr>
            <w:r>
              <w:t xml:space="preserve">EU Compliance</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God (Greek)</w:t>
            </w:r>
          </w:p>
        </w:tc>
        <w:tc>
          <w:tcPr/>
          <w:p>
            <w:pPr>
              <w:pStyle w:val="Compact"/>
              <w:jc w:val="left"/>
            </w:pPr>
            <w:r>
              <w:t xml:space="preserve">Field &amp; Site</w:t>
            </w:r>
          </w:p>
        </w:tc>
        <w:tc>
          <w:tcPr/>
          <w:p>
            <w:pPr>
              <w:pStyle w:val="Compact"/>
              <w:jc w:val="left"/>
            </w:pPr>
            <w:r>
              <w:t xml:space="preserve">Site safety, materials, scheduling</w:t>
            </w:r>
          </w:p>
        </w:tc>
      </w:tr>
      <w:tr>
        <w:tc>
          <w:tcPr/>
          <w:p>
            <w:pPr>
              <w:pStyle w:val="Compact"/>
              <w:jc w:val="left"/>
            </w:pPr>
            <w:r>
              <w:t xml:space="preserve">Iris</w:t>
            </w:r>
          </w:p>
        </w:tc>
        <w:tc>
          <w:tcPr/>
          <w:p>
            <w:pPr>
              <w:pStyle w:val="Compact"/>
              <w:jc w:val="left"/>
            </w:pPr>
            <w:r>
              <w:t xml:space="preserve">Goddess (Greek)</w:t>
            </w:r>
          </w:p>
        </w:tc>
        <w:tc>
          <w:tcPr/>
          <w:p>
            <w:pPr>
              <w:pStyle w:val="Compact"/>
              <w:jc w:val="left"/>
            </w:pPr>
            <w:r>
              <w:t xml:space="preserve">Research &amp; Intel</w:t>
            </w:r>
          </w:p>
        </w:tc>
        <w:tc>
          <w:tcPr/>
          <w:p>
            <w:pPr>
              <w:pStyle w:val="Compact"/>
              <w:jc w:val="left"/>
            </w:pPr>
            <w:r>
              <w:t xml:space="preserve">Competitive intelligence, market research</w:t>
            </w:r>
          </w:p>
        </w:tc>
      </w:tr>
      <w:tr>
        <w:tc>
          <w:tcPr/>
          <w:p>
            <w:pPr>
              <w:pStyle w:val="Compact"/>
              <w:jc w:val="left"/>
            </w:pPr>
            <w:r>
              <w:t xml:space="preserve">Hermes</w:t>
            </w:r>
          </w:p>
        </w:tc>
        <w:tc>
          <w:tcPr/>
          <w:p>
            <w:pPr>
              <w:pStyle w:val="Compact"/>
              <w:jc w:val="left"/>
            </w:pPr>
            <w:r>
              <w:t xml:space="preserve">God (Greek)</w:t>
            </w:r>
          </w:p>
        </w:tc>
        <w:tc>
          <w:tcPr/>
          <w:p>
            <w:pPr>
              <w:pStyle w:val="Compact"/>
              <w:jc w:val="left"/>
            </w:pPr>
            <w:r>
              <w:t xml:space="preserve">Logistics &amp; Ops</w:t>
            </w:r>
          </w:p>
        </w:tc>
        <w:tc>
          <w:tcPr/>
          <w:p>
            <w:pPr>
              <w:pStyle w:val="Compact"/>
              <w:jc w:val="left"/>
            </w:pPr>
            <w:r>
              <w:t xml:space="preserve">Supply chain, critical path, quality gate</w:t>
            </w:r>
          </w:p>
        </w:tc>
      </w:tr>
      <w:tr>
        <w:tc>
          <w:tcPr/>
          <w:p>
            <w:pPr>
              <w:pStyle w:val="Compact"/>
              <w:jc w:val="left"/>
            </w:pPr>
            <w:r>
              <w:t xml:space="preserve">Apollo</w:t>
            </w:r>
          </w:p>
        </w:tc>
        <w:tc>
          <w:tcPr/>
          <w:p>
            <w:pPr>
              <w:pStyle w:val="Compact"/>
              <w:jc w:val="left"/>
            </w:pPr>
            <w:r>
              <w:t xml:space="preserve">God (Greek)</w:t>
            </w:r>
          </w:p>
        </w:tc>
        <w:tc>
          <w:tcPr/>
          <w:p>
            <w:pPr>
              <w:pStyle w:val="Compact"/>
              <w:jc w:val="left"/>
            </w:pPr>
            <w:r>
              <w:t xml:space="preserve">Content &amp; Outreach</w:t>
            </w:r>
          </w:p>
        </w:tc>
        <w:tc>
          <w:tcPr/>
          <w:p>
            <w:pPr>
              <w:pStyle w:val="Compact"/>
              <w:jc w:val="left"/>
            </w:pPr>
            <w:r>
              <w:t xml:space="preserve">SEO, content strategy, sales outreach</w:t>
            </w:r>
          </w:p>
        </w:tc>
      </w:tr>
    </w:tbl>
    <w:p>
      <w:pPr>
        <w:pStyle w:val="BodyText"/>
      </w:pPr>
      <w:r>
        <w:rPr>
          <w:bCs/>
          <w:b/>
        </w:rPr>
        <w:t xml:space="preserve">Tier 2 — Industry Specialists</w:t>
      </w:r>
    </w:p>
    <w:tbl>
      <w:tblPr>
        <w:tblStyle w:val="Table"/>
        <w:tblW w:type="pct" w:w="5000"/>
        <w:tblLook w:firstRow="1" w:lastRow="0" w:firstColumn="0" w:lastColumn="0" w:noHBand="0" w:noVBand="0" w:val="0020"/>
        <w:jc w:val="start"/>
      </w:tblPr>
      <w:tblGrid>
        <w:gridCol w:w="1115"/>
        <w:gridCol w:w="557"/>
        <w:gridCol w:w="2788"/>
        <w:gridCol w:w="3458"/>
      </w:tblGrid>
      <w:tr>
        <w:trPr>
          <w:tblHeader w:val="true"/>
        </w:trPr>
        <w:tc>
          <w:tcPr/>
          <w:p>
            <w:pPr>
              <w:pStyle w:val="Compact"/>
              <w:jc w:val="left"/>
            </w:pPr>
            <w:r>
              <w:t xml:space="preserve">Agent</w:t>
            </w:r>
          </w:p>
        </w:tc>
        <w:tc>
          <w:tcPr/>
          <w:p>
            <w:pPr>
              <w:pStyle w:val="Compact"/>
              <w:jc w:val="left"/>
            </w:pPr>
            <w:r>
              <w:t xml:space="preserve">Deity</w:t>
            </w:r>
          </w:p>
        </w:tc>
        <w:tc>
          <w:tcPr/>
          <w:p>
            <w:pPr>
              <w:pStyle w:val="Compact"/>
              <w:jc w:val="left"/>
            </w:pPr>
            <w:r>
              <w:t xml:space="preserve">Industry</w:t>
            </w:r>
          </w:p>
        </w:tc>
        <w:tc>
          <w:tcPr/>
          <w:p>
            <w:pPr>
              <w:pStyle w:val="Compact"/>
              <w:jc w:val="left"/>
            </w:pPr>
            <w:r>
              <w:t xml:space="preserve">Key Regulation</w:t>
            </w:r>
          </w:p>
        </w:tc>
      </w:tr>
      <w:tr>
        <w:tc>
          <w:tcPr/>
          <w:p>
            <w:pPr>
              <w:pStyle w:val="Compact"/>
              <w:jc w:val="left"/>
            </w:pPr>
            <w:r>
              <w:t xml:space="preserve">Vulcan</w:t>
            </w:r>
          </w:p>
        </w:tc>
        <w:tc>
          <w:tcPr/>
          <w:p>
            <w:pPr>
              <w:pStyle w:val="Compact"/>
              <w:jc w:val="left"/>
            </w:pPr>
            <w:r>
              <w:t xml:space="preserve">Roman</w:t>
            </w:r>
          </w:p>
        </w:tc>
        <w:tc>
          <w:tcPr/>
          <w:p>
            <w:pPr>
              <w:pStyle w:val="Compact"/>
              <w:jc w:val="left"/>
            </w:pPr>
            <w:r>
              <w:t xml:space="preserve">Steel &amp; Metals</w:t>
            </w:r>
          </w:p>
        </w:tc>
        <w:tc>
          <w:tcPr/>
          <w:p>
            <w:pPr>
              <w:pStyle w:val="Compact"/>
              <w:jc w:val="left"/>
            </w:pPr>
            <w:r>
              <w:t xml:space="preserve">ETS Phase 4, CBAM iron/steel</w:t>
            </w:r>
          </w:p>
        </w:tc>
      </w:tr>
      <w:tr>
        <w:tc>
          <w:tcPr/>
          <w:p>
            <w:pPr>
              <w:pStyle w:val="Compact"/>
              <w:jc w:val="left"/>
            </w:pPr>
            <w:r>
              <w:t xml:space="preserve">Helios</w:t>
            </w:r>
          </w:p>
        </w:tc>
        <w:tc>
          <w:tcPr/>
          <w:p>
            <w:pPr>
              <w:pStyle w:val="Compact"/>
              <w:jc w:val="left"/>
            </w:pPr>
            <w:r>
              <w:t xml:space="preserve">Greek</w:t>
            </w:r>
          </w:p>
        </w:tc>
        <w:tc>
          <w:tcPr/>
          <w:p>
            <w:pPr>
              <w:pStyle w:val="Compact"/>
              <w:jc w:val="left"/>
            </w:pPr>
            <w:r>
              <w:t xml:space="preserve">Energy &amp; Renewables</w:t>
            </w:r>
          </w:p>
        </w:tc>
        <w:tc>
          <w:tcPr/>
          <w:p>
            <w:pPr>
              <w:pStyle w:val="Compact"/>
              <w:jc w:val="left"/>
            </w:pPr>
            <w:r>
              <w:t xml:space="preserve">RED III, 42.5% target by 2030</w:t>
            </w:r>
          </w:p>
        </w:tc>
      </w:tr>
      <w:tr>
        <w:tc>
          <w:tcPr/>
          <w:p>
            <w:pPr>
              <w:pStyle w:val="Compact"/>
              <w:jc w:val="left"/>
            </w:pPr>
            <w:r>
              <w:t xml:space="preserve">Neptune</w:t>
            </w:r>
          </w:p>
        </w:tc>
        <w:tc>
          <w:tcPr/>
          <w:p>
            <w:pPr>
              <w:pStyle w:val="Compact"/>
              <w:jc w:val="left"/>
            </w:pPr>
            <w:r>
              <w:t xml:space="preserve">Roman</w:t>
            </w:r>
          </w:p>
        </w:tc>
        <w:tc>
          <w:tcPr/>
          <w:p>
            <w:pPr>
              <w:pStyle w:val="Compact"/>
              <w:jc w:val="left"/>
            </w:pPr>
            <w:r>
              <w:t xml:space="preserve">Maritime &amp; Shipping</w:t>
            </w:r>
          </w:p>
        </w:tc>
        <w:tc>
          <w:tcPr/>
          <w:p>
            <w:pPr>
              <w:pStyle w:val="Compact"/>
              <w:jc w:val="left"/>
            </w:pPr>
            <w:r>
              <w:t xml:space="preserve">FuelEU Maritime, ETS 40/70/100%</w:t>
            </w:r>
          </w:p>
        </w:tc>
      </w:tr>
      <w:tr>
        <w:tc>
          <w:tcPr/>
          <w:p>
            <w:pPr>
              <w:pStyle w:val="Compact"/>
              <w:jc w:val="left"/>
            </w:pPr>
            <w:r>
              <w:t xml:space="preserve">Ceres</w:t>
            </w:r>
          </w:p>
        </w:tc>
        <w:tc>
          <w:tcPr/>
          <w:p>
            <w:pPr>
              <w:pStyle w:val="Compact"/>
              <w:jc w:val="left"/>
            </w:pPr>
            <w:r>
              <w:t xml:space="preserve">Roman</w:t>
            </w:r>
          </w:p>
        </w:tc>
        <w:tc>
          <w:tcPr/>
          <w:p>
            <w:pPr>
              <w:pStyle w:val="Compact"/>
              <w:jc w:val="left"/>
            </w:pPr>
            <w:r>
              <w:t xml:space="preserve">Agriculture &amp; Fertilizers</w:t>
            </w:r>
          </w:p>
        </w:tc>
        <w:tc>
          <w:tcPr/>
          <w:p>
            <w:pPr>
              <w:pStyle w:val="Compact"/>
              <w:jc w:val="left"/>
            </w:pPr>
            <w:r>
              <w:t xml:space="preserve">CBAM fertilizers, N2O emissions</w:t>
            </w:r>
          </w:p>
        </w:tc>
      </w:tr>
      <w:tr>
        <w:tc>
          <w:tcPr/>
          <w:p>
            <w:pPr>
              <w:pStyle w:val="Compact"/>
              <w:jc w:val="left"/>
            </w:pPr>
            <w:r>
              <w:t xml:space="preserve">Prometheus</w:t>
            </w:r>
          </w:p>
        </w:tc>
        <w:tc>
          <w:tcPr/>
          <w:p>
            <w:pPr>
              <w:pStyle w:val="Compact"/>
              <w:jc w:val="left"/>
            </w:pPr>
            <w:r>
              <w:t xml:space="preserve">Greek</w:t>
            </w:r>
          </w:p>
        </w:tc>
        <w:tc>
          <w:tcPr/>
          <w:p>
            <w:pPr>
              <w:pStyle w:val="Compact"/>
              <w:jc w:val="left"/>
            </w:pPr>
            <w:r>
              <w:t xml:space="preserve">Hydrogen</w:t>
            </w:r>
          </w:p>
        </w:tc>
        <w:tc>
          <w:tcPr/>
          <w:p>
            <w:pPr>
              <w:pStyle w:val="Compact"/>
              <w:jc w:val="left"/>
            </w:pPr>
            <w:r>
              <w:t xml:space="preserve">RFNBO additionality, RED III</w:t>
            </w:r>
          </w:p>
        </w:tc>
      </w:tr>
      <w:tr>
        <w:tc>
          <w:tcPr/>
          <w:p>
            <w:pPr>
              <w:pStyle w:val="Compact"/>
              <w:jc w:val="left"/>
            </w:pPr>
            <w:r>
              <w:t xml:space="preserve">Mars</w:t>
            </w:r>
          </w:p>
        </w:tc>
        <w:tc>
          <w:tcPr/>
          <w:p>
            <w:pPr>
              <w:pStyle w:val="Compact"/>
              <w:jc w:val="left"/>
            </w:pPr>
            <w:r>
              <w:t xml:space="preserve">Roman</w:t>
            </w:r>
          </w:p>
        </w:tc>
        <w:tc>
          <w:tcPr/>
          <w:p>
            <w:pPr>
              <w:pStyle w:val="Compact"/>
              <w:jc w:val="left"/>
            </w:pPr>
            <w:r>
              <w:t xml:space="preserve">Construction &amp; Buildings</w:t>
            </w:r>
          </w:p>
        </w:tc>
        <w:tc>
          <w:tcPr/>
          <w:p>
            <w:pPr>
              <w:pStyle w:val="Compact"/>
              <w:jc w:val="left"/>
            </w:pPr>
            <w:r>
              <w:t xml:space="preserve">EPBD recast, EN 15978</w:t>
            </w:r>
          </w:p>
        </w:tc>
      </w:tr>
      <w:tr>
        <w:tc>
          <w:tcPr/>
          <w:p>
            <w:pPr>
              <w:pStyle w:val="Compact"/>
              <w:jc w:val="left"/>
            </w:pPr>
            <w:r>
              <w:t xml:space="preserve">Gaia</w:t>
            </w:r>
          </w:p>
        </w:tc>
        <w:tc>
          <w:tcPr/>
          <w:p>
            <w:pPr>
              <w:pStyle w:val="Compact"/>
              <w:jc w:val="left"/>
            </w:pPr>
            <w:r>
              <w:t xml:space="preserve">Greek</w:t>
            </w:r>
          </w:p>
        </w:tc>
        <w:tc>
          <w:tcPr/>
          <w:p>
            <w:pPr>
              <w:pStyle w:val="Compact"/>
              <w:jc w:val="left"/>
            </w:pPr>
            <w:r>
              <w:t xml:space="preserve">Cement &amp; Earth Materials</w:t>
            </w:r>
          </w:p>
        </w:tc>
        <w:tc>
          <w:tcPr/>
          <w:p>
            <w:pPr>
              <w:pStyle w:val="Compact"/>
              <w:jc w:val="left"/>
            </w:pPr>
            <w:r>
              <w:t xml:space="preserve">CBAM clinker benchmark, ETS</w:t>
            </w:r>
          </w:p>
        </w:tc>
      </w:tr>
    </w:tbl>
    <w:bookmarkEnd w:id="230"/>
    <w:bookmarkStart w:id="231" w:name="X5d51ac56578142084380cb61d7cd2dfbb022314"/>
    <w:p>
      <w:pPr>
        <w:pStyle w:val="Heading3"/>
      </w:pPr>
      <w:r>
        <w:t xml:space="preserve">Implementation: SOUL.md + BaseAgent Architecture</w:t>
      </w:r>
    </w:p>
    <w:p>
      <w:pPr>
        <w:pStyle w:val="FirstParagraph"/>
      </w:pPr>
      <w:r>
        <w:t xml:space="preserve">Each Pantheon agent follows the file structure established in Section 10.9:</w:t>
      </w:r>
    </w:p>
    <w:p>
      <w:pPr>
        <w:pStyle w:val="SourceCode"/>
      </w:pPr>
      <w:r>
        <w:rPr>
          <w:rStyle w:val="VerbatimChar"/>
        </w:rPr>
        <w:t xml:space="preserve">src/agents/workflow/{agent}/</w:t>
      </w:r>
      <w:r>
        <w:br/>
      </w:r>
      <w:r>
        <w:rPr>
          <w:rStyle w:val="VerbatimChar"/>
        </w:rPr>
        <w:t xml:space="preserve">├── SOUL.md          # Identity: persona, tone, behavioral rules</w:t>
      </w:r>
      <w:r>
        <w:br/>
      </w:r>
      <w:r>
        <w:rPr>
          <w:rStyle w:val="VerbatimChar"/>
        </w:rPr>
        <w:t xml:space="preserve">└── {agent}.agent.ts # TypeScript: execute(), callLLM(), logExecution()</w:t>
      </w:r>
    </w:p>
    <w:p>
      <w:pPr>
        <w:pStyle w:val="FirstParagraph"/>
      </w:pPr>
      <w:r>
        <w:t xml:space="preserve">A critical audit finding (resolved this session) was that SOUL constants were defined but never wired into the LLM system prompt. The fix adds</w:t>
      </w:r>
      <w:r>
        <w:t xml:space="preserve"> </w:t>
      </w:r>
      <w:r>
        <w:rPr>
          <w:rStyle w:val="VerbatimChar"/>
        </w:rPr>
        <w:t xml:space="preserve">soulPrompt</w:t>
      </w:r>
      <w:r>
        <w:t xml:space="preserve"> </w:t>
      </w:r>
      <w:r>
        <w:t xml:space="preserve">property and</w:t>
      </w:r>
      <w:r>
        <w:t xml:space="preserve"> </w:t>
      </w:r>
      <w:r>
        <w:rPr>
          <w:rStyle w:val="VerbatimChar"/>
        </w:rPr>
        <w:t xml:space="preserve">systemPromptOverride</w:t>
      </w:r>
      <w:r>
        <w:t xml:space="preserve"> </w:t>
      </w:r>
      <w:r>
        <w:t xml:space="preserve">parameter to</w:t>
      </w:r>
      <w:r>
        <w:t xml:space="preserve"> </w:t>
      </w:r>
      <w:r>
        <w:rPr>
          <w:rStyle w:val="VerbatimChar"/>
        </w:rPr>
        <w:t xml:space="preserve">BaseAgent.callLLM()</w:t>
      </w:r>
      <w:r>
        <w:t xml:space="preserve">:</w:t>
      </w:r>
    </w:p>
    <w:p>
      <w:pPr>
        <w:pStyle w:val="SourceCode"/>
      </w:pPr>
      <w:r>
        <w:rPr>
          <w:rStyle w:val="CommentTok"/>
        </w:rPr>
        <w:t xml:space="preserve">// Priority: explicit override &gt; soulPrompt &gt; generic fallback</w:t>
      </w:r>
      <w:r>
        <w:br/>
      </w:r>
      <w:r>
        <w:rPr>
          <w:rStyle w:val="KeywordTok"/>
        </w:rPr>
        <w:t xml:space="preserve">const</w:t>
      </w:r>
      <w:r>
        <w:rPr>
          <w:rStyle w:val="NormalTok"/>
        </w:rPr>
        <w:t xml:space="preserve"> systemContent </w:t>
      </w:r>
      <w:r>
        <w:rPr>
          <w:rStyle w:val="OperatorTok"/>
        </w:rPr>
        <w:t xml:space="preserve">=</w:t>
      </w:r>
      <w:r>
        <w:rPr>
          <w:rStyle w:val="NormalTok"/>
        </w:rPr>
        <w:t xml:space="preserve"> systemPromptOverride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soulPrompt</w:t>
      </w:r>
      <w:r>
        <w:rPr>
          <w:rStyle w:val="NormalTok"/>
        </w:rPr>
        <w:t xml:space="preserve"> </w:t>
      </w:r>
      <w:r>
        <w:rPr>
          <w:rStyle w:val="OperatorTok"/>
        </w:rPr>
        <w:t xml:space="preserve">??</w:t>
      </w:r>
      <w:r>
        <w:rPr>
          <w:rStyle w:val="NormalTok"/>
        </w:rPr>
        <w:t xml:space="preserve"> genericFallback</w:t>
      </w:r>
      <w:r>
        <w:rPr>
          <w:rStyle w:val="OperatorTok"/>
        </w:rPr>
        <w:t xml:space="preserve">;</w:t>
      </w:r>
    </w:p>
    <w:bookmarkEnd w:id="231"/>
    <w:bookmarkStart w:id="232" w:name="security-prompt-injection-fix"/>
    <w:p>
      <w:pPr>
        <w:pStyle w:val="Heading3"/>
      </w:pPr>
      <w:r>
        <w:t xml:space="preserve">Security: Prompt Injection Fix</w:t>
      </w:r>
    </w:p>
    <w:p>
      <w:pPr>
        <w:pStyle w:val="FirstParagraph"/>
      </w:pPr>
      <w:r>
        <w:rPr>
          <w:rStyle w:val="VerbatimChar"/>
        </w:rPr>
        <w:t xml:space="preserve">HermesAgent</w:t>
      </w:r>
      <w:r>
        <w:t xml:space="preserve"> </w:t>
      </w:r>
      <w:r>
        <w:t xml:space="preserve">was found forwarding arbitrary caller keys via</w:t>
      </w:r>
      <w:r>
        <w:t xml:space="preserve"> </w:t>
      </w:r>
      <w:r>
        <w:rPr>
          <w:rStyle w:val="VerbatimChar"/>
        </w:rPr>
        <w:t xml:space="preserve">...input</w:t>
      </w:r>
      <w:r>
        <w:t xml:space="preserve"> </w:t>
      </w:r>
      <w:r>
        <w:t xml:space="preserve">spread to sub-agents — a prompt injection vector. All spreads were replaced with explicit field extraction (typed guards per field), aligning with the input validation security principle from the 2026-02-21 vulnerability assessment.</w:t>
      </w:r>
    </w:p>
    <w:bookmarkEnd w:id="232"/>
    <w:bookmarkStart w:id="233" w:name="eu-ai-act-article-12-compliance"/>
    <w:p>
      <w:pPr>
        <w:pStyle w:val="Heading3"/>
      </w:pPr>
      <w:r>
        <w:t xml:space="preserve">EU AI Act Article 12 Compliance</w:t>
      </w:r>
    </w:p>
    <w:p>
      <w:pPr>
        <w:pStyle w:val="FirstParagraph"/>
      </w:pPr>
      <w:r>
        <w:t xml:space="preserve">All 13 agents call</w:t>
      </w:r>
      <w:r>
        <w:t xml:space="preserve"> </w:t>
      </w:r>
      <w:r>
        <w:rPr>
          <w:rStyle w:val="VerbatimChar"/>
        </w:rPr>
        <w:t xml:space="preserve">logExecution()</w:t>
      </w:r>
      <w:r>
        <w:t xml:space="preserve"> </w:t>
      </w:r>
      <w:r>
        <w:t xml:space="preserve">at start and completion, writing to the</w:t>
      </w:r>
      <w:r>
        <w:t xml:space="preserve"> </w:t>
      </w:r>
      <w:r>
        <w:rPr>
          <w:rStyle w:val="VerbatimChar"/>
        </w:rPr>
        <w:t xml:space="preserve">agent_executions</w:t>
      </w:r>
      <w:r>
        <w:t xml:space="preserve"> </w:t>
      </w:r>
      <w:r>
        <w:t xml:space="preserve">Supabase table. This satisfies Article 12 automatic logging requirements for High-Risk AI systems, with traceability metadata: agent name, session ID, org ID, user ID, confidence, duration, and LLM token counts.</w:t>
      </w:r>
    </w:p>
    <w:bookmarkEnd w:id="233"/>
    <w:bookmarkStart w:id="234" w:name="business-value-the-marketing-wedge"/>
    <w:p>
      <w:pPr>
        <w:pStyle w:val="Heading3"/>
      </w:pPr>
      <w:r>
        <w:t xml:space="preserve">Business Value: The Marketing Wedge</w:t>
      </w:r>
    </w:p>
    <w:p>
      <w:pPr>
        <w:pStyle w:val="FirstParagraph"/>
      </w:pPr>
      <w:r>
        <w:t xml:space="preserve">The Pantheon naming strategy doubles as a marketing wedge. Each agent carries a humorous one-liner making enterprise AI approachable:</w:t>
      </w:r>
    </w:p>
    <w:p>
      <w:pPr>
        <w:numPr>
          <w:ilvl w:val="0"/>
          <w:numId w:val="1076"/>
        </w:numPr>
        <w:pStyle w:val="Compact"/>
      </w:pPr>
      <w:r>
        <w:rPr>
          <w:bCs/>
          <w:b/>
        </w:rPr>
        <w:t xml:space="preserve">Athena:</w:t>
      </w:r>
      <w:r>
        <w:t xml:space="preserve"> </w:t>
      </w:r>
      <w:r>
        <w:t xml:space="preserve">“</w:t>
      </w:r>
      <w:r>
        <w:t xml:space="preserve">Has memorized every EU regulation since 2005. Corrects lawyers. Unprompted.</w:t>
      </w:r>
      <w:r>
        <w:t xml:space="preserve">”</w:t>
      </w:r>
    </w:p>
    <w:p>
      <w:pPr>
        <w:numPr>
          <w:ilvl w:val="0"/>
          <w:numId w:val="1076"/>
        </w:numPr>
        <w:pStyle w:val="Compact"/>
      </w:pPr>
      <w:r>
        <w:rPr>
          <w:bCs/>
          <w:b/>
        </w:rPr>
        <w:t xml:space="preserve">Hermes:</w:t>
      </w:r>
      <w:r>
        <w:t xml:space="preserve"> </w:t>
      </w:r>
      <w:r>
        <w:t xml:space="preserve">“</w:t>
      </w:r>
      <w:r>
        <w:t xml:space="preserve">Optimizes your supply chain while you’re still figuring out where the warehouse is.</w:t>
      </w:r>
      <w:r>
        <w:t xml:space="preserve">”</w:t>
      </w:r>
    </w:p>
    <w:p>
      <w:pPr>
        <w:numPr>
          <w:ilvl w:val="0"/>
          <w:numId w:val="1076"/>
        </w:numPr>
        <w:pStyle w:val="Compact"/>
      </w:pPr>
      <w:r>
        <w:rPr>
          <w:bCs/>
          <w:b/>
        </w:rPr>
        <w:t xml:space="preserve">Apollo:</w:t>
      </w:r>
      <w:r>
        <w:t xml:space="preserve"> </w:t>
      </w:r>
      <w:r>
        <w:t xml:space="preserve">“</w:t>
      </w:r>
      <w:r>
        <w:t xml:space="preserve">Writes your sales copy, ranks it on Google, and sends the follow-up email. Probably already did it.</w:t>
      </w:r>
      <w:r>
        <w:t xml:space="preserve">”</w:t>
      </w:r>
    </w:p>
    <w:p>
      <w:pPr>
        <w:numPr>
          <w:ilvl w:val="0"/>
          <w:numId w:val="1076"/>
        </w:numPr>
        <w:pStyle w:val="Compact"/>
      </w:pPr>
      <w:r>
        <w:rPr>
          <w:bCs/>
          <w:b/>
        </w:rPr>
        <w:t xml:space="preserve">Vulcan:</w:t>
      </w:r>
      <w:r>
        <w:t xml:space="preserve"> </w:t>
      </w:r>
      <w:r>
        <w:t xml:space="preserve">“</w:t>
      </w:r>
      <w:r>
        <w:t xml:space="preserve">Turns ETS carbon prices into competitive strategy. Red-hot accuracy.</w:t>
      </w:r>
      <w:r>
        <w:t xml:space="preserve">”</w:t>
      </w:r>
    </w:p>
    <w:p>
      <w:pPr>
        <w:pStyle w:val="FirstParagraph"/>
      </w:pPr>
      <w:r>
        <w:t xml:space="preserve">These personas appear at onelifetime.world/team alongside human staff, reinforcing the product thesis: humans and AI agents work side by side. One of them never sleeps.</w:t>
      </w:r>
    </w:p>
    <w:bookmarkEnd w:id="234"/>
    <w:bookmarkEnd w:id="235"/>
    <w:bookmarkStart w:id="242" w:name="Xe3d903b88289159370153659501fd21cf674755"/>
    <w:p>
      <w:pPr>
        <w:pStyle w:val="Heading2"/>
      </w:pPr>
      <w:r>
        <w:t xml:space="preserve">10.14 Agent System Hardening — Production Reliability</w:t>
      </w:r>
    </w:p>
    <w:bookmarkStart w:id="236" w:name="motivation-1"/>
    <w:p>
      <w:pPr>
        <w:pStyle w:val="Heading3"/>
      </w:pPr>
      <w:r>
        <w:t xml:space="preserve">10.14.1 Motivation</w:t>
      </w:r>
    </w:p>
    <w:p>
      <w:pPr>
        <w:pStyle w:val="FirstParagraph"/>
      </w:pPr>
      <w:r>
        <w:t xml:space="preserve">The 31-agent system (13 core + 5 SEO + 13 workflow/industry) had accumulated 6 TypeScript compilation errors and 3 test failures that blocked production builds. These were not design flaws but integration debt: type mismatches across module boundaries, missing route wiring, uninstalled dependencies, and locale-dependent formatting. This section documents the systematic hardening that restored zero-error compilation and full test coverage.</w:t>
      </w:r>
    </w:p>
    <w:bookmarkEnd w:id="236"/>
    <w:bookmarkStart w:id="237" w:name="type-system-alignment-sandboxcontext"/>
    <w:p>
      <w:pPr>
        <w:pStyle w:val="Heading3"/>
      </w:pPr>
      <w:r>
        <w:t xml:space="preserve">10.14.2 Type System Alignment: SandboxContext</w:t>
      </w:r>
    </w:p>
    <w:p>
      <w:pPr>
        <w:pStyle w:val="FirstParagraph"/>
      </w:pPr>
      <w:r>
        <w:t xml:space="preserve">The</w:t>
      </w:r>
      <w:r>
        <w:t xml:space="preserve"> </w:t>
      </w:r>
      <w:r>
        <w:rPr>
          <w:rStyle w:val="VerbatimChar"/>
        </w:rPr>
        <w:t xml:space="preserve">SandboxStage</w:t>
      </w:r>
      <w:r>
        <w:t xml:space="preserve"> </w:t>
      </w:r>
      <w:r>
        <w:t xml:space="preserve">type in</w:t>
      </w:r>
      <w:r>
        <w:t xml:space="preserve"> </w:t>
      </w:r>
      <w:r>
        <w:rPr>
          <w:rStyle w:val="VerbatimChar"/>
        </w:rPr>
        <w:t xml:space="preserve">src/sandbox/index.ts</w:t>
      </w:r>
      <w:r>
        <w:t xml:space="preserve"> </w:t>
      </w:r>
      <w:r>
        <w:t xml:space="preserve">defined four stages:</w:t>
      </w:r>
      <w:r>
        <w:t xml:space="preserve"> </w:t>
      </w:r>
      <w:r>
        <w:rPr>
          <w:rStyle w:val="VerbatimChar"/>
        </w:rPr>
        <w:t xml:space="preserve">'1' | 'opensandbox' | '2' | '3'</w:t>
      </w:r>
      <w:r>
        <w:t xml:space="preserve">, where</w:t>
      </w:r>
      <w:r>
        <w:t xml:space="preserve"> </w:t>
      </w:r>
      <w:r>
        <w:rPr>
          <w:rStyle w:val="VerbatimChar"/>
        </w:rPr>
        <w:t xml:space="preserve">'opensandbox'</w:t>
      </w:r>
      <w:r>
        <w:t xml:space="preserve"> </w:t>
      </w:r>
      <w:r>
        <w:t xml:space="preserve">represents the Stage 1.5 Docker-based isolation on Acer Veriton GN100 hardware (Section 10.10). However,</w:t>
      </w:r>
      <w:r>
        <w:t xml:space="preserve"> </w:t>
      </w:r>
      <w:r>
        <w:rPr>
          <w:rStyle w:val="VerbatimChar"/>
        </w:rPr>
        <w:t xml:space="preserve">SandboxContext.stage</w:t>
      </w:r>
      <w:r>
        <w:t xml:space="preserve"> </w:t>
      </w:r>
      <w:r>
        <w:t xml:space="preserve">in</w:t>
      </w:r>
      <w:r>
        <w:t xml:space="preserve"> </w:t>
      </w:r>
      <w:r>
        <w:rPr>
          <w:rStyle w:val="VerbatimChar"/>
        </w:rPr>
        <w:t xml:space="preserve">src/agents/types.ts</w:t>
      </w:r>
      <w:r>
        <w:t xml:space="preserve"> </w:t>
      </w:r>
      <w:r>
        <w:t xml:space="preserve">only accepted</w:t>
      </w:r>
      <w:r>
        <w:t xml:space="preserve"> </w:t>
      </w:r>
      <w:r>
        <w:rPr>
          <w:rStyle w:val="VerbatimChar"/>
        </w:rPr>
        <w:t xml:space="preserve">'1' | '2' | '3'</w:t>
      </w:r>
      <w:r>
        <w:t xml:space="preserve">, creating a compile-time error when</w:t>
      </w:r>
      <w:r>
        <w:t xml:space="preserve"> </w:t>
      </w:r>
      <w:r>
        <w:rPr>
          <w:rStyle w:val="VerbatimChar"/>
        </w:rPr>
        <w:t xml:space="preserve">BaseAgent</w:t>
      </w:r>
      <w:r>
        <w:t xml:space="preserve"> </w:t>
      </w:r>
      <w:r>
        <w:t xml:space="preserve">attempted to assign the sandbox stage. The fix aligned both types, ensuring agents can execute in all four isolation stages.</w:t>
      </w:r>
    </w:p>
    <w:bookmarkEnd w:id="237"/>
    <w:bookmarkStart w:id="238" w:name="route-wiring-mcp-and-human-in-the-loop"/>
    <w:p>
      <w:pPr>
        <w:pStyle w:val="Heading3"/>
      </w:pPr>
      <w:r>
        <w:t xml:space="preserve">10.14.3 Route Wiring: MCP and Human-in-the-Loop</w:t>
      </w:r>
    </w:p>
    <w:p>
      <w:pPr>
        <w:pStyle w:val="FirstParagraph"/>
      </w:pPr>
      <w:r>
        <w:t xml:space="preserve">Two critical routes were unreachable due to missing imports in</w:t>
      </w:r>
      <w:r>
        <w:t xml:space="preserve"> </w:t>
      </w:r>
      <w:r>
        <w:rPr>
          <w:rStyle w:val="VerbatimChar"/>
        </w:rPr>
        <w:t xml:space="preserve">src/app.ts</w:t>
      </w:r>
      <w:r>
        <w:t xml:space="preserve">:</w:t>
      </w:r>
    </w:p>
    <w:p>
      <w:pPr>
        <w:numPr>
          <w:ilvl w:val="0"/>
          <w:numId w:val="1077"/>
        </w:numPr>
      </w:pPr>
      <w:r>
        <w:rPr>
          <w:bCs/>
          <w:b/>
        </w:rPr>
        <w:t xml:space="preserve">MCP Agent Server</w:t>
      </w:r>
      <w:r>
        <w:t xml:space="preserve"> </w:t>
      </w:r>
      <w:r>
        <w:t xml:space="preserve">(</w:t>
      </w:r>
      <w:r>
        <w:rPr>
          <w:rStyle w:val="VerbatimChar"/>
        </w:rPr>
        <w:t xml:space="preserve">/mcp</w:t>
      </w:r>
      <w:r>
        <w:t xml:space="preserve">) — The</w:t>
      </w:r>
      <w:r>
        <w:t xml:space="preserve"> </w:t>
      </w:r>
      <w:r>
        <w:rPr>
          <w:rStyle w:val="VerbatimChar"/>
        </w:rPr>
        <w:t xml:space="preserve">createMCPRouter()</w:t>
      </w:r>
      <w:r>
        <w:t xml:space="preserve"> </w:t>
      </w:r>
      <w:r>
        <w:t xml:space="preserve">function from</w:t>
      </w:r>
      <w:r>
        <w:t xml:space="preserve"> </w:t>
      </w:r>
      <w:r>
        <w:rPr>
          <w:rStyle w:val="VerbatimChar"/>
        </w:rPr>
        <w:t xml:space="preserve">src/mcp/agent-server.ts</w:t>
      </w:r>
      <w:r>
        <w:t xml:space="preserve"> </w:t>
      </w:r>
      <w:r>
        <w:t xml:space="preserve">exposes all agents as MCP tools via JSON-RPC 2.0. Without this import, external MCP clients (Claude Desktop, other AI agents) could not discover or invoke DWS agents.</w:t>
      </w:r>
    </w:p>
    <w:p>
      <w:pPr>
        <w:numPr>
          <w:ilvl w:val="0"/>
          <w:numId w:val="1077"/>
        </w:numPr>
      </w:pPr>
      <w:r>
        <w:rPr>
          <w:bCs/>
          <w:b/>
        </w:rPr>
        <w:t xml:space="preserve">Human-in-the-Loop</w:t>
      </w:r>
      <w:r>
        <w:t xml:space="preserve"> </w:t>
      </w:r>
      <w:r>
        <w:t xml:space="preserve">(</w:t>
      </w:r>
      <w:r>
        <w:rPr>
          <w:rStyle w:val="VerbatimChar"/>
        </w:rPr>
        <w:t xml:space="preserve">/api/hil</w:t>
      </w:r>
      <w:r>
        <w:t xml:space="preserve">) — The HIL endpoint enables one-click task completion from morning briefing emails. Without this route, the Captain Pre-Briefing Agent’s</w:t>
      </w:r>
      <w:r>
        <w:t xml:space="preserve"> </w:t>
      </w:r>
      <w:r>
        <w:t xml:space="preserve">“</w:t>
      </w:r>
      <w:r>
        <w:t xml:space="preserve">Done</w:t>
      </w:r>
      <w:r>
        <w:t xml:space="preserve">”</w:t>
      </w:r>
      <w:r>
        <w:t xml:space="preserve"> </w:t>
      </w:r>
      <w:r>
        <w:t xml:space="preserve">buttons returned 404 errors.</w:t>
      </w:r>
    </w:p>
    <w:bookmarkEnd w:id="238"/>
    <w:bookmarkStart w:id="239" w:name="locale-deterministic-number-formatting"/>
    <w:p>
      <w:pPr>
        <w:pStyle w:val="Heading3"/>
      </w:pPr>
      <w:r>
        <w:t xml:space="preserve">10.14.4 Locale-Deterministic Number Formatting</w:t>
      </w:r>
    </w:p>
    <w:p>
      <w:pPr>
        <w:pStyle w:val="FirstParagraph"/>
      </w:pPr>
      <w:r>
        <w:t xml:space="preserve">The Emissions Data Analyst agent formats ETS cost estimates using</w:t>
      </w:r>
      <w:r>
        <w:t xml:space="preserve"> </w:t>
      </w:r>
      <w:r>
        <w:rPr>
          <w:rStyle w:val="VerbatimChar"/>
        </w:rPr>
        <w:t xml:space="preserve">Number.toLocaleString()</w:t>
      </w:r>
      <w:r>
        <w:t xml:space="preserve">. On EU-locale machines (Finland, Germany), this produces space-separated numbers (e.g.,</w:t>
      </w:r>
      <w:r>
        <w:t xml:space="preserve"> </w:t>
      </w:r>
      <w:r>
        <w:rPr>
          <w:rStyle w:val="VerbatimChar"/>
        </w:rPr>
        <w:t xml:space="preserve">2 040 000</w:t>
      </w:r>
      <w:r>
        <w:t xml:space="preserve">), while tests expected US comma-separated format (</w:t>
      </w:r>
      <w:r>
        <w:rPr>
          <w:rStyle w:val="VerbatimChar"/>
        </w:rPr>
        <w:t xml:space="preserve">2,040,000</w:t>
      </w:r>
      <w:r>
        <w:t xml:space="preserve">). The fix specifies</w:t>
      </w:r>
      <w:r>
        <w:t xml:space="preserve"> </w:t>
      </w:r>
      <w:r>
        <w:rPr>
          <w:rStyle w:val="VerbatimChar"/>
        </w:rPr>
        <w:t xml:space="preserve">'en-US'</w:t>
      </w:r>
      <w:r>
        <w:t xml:space="preserve"> </w:t>
      </w:r>
      <w:r>
        <w:t xml:space="preserve">locale explicitly, ensuring deterministic output regardless of deployment environment. This is critical for EU-hosted Cloud Run instances where system locale defaults to European conventions.</w:t>
      </w:r>
    </w:p>
    <w:bookmarkEnd w:id="239"/>
    <w:bookmarkStart w:id="240" w:name="dependency-hygiene"/>
    <w:p>
      <w:pPr>
        <w:pStyle w:val="Heading3"/>
      </w:pPr>
      <w:r>
        <w:t xml:space="preserve">10.14.5 Dependency Hygiene</w:t>
      </w:r>
    </w:p>
    <w:p>
      <w:pPr>
        <w:pStyle w:val="FirstParagraph"/>
      </w:pPr>
      <w:r>
        <w:t xml:space="preserve">The</w:t>
      </w:r>
      <w:r>
        <w:t xml:space="preserve"> </w:t>
      </w:r>
      <w:r>
        <w:rPr>
          <w:rStyle w:val="VerbatimChar"/>
        </w:rPr>
        <w:t xml:space="preserve">luxon</w:t>
      </w:r>
      <w:r>
        <w:t xml:space="preserve"> </w:t>
      </w:r>
      <w:r>
        <w:t xml:space="preserve">library (timezone-aware date handling for Helsinki business hours) was imported in the Social Scheduler but never added to</w:t>
      </w:r>
      <w:r>
        <w:t xml:space="preserve"> </w:t>
      </w:r>
      <w:r>
        <w:rPr>
          <w:rStyle w:val="VerbatimChar"/>
        </w:rPr>
        <w:t xml:space="preserve">package.json</w:t>
      </w:r>
      <w:r>
        <w:t xml:space="preserve">. The Resend email SDK’s batch response type was a union (</w:t>
      </w:r>
      <w:r>
        <w:rPr>
          <w:rStyle w:val="VerbatimChar"/>
        </w:rPr>
        <w:t xml:space="preserve">undefined[] | CreateBatchSuccessResponse</w:t>
      </w:r>
      <w:r>
        <w:t xml:space="preserve">) that required runtime array detection before calling</w:t>
      </w:r>
      <w:r>
        <w:t xml:space="preserve"> </w:t>
      </w:r>
      <w:r>
        <w:rPr>
          <w:rStyle w:val="VerbatimChar"/>
        </w:rPr>
        <w:t xml:space="preserve">.map()</w:t>
      </w:r>
      <w:r>
        <w:t xml:space="preserve">.</w:t>
      </w:r>
    </w:p>
    <w:bookmarkEnd w:id="240"/>
    <w:bookmarkStart w:id="241" w:name="research-contribution-5"/>
    <w:p>
      <w:pPr>
        <w:pStyle w:val="Heading3"/>
      </w:pPr>
      <w:r>
        <w:t xml:space="preserve">10.14.6 Research Contribution</w:t>
      </w:r>
    </w:p>
    <w:p>
      <w:pPr>
        <w:pStyle w:val="FirstParagraph"/>
      </w:pPr>
      <w:r>
        <w:t xml:space="preserve">This hardening session demonstrates a pattern relevant to multi-agent system maintenance:</w:t>
      </w:r>
      <w:r>
        <w:t xml:space="preserve"> </w:t>
      </w:r>
      <w:r>
        <w:rPr>
          <w:bCs/>
          <w:b/>
        </w:rPr>
        <w:t xml:space="preserve">integration debt accumulates at module boundaries, not within modules</w:t>
      </w:r>
      <w:r>
        <w:t xml:space="preserve">. Each individual agent was correctly implemented, but the connections between agents, sandbox, routes, and tests had drifted. The fix touched 6 files across 5 subsystems in a single commit, restoring:</w:t>
      </w:r>
    </w:p>
    <w:p>
      <w:pPr>
        <w:numPr>
          <w:ilvl w:val="0"/>
          <w:numId w:val="1078"/>
        </w:numPr>
        <w:pStyle w:val="Compact"/>
      </w:pPr>
      <w:r>
        <w:rPr>
          <w:bCs/>
          <w:b/>
        </w:rPr>
        <w:t xml:space="preserve">0 TypeScript errors</w:t>
      </w:r>
      <w:r>
        <w:t xml:space="preserve"> </w:t>
      </w:r>
      <w:r>
        <w:t xml:space="preserve">(was 6)</w:t>
      </w:r>
    </w:p>
    <w:p>
      <w:pPr>
        <w:numPr>
          <w:ilvl w:val="0"/>
          <w:numId w:val="1078"/>
        </w:numPr>
        <w:pStyle w:val="Compact"/>
      </w:pPr>
      <w:r>
        <w:rPr>
          <w:bCs/>
          <w:b/>
        </w:rPr>
        <w:t xml:space="preserve">47/47 tests passing</w:t>
      </w:r>
      <w:r>
        <w:t xml:space="preserve"> </w:t>
      </w:r>
      <w:r>
        <w:t xml:space="preserve">(was 44/47)</w:t>
      </w:r>
    </w:p>
    <w:p>
      <w:pPr>
        <w:numPr>
          <w:ilvl w:val="0"/>
          <w:numId w:val="1078"/>
        </w:numPr>
        <w:pStyle w:val="Compact"/>
      </w:pPr>
      <w:r>
        <w:rPr>
          <w:bCs/>
          <w:b/>
        </w:rPr>
        <w:t xml:space="preserve">Full MCP discoverability</w:t>
      </w:r>
      <w:r>
        <w:t xml:space="preserve"> </w:t>
      </w:r>
      <w:r>
        <w:t xml:space="preserve">for all 31 agents</w:t>
      </w:r>
    </w:p>
    <w:p>
      <w:pPr>
        <w:numPr>
          <w:ilvl w:val="0"/>
          <w:numId w:val="1078"/>
        </w:numPr>
        <w:pStyle w:val="Compact"/>
      </w:pPr>
      <w:r>
        <w:rPr>
          <w:bCs/>
          <w:b/>
        </w:rPr>
        <w:t xml:space="preserve">HIL operational</w:t>
      </w:r>
      <w:r>
        <w:t xml:space="preserve"> </w:t>
      </w:r>
      <w:r>
        <w:t xml:space="preserve">for morning briefing workflows</w:t>
      </w:r>
    </w:p>
    <w:p>
      <w:r>
        <w:pict>
          <v:rect style="width:0;height:1.5pt" o:hralign="center" o:hrstd="t" o:hr="t"/>
        </w:pict>
      </w:r>
    </w:p>
    <w:bookmarkEnd w:id="241"/>
    <w:bookmarkEnd w:id="242"/>
    <w:bookmarkStart w:id="327" w:name="Xc84102b46314a206f007a2278365afe61845d6d"/>
    <w:p>
      <w:pPr>
        <w:pStyle w:val="Heading2"/>
      </w:pPr>
      <w:r>
        <w:t xml:space="preserve">10.15 PostgreSQL Columnar HTAP Architecture — DWS Data Standard</w:t>
      </w:r>
    </w:p>
    <w:bookmarkStart w:id="243" w:name="motivation-2"/>
    <w:p>
      <w:pPr>
        <w:pStyle w:val="Heading3"/>
      </w:pPr>
      <w:r>
        <w:t xml:space="preserve">10.15.1 Motivation</w:t>
      </w:r>
    </w:p>
    <w:p>
      <w:pPr>
        <w:pStyle w:val="FirstParagraph"/>
      </w:pPr>
      <w:r>
        <w:t xml:space="preserve">DWS6 runs all analytics against transactional heap tables with no columnar or HTAP capabilities. As the platform scales toward IoT telemetry (DWS7 Phase 4), 7-year Article 12 audit retention, and growing agent execution logs, the single-engine approach creates performance bottlenecks: campaign funnel aggregation hits raw event tables, agent cost rollups require full table scans, and audit log storage costs grow linearly with no compression.</w:t>
      </w:r>
    </w:p>
    <w:p>
      <w:pPr>
        <w:pStyle w:val="BodyText"/>
      </w:pPr>
      <w:r>
        <w:t xml:space="preserve">The PostgreSQL</w:t>
      </w:r>
      <w:r>
        <w:t xml:space="preserve"> </w:t>
      </w:r>
      <w:r>
        <w:t xml:space="preserve">“</w:t>
      </w:r>
      <w:r>
        <w:t xml:space="preserve">columnar extension</w:t>
      </w:r>
      <w:r>
        <w:t xml:space="preserve">”</w:t>
      </w:r>
      <w:r>
        <w:t xml:space="preserve"> </w:t>
      </w:r>
      <w:r>
        <w:t xml:space="preserve">pattern — pioneered by Hydra and now production-ready across six implementations — enables true HTAP (Hybrid Transactional/Analytical Processing) within a single database: transactional tables remain as standard heap, analytics tables become columnar, with seamless joins and zero data movement.</w:t>
      </w:r>
    </w:p>
    <w:bookmarkEnd w:id="243"/>
    <w:bookmarkStart w:id="244" w:name="X05e46d3147d04c1d823f8178abb095a0106ae6d"/>
    <w:p>
      <w:pPr>
        <w:pStyle w:val="Heading3"/>
      </w:pPr>
      <w:r>
        <w:t xml:space="preserve">10.15.2 Extension Evaluation (Updated March 2026 — Aiven-First Mandate)</w:t>
      </w:r>
    </w:p>
    <w:p>
      <w:pPr>
        <w:pStyle w:val="FirstParagraph"/>
      </w:pPr>
      <w:r>
        <w:t xml:space="preserve">The original v3.22 evaluation assumed pg_duckdb availability on Aiven. March 2026 findings invalidated this:</w:t>
      </w:r>
    </w:p>
    <w:p>
      <w:pPr>
        <w:numPr>
          <w:ilvl w:val="0"/>
          <w:numId w:val="1079"/>
        </w:numPr>
        <w:pStyle w:val="Compact"/>
      </w:pPr>
      <w:r>
        <w:rPr>
          <w:bCs/>
          <w:b/>
        </w:rPr>
        <w:t xml:space="preserve">Hydra</w:t>
      </w:r>
      <w:r>
        <w:t xml:space="preserve"> </w:t>
      </w:r>
      <w:r>
        <w:t xml:space="preserve">core team joined Supabase (Feb 2026) to build</w:t>
      </w:r>
      <w:r>
        <w:t xml:space="preserve"> </w:t>
      </w:r>
      <w:r>
        <w:t xml:space="preserve">“</w:t>
      </w:r>
      <w:r>
        <w:t xml:space="preserve">Supabase Warehouse</w:t>
      </w:r>
      <w:r>
        <w:t xml:space="preserve">”</w:t>
      </w:r>
      <w:r>
        <w:t xml:space="preserve"> </w:t>
      </w:r>
      <w:r>
        <w:t xml:space="preserve">— Hydra is effectively dead as an independent project.</w:t>
      </w:r>
    </w:p>
    <w:p>
      <w:pPr>
        <w:numPr>
          <w:ilvl w:val="0"/>
          <w:numId w:val="1079"/>
        </w:numPr>
        <w:pStyle w:val="Compact"/>
      </w:pPr>
      <w:r>
        <w:rPr>
          <w:bCs/>
          <w:b/>
        </w:rPr>
        <w:t xml:space="preserve">pg_mooncake</w:t>
      </w:r>
      <w:r>
        <w:t xml:space="preserve"> </w:t>
      </w:r>
      <w:r>
        <w:t xml:space="preserve">acquired by Databricks (Oct 2025) — future uncertain for self-hosted deployments.</w:t>
      </w:r>
    </w:p>
    <w:p>
      <w:pPr>
        <w:numPr>
          <w:ilvl w:val="0"/>
          <w:numId w:val="1079"/>
        </w:numPr>
        <w:pStyle w:val="Compact"/>
      </w:pPr>
      <w:r>
        <w:rPr>
          <w:bCs/>
          <w:b/>
        </w:rPr>
        <w:t xml:space="preserve">CRITICAL: pg_duckdb is BLOCKED on the Aiven extension whitelist</w:t>
      </w:r>
      <w:r>
        <w:t xml:space="preserve"> </w:t>
      </w:r>
      <w:r>
        <w:t xml:space="preserve">— it is NOT available on Aiven managed PostgreSQL. This was the key finding that forced the two-tier architecture redesign.</w:t>
      </w:r>
    </w:p>
    <w:p>
      <w:pPr>
        <w:numPr>
          <w:ilvl w:val="0"/>
          <w:numId w:val="1079"/>
        </w:numPr>
        <w:pStyle w:val="Compact"/>
      </w:pPr>
      <w:r>
        <w:rPr>
          <w:bCs/>
          <w:b/>
        </w:rPr>
        <w:t xml:space="preserve">TimescaleDB 2.25.x Hypercore</w:t>
      </w:r>
      <w:r>
        <w:t xml:space="preserve"> </w:t>
      </w:r>
      <w:r>
        <w:t xml:space="preserve">is the ONLY columnar/HTAP option natively available on Aiven.</w:t>
      </w:r>
    </w:p>
    <w:p>
      <w:pPr>
        <w:pStyle w:val="FirstParagraph"/>
      </w:pPr>
      <w:r>
        <w:rPr>
          <w:bCs/>
          <w:b/>
        </w:rPr>
        <w:t xml:space="preserve">ClickBench performance context:</w:t>
      </w:r>
      <w:r>
        <w:t xml:space="preserve"> </w:t>
      </w:r>
      <w:r>
        <w:t xml:space="preserve">pg_duckdb achieves 50-600× over vanilla PostgreSQL; TimescaleDB Hypercore achieves 10-100× with 98% compression on time-series data.</w:t>
      </w:r>
    </w:p>
    <w:p>
      <w:pPr>
        <w:pStyle w:val="BodyText"/>
      </w:pPr>
      <w:r>
        <w:t xml:space="preserve">Updated evaluation reflecting 2026 reality:</w:t>
      </w:r>
    </w:p>
    <w:tbl>
      <w:tblPr>
        <w:tblStyle w:val="Table"/>
        <w:tblW w:type="pct" w:w="5000"/>
        <w:tblLook w:firstRow="1" w:lastRow="0" w:firstColumn="0" w:lastColumn="0" w:noHBand="0" w:noVBand="0" w:val="0020"/>
        <w:jc w:val="start"/>
      </w:tblPr>
      <w:tblGrid>
        <w:gridCol w:w="2174"/>
        <w:gridCol w:w="543"/>
        <w:gridCol w:w="1320"/>
        <w:gridCol w:w="1242"/>
        <w:gridCol w:w="698"/>
        <w:gridCol w:w="776"/>
        <w:gridCol w:w="1164"/>
      </w:tblGrid>
      <w:tr>
        <w:trPr>
          <w:tblHeader w:val="true"/>
        </w:trPr>
        <w:tc>
          <w:tcPr/>
          <w:p>
            <w:pPr>
              <w:pStyle w:val="Compact"/>
              <w:jc w:val="left"/>
            </w:pPr>
            <w:r>
              <w:t xml:space="preserve">Solution</w:t>
            </w:r>
          </w:p>
        </w:tc>
        <w:tc>
          <w:tcPr/>
          <w:p>
            <w:pPr>
              <w:pStyle w:val="Compact"/>
              <w:jc w:val="left"/>
            </w:pPr>
            <w:r>
              <w:t xml:space="preserve">Engine</w:t>
            </w:r>
          </w:p>
        </w:tc>
        <w:tc>
          <w:tcPr/>
          <w:p>
            <w:pPr>
              <w:pStyle w:val="Compact"/>
              <w:jc w:val="left"/>
            </w:pPr>
            <w:r>
              <w:t xml:space="preserve">Speed vs PG</w:t>
            </w:r>
          </w:p>
        </w:tc>
        <w:tc>
          <w:tcPr/>
          <w:p>
            <w:pPr>
              <w:pStyle w:val="Compact"/>
              <w:jc w:val="left"/>
            </w:pPr>
            <w:r>
              <w:t xml:space="preserve">Aiven?</w:t>
            </w:r>
          </w:p>
        </w:tc>
        <w:tc>
          <w:tcPr/>
          <w:p>
            <w:pPr>
              <w:pStyle w:val="Compact"/>
              <w:jc w:val="left"/>
            </w:pPr>
            <w:r>
              <w:t xml:space="preserve">Supabase?</w:t>
            </w:r>
          </w:p>
        </w:tc>
        <w:tc>
          <w:tcPr/>
          <w:p>
            <w:pPr>
              <w:pStyle w:val="Compact"/>
              <w:jc w:val="left"/>
            </w:pPr>
            <w:r>
              <w:t xml:space="preserve">Self-Host?</w:t>
            </w:r>
          </w:p>
        </w:tc>
        <w:tc>
          <w:tcPr/>
          <w:p>
            <w:pPr>
              <w:pStyle w:val="Compact"/>
              <w:jc w:val="left"/>
            </w:pPr>
            <w:r>
              <w:t xml:space="preserve">DWS Fit</w:t>
            </w:r>
          </w:p>
        </w:tc>
      </w:tr>
      <w:tr>
        <w:tc>
          <w:tcPr/>
          <w:p>
            <w:pPr>
              <w:pStyle w:val="Compact"/>
              <w:jc w:val="left"/>
            </w:pPr>
            <w:r>
              <w:t xml:space="preserve">Hydra (→Supabase Warehouse)</w:t>
            </w:r>
          </w:p>
        </w:tc>
        <w:tc>
          <w:tcPr/>
          <w:p>
            <w:pPr>
              <w:pStyle w:val="Compact"/>
              <w:jc w:val="left"/>
            </w:pPr>
            <w:r>
              <w:t xml:space="preserve">DuckDB</w:t>
            </w:r>
          </w:p>
        </w:tc>
        <w:tc>
          <w:tcPr/>
          <w:p>
            <w:pPr>
              <w:pStyle w:val="Compact"/>
              <w:jc w:val="left"/>
            </w:pPr>
            <w:r>
              <w:t xml:space="preserve">100-600×</w:t>
            </w:r>
          </w:p>
        </w:tc>
        <w:tc>
          <w:tcPr/>
          <w:p>
            <w:pPr>
              <w:pStyle w:val="Compact"/>
              <w:jc w:val="left"/>
            </w:pPr>
            <w:r>
              <w:t xml:space="preserve">No</w:t>
            </w:r>
          </w:p>
        </w:tc>
        <w:tc>
          <w:tcPr/>
          <w:p>
            <w:pPr>
              <w:pStyle w:val="Compact"/>
              <w:jc w:val="left"/>
            </w:pPr>
            <w:r>
              <w:t xml:space="preserve">Alpha</w:t>
            </w:r>
          </w:p>
        </w:tc>
        <w:tc>
          <w:tcPr/>
          <w:p>
            <w:pPr>
              <w:pStyle w:val="Compact"/>
              <w:jc w:val="left"/>
            </w:pPr>
            <w:r>
              <w:t xml:space="preserve">Yes</w:t>
            </w:r>
          </w:p>
        </w:tc>
        <w:tc>
          <w:tcPr/>
          <w:p>
            <w:pPr>
              <w:pStyle w:val="Compact"/>
              <w:jc w:val="left"/>
            </w:pPr>
            <w:r>
              <w:t xml:space="preserve">Monitor</w:t>
            </w:r>
          </w:p>
        </w:tc>
      </w:tr>
      <w:tr>
        <w:tc>
          <w:tcPr/>
          <w:p>
            <w:pPr>
              <w:pStyle w:val="Compact"/>
              <w:jc w:val="left"/>
            </w:pPr>
            <w:r>
              <w:t xml:space="preserve">pg_duckdb v1.x</w:t>
            </w:r>
          </w:p>
        </w:tc>
        <w:tc>
          <w:tcPr/>
          <w:p>
            <w:pPr>
              <w:pStyle w:val="Compact"/>
              <w:jc w:val="left"/>
            </w:pPr>
            <w:r>
              <w:t xml:space="preserve">DuckDB</w:t>
            </w:r>
          </w:p>
        </w:tc>
        <w:tc>
          <w:tcPr/>
          <w:p>
            <w:pPr>
              <w:pStyle w:val="Compact"/>
              <w:jc w:val="left"/>
            </w:pPr>
            <w:r>
              <w:t xml:space="preserve">50-600×</w:t>
            </w:r>
          </w:p>
        </w:tc>
        <w:tc>
          <w:tcPr/>
          <w:p>
            <w:pPr>
              <w:pStyle w:val="Compact"/>
              <w:jc w:val="left"/>
            </w:pPr>
            <w:r>
              <w:rPr>
                <w:bCs/>
                <w:b/>
              </w:rPr>
              <w:t xml:space="preserve">NO (blocked)</w:t>
            </w:r>
          </w:p>
        </w:tc>
        <w:tc>
          <w:tcPr/>
          <w:p>
            <w:pPr>
              <w:pStyle w:val="Compact"/>
              <w:jc w:val="left"/>
            </w:pPr>
            <w:r>
              <w:t xml:space="preserve">Yes</w:t>
            </w:r>
          </w:p>
        </w:tc>
        <w:tc>
          <w:tcPr/>
          <w:p>
            <w:pPr>
              <w:pStyle w:val="Compact"/>
              <w:jc w:val="left"/>
            </w:pPr>
            <w:r>
              <w:rPr>
                <w:bCs/>
                <w:b/>
              </w:rPr>
              <w:t xml:space="preserve">Yes</w:t>
            </w:r>
          </w:p>
        </w:tc>
        <w:tc>
          <w:tcPr/>
          <w:p>
            <w:pPr>
              <w:pStyle w:val="Compact"/>
              <w:jc w:val="left"/>
            </w:pPr>
            <w:r>
              <w:t xml:space="preserve">Edge only</w:t>
            </w:r>
          </w:p>
        </w:tc>
      </w:tr>
      <w:tr>
        <w:tc>
          <w:tcPr/>
          <w:p>
            <w:pPr>
              <w:pStyle w:val="Compact"/>
              <w:jc w:val="left"/>
            </w:pPr>
            <w:r>
              <w:t xml:space="preserve">pg_mooncake (→Databricks)</w:t>
            </w:r>
          </w:p>
        </w:tc>
        <w:tc>
          <w:tcPr/>
          <w:p>
            <w:pPr>
              <w:pStyle w:val="Compact"/>
              <w:jc w:val="left"/>
            </w:pPr>
            <w:r>
              <w:t xml:space="preserve">DuckDB</w:t>
            </w:r>
          </w:p>
        </w:tc>
        <w:tc>
          <w:tcPr/>
          <w:p>
            <w:pPr>
              <w:pStyle w:val="Compact"/>
              <w:jc w:val="left"/>
            </w:pPr>
            <w:r>
              <w:t xml:space="preserve">Top-10 ClickBench</w:t>
            </w:r>
          </w:p>
        </w:tc>
        <w:tc>
          <w:tcPr/>
          <w:p>
            <w:pPr>
              <w:pStyle w:val="Compact"/>
              <w:jc w:val="left"/>
            </w:pPr>
            <w:r>
              <w:t xml:space="preserve">No</w:t>
            </w:r>
          </w:p>
        </w:tc>
        <w:tc>
          <w:tcPr/>
          <w:p>
            <w:pPr>
              <w:pStyle w:val="Compact"/>
              <w:jc w:val="left"/>
            </w:pPr>
            <w:r>
              <w:t xml:space="preserve">Custom</w:t>
            </w:r>
          </w:p>
        </w:tc>
        <w:tc>
          <w:tcPr/>
          <w:p>
            <w:pPr>
              <w:pStyle w:val="Compact"/>
              <w:jc w:val="left"/>
            </w:pPr>
            <w:r>
              <w:t xml:space="preserve">Yes</w:t>
            </w:r>
          </w:p>
        </w:tc>
        <w:tc>
          <w:tcPr/>
          <w:p>
            <w:pPr>
              <w:pStyle w:val="Compact"/>
              <w:jc w:val="left"/>
            </w:pPr>
            <w:r>
              <w:t xml:space="preserve">Phase 3</w:t>
            </w:r>
          </w:p>
        </w:tc>
      </w:tr>
      <w:tr>
        <w:tc>
          <w:tcPr/>
          <w:p>
            <w:pPr>
              <w:pStyle w:val="Compact"/>
              <w:jc w:val="left"/>
            </w:pPr>
            <w:r>
              <w:t xml:space="preserve">TimescaleDB 2.25.x Hypercore</w:t>
            </w:r>
          </w:p>
        </w:tc>
        <w:tc>
          <w:tcPr/>
          <w:p>
            <w:pPr>
              <w:pStyle w:val="Compact"/>
              <w:jc w:val="left"/>
            </w:pPr>
            <w:r>
              <w:t xml:space="preserve">PG+SIMD</w:t>
            </w:r>
          </w:p>
        </w:tc>
        <w:tc>
          <w:tcPr/>
          <w:p>
            <w:pPr>
              <w:pStyle w:val="Compact"/>
              <w:jc w:val="left"/>
            </w:pPr>
            <w:r>
              <w:t xml:space="preserve">10-100×</w:t>
            </w:r>
          </w:p>
        </w:tc>
        <w:tc>
          <w:tcPr/>
          <w:p>
            <w:pPr>
              <w:pStyle w:val="Compact"/>
              <w:jc w:val="left"/>
            </w:pPr>
            <w:r>
              <w:rPr>
                <w:bCs/>
                <w:b/>
              </w:rPr>
              <w:t xml:space="preserve">Yes (native)</w:t>
            </w:r>
          </w:p>
        </w:tc>
        <w:tc>
          <w:tcPr/>
          <w:p>
            <w:pPr>
              <w:pStyle w:val="Compact"/>
              <w:jc w:val="left"/>
            </w:pPr>
            <w:r>
              <w:t xml:space="preserve">Yes</w:t>
            </w:r>
          </w:p>
        </w:tc>
        <w:tc>
          <w:tcPr/>
          <w:p>
            <w:pPr>
              <w:pStyle w:val="Compact"/>
              <w:jc w:val="left"/>
            </w:pPr>
            <w:r>
              <w:rPr>
                <w:bCs/>
                <w:b/>
              </w:rPr>
              <w:t xml:space="preserve">Yes</w:t>
            </w:r>
          </w:p>
        </w:tc>
        <w:tc>
          <w:tcPr/>
          <w:p>
            <w:pPr>
              <w:pStyle w:val="Compact"/>
              <w:jc w:val="left"/>
            </w:pPr>
            <w:r>
              <w:rPr>
                <w:bCs/>
                <w:b/>
              </w:rPr>
              <w:t xml:space="preserve">PRIMARY</w:t>
            </w:r>
          </w:p>
        </w:tc>
      </w:tr>
      <w:tr>
        <w:tc>
          <w:tcPr/>
          <w:p>
            <w:pPr>
              <w:pStyle w:val="Compact"/>
              <w:jc w:val="left"/>
            </w:pPr>
            <w:r>
              <w:t xml:space="preserve">ParadeDB pg_analytics</w:t>
            </w:r>
          </w:p>
        </w:tc>
        <w:tc>
          <w:tcPr/>
          <w:p>
            <w:pPr>
              <w:pStyle w:val="Compact"/>
              <w:jc w:val="left"/>
            </w:pPr>
            <w:r>
              <w:t xml:space="preserve">DuckDB</w:t>
            </w:r>
          </w:p>
        </w:tc>
        <w:tc>
          <w:tcPr/>
          <w:p>
            <w:pPr>
              <w:pStyle w:val="Compact"/>
              <w:jc w:val="left"/>
            </w:pPr>
            <w:r>
              <w:t xml:space="preserve">10-100×</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Not recommended</w:t>
            </w:r>
          </w:p>
        </w:tc>
      </w:tr>
      <w:tr>
        <w:tc>
          <w:tcPr/>
          <w:p>
            <w:pPr>
              <w:pStyle w:val="Compact"/>
              <w:jc w:val="left"/>
            </w:pPr>
            <w:r>
              <w:t xml:space="preserve">Citus Columnar</w:t>
            </w:r>
          </w:p>
        </w:tc>
        <w:tc>
          <w:tcPr/>
          <w:p>
            <w:pPr>
              <w:pStyle w:val="Compact"/>
              <w:jc w:val="left"/>
            </w:pPr>
            <w:r>
              <w:t xml:space="preserve">PG</w:t>
            </w:r>
          </w:p>
        </w:tc>
        <w:tc>
          <w:tcPr/>
          <w:p>
            <w:pPr>
              <w:pStyle w:val="Compact"/>
              <w:jc w:val="left"/>
            </w:pPr>
            <w:r>
              <w:t xml:space="preserve">5-50×</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c>
          <w:tcPr/>
          <w:p>
            <w:pPr>
              <w:pStyle w:val="Compact"/>
              <w:jc w:val="left"/>
            </w:pPr>
            <w:r>
              <w:t xml:space="preserve">Not recommended</w:t>
            </w:r>
          </w:p>
        </w:tc>
      </w:tr>
    </w:tbl>
    <w:bookmarkEnd w:id="244"/>
    <w:bookmarkStart w:id="245" w:name="Xe1827376726351052c8a7483ab587ea7cbe8f1c"/>
    <w:p>
      <w:pPr>
        <w:pStyle w:val="Heading3"/>
      </w:pPr>
      <w:r>
        <w:t xml:space="preserve">10.15.3 Recommended Stack (Two-Tier HTAP Architecture)</w:t>
      </w:r>
    </w:p>
    <w:p>
      <w:pPr>
        <w:pStyle w:val="FirstParagraph"/>
      </w:pPr>
      <w:r>
        <w:t xml:space="preserve">The Aiven whitelist constraint (pg_duckdb BLOCKED) drives a</w:t>
      </w:r>
      <w:r>
        <w:t xml:space="preserve"> </w:t>
      </w:r>
      <w:r>
        <w:rPr>
          <w:bCs/>
          <w:b/>
        </w:rPr>
        <w:t xml:space="preserve">two-tier architecture</w:t>
      </w:r>
      <w:r>
        <w:t xml:space="preserve"> </w:t>
      </w:r>
      <w:r>
        <w:t xml:space="preserve">— managed production on Aiven with full extension freedom on edge hardware:</w:t>
      </w:r>
    </w:p>
    <w:p>
      <w:pPr>
        <w:pStyle w:val="BodyText"/>
      </w:pPr>
      <w:r>
        <w:rPr>
          <w:bCs/>
          <w:b/>
        </w:rPr>
        <w:t xml:space="preserve">Tier 1: Aiven Managed (Production) — TimescaleDB 2.25.x Hypercore ONLY</w:t>
      </w:r>
    </w:p>
    <w:p>
      <w:pPr>
        <w:numPr>
          <w:ilvl w:val="0"/>
          <w:numId w:val="1080"/>
        </w:numPr>
        <w:pStyle w:val="Compact"/>
      </w:pPr>
      <w:r>
        <w:t xml:space="preserve">Automatic hybrid row→columnar storage via Hypercore: recent data stays in heap for OLTP, older data compresses into columnar format automatically.</w:t>
      </w:r>
    </w:p>
    <w:p>
      <w:pPr>
        <w:numPr>
          <w:ilvl w:val="0"/>
          <w:numId w:val="1080"/>
        </w:numPr>
        <w:pStyle w:val="Compact"/>
      </w:pPr>
      <w:r>
        <w:t xml:space="preserve">98% compression on time-series and audit data (agent_metrics, agent_costs, article12_audit_log, IoT sensor data).</w:t>
      </w:r>
    </w:p>
    <w:p>
      <w:pPr>
        <w:numPr>
          <w:ilvl w:val="0"/>
          <w:numId w:val="1080"/>
        </w:numPr>
        <w:pStyle w:val="Compact"/>
      </w:pPr>
      <w:r>
        <w:t xml:space="preserve">10-100× analytical acceleration over vanilla PostgreSQL via SIMD vectorized scans.</w:t>
      </w:r>
    </w:p>
    <w:p>
      <w:pPr>
        <w:numPr>
          <w:ilvl w:val="0"/>
          <w:numId w:val="1080"/>
        </w:numPr>
        <w:pStyle w:val="Compact"/>
      </w:pPr>
      <w:r>
        <w:t xml:space="preserve">99.99% SLA, EU Finland (europe-north1), managed backups, automatic failover.</w:t>
      </w:r>
    </w:p>
    <w:p>
      <w:pPr>
        <w:numPr>
          <w:ilvl w:val="0"/>
          <w:numId w:val="1080"/>
        </w:numPr>
        <w:pStyle w:val="Compact"/>
      </w:pPr>
      <w:r>
        <w:t xml:space="preserve">No pg_duckdb, no Hydra, no pg_mooncake — only Aiven-whitelisted extensions.</w:t>
      </w:r>
    </w:p>
    <w:p>
      <w:pPr>
        <w:pStyle w:val="SourceCode"/>
      </w:pPr>
      <w:r>
        <w:rPr>
          <w:rStyle w:val="CommentTok"/>
        </w:rPr>
        <w:t xml:space="preserve">-- TimescaleDB Hypercore hybrid table (Aiven production)</w:t>
      </w:r>
      <w:r>
        <w:br/>
      </w:r>
      <w:r>
        <w:rPr>
          <w:rStyle w:val="KeywordTok"/>
        </w:rPr>
        <w:t xml:space="preserve">CREATE</w:t>
      </w:r>
      <w:r>
        <w:rPr>
          <w:rStyle w:val="NormalTok"/>
        </w:rPr>
        <w:t xml:space="preserve"> </w:t>
      </w:r>
      <w:r>
        <w:rPr>
          <w:rStyle w:val="KeywordTok"/>
        </w:rPr>
        <w:t xml:space="preserve">TABLE</w:t>
      </w:r>
      <w:r>
        <w:rPr>
          <w:rStyle w:val="NormalTok"/>
        </w:rPr>
        <w:t xml:space="preserve"> </w:t>
      </w:r>
      <w:r>
        <w:rPr>
          <w:rStyle w:val="KeywordTok"/>
        </w:rPr>
        <w:t xml:space="preserve">events</w:t>
      </w:r>
      <w:r>
        <w:rPr>
          <w:rStyle w:val="NormalTok"/>
        </w:rPr>
        <w:t xml:space="preserve"> (</w:t>
      </w:r>
      <w:r>
        <w:br/>
      </w:r>
      <w:r>
        <w:rPr>
          <w:rStyle w:val="NormalTok"/>
        </w:rPr>
        <w:t xml:space="preserve">  </w:t>
      </w:r>
      <w:r>
        <w:rPr>
          <w:rStyle w:val="DataTypeTok"/>
        </w:rPr>
        <w:t xml:space="preserve">time</w:t>
      </w:r>
      <w:r>
        <w:rPr>
          <w:rStyle w:val="NormalTok"/>
        </w:rPr>
        <w:t xml:space="preserve">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device_id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w:t>
      </w:r>
      <w:r>
        <w:rPr>
          <w:rStyle w:val="DataTypeTok"/>
        </w:rPr>
        <w:t xml:space="preserve">DOUBLE</w:t>
      </w:r>
      <w:r>
        <w:rPr>
          <w:rStyle w:val="NormalTok"/>
        </w:rPr>
        <w:t xml:space="preserve"> </w:t>
      </w:r>
      <w:r>
        <w:rPr>
          <w:rStyle w:val="DataTypeTok"/>
        </w:rPr>
        <w:t xml:space="preserve">PRECISION</w:t>
      </w:r>
      <w:r>
        <w:br/>
      </w:r>
      <w:r>
        <w:rPr>
          <w:rStyle w:val="NormalTok"/>
        </w:rPr>
        <w:t xml:space="preserve">) </w:t>
      </w:r>
      <w:r>
        <w:rPr>
          <w:rStyle w:val="KeywordTok"/>
        </w:rPr>
        <w:t xml:space="preserve">WITH</w:t>
      </w:r>
      <w:r>
        <w:rPr>
          <w:rStyle w:val="NormalTok"/>
        </w:rPr>
        <w:t xml:space="preserve"> (timescaledb.hybrid </w:t>
      </w:r>
      <w:r>
        <w:rPr>
          <w:rStyle w:val="OperatorTok"/>
        </w:rPr>
        <w:t xml:space="preserve">=</w:t>
      </w:r>
      <w:r>
        <w:rPr>
          <w:rStyle w:val="NormalTok"/>
        </w:rPr>
        <w:t xml:space="preserve"> </w:t>
      </w:r>
      <w:r>
        <w:rPr>
          <w:rStyle w:val="KeywordTok"/>
        </w:rPr>
        <w:t xml:space="preserve">true</w:t>
      </w:r>
      <w:r>
        <w:rPr>
          <w:rStyle w:val="NormalTok"/>
        </w:rPr>
        <w:t xml:space="preserve">);</w:t>
      </w:r>
      <w:r>
        <w:br/>
      </w:r>
      <w:r>
        <w:rPr>
          <w:rStyle w:val="KeywordTok"/>
        </w:rPr>
        <w:t xml:space="preserve">SELECT</w:t>
      </w:r>
      <w:r>
        <w:rPr>
          <w:rStyle w:val="NormalTok"/>
        </w:rPr>
        <w:t xml:space="preserve"> create_hypertable(</w:t>
      </w:r>
      <w:r>
        <w:rPr>
          <w:rStyle w:val="StringTok"/>
        </w:rPr>
        <w:t xml:space="preserve">'events'</w:t>
      </w:r>
      <w:r>
        <w:rPr>
          <w:rStyle w:val="NormalTok"/>
        </w:rPr>
        <w:t xml:space="preserve">, </w:t>
      </w:r>
      <w:r>
        <w:rPr>
          <w:rStyle w:val="StringTok"/>
        </w:rPr>
        <w:t xml:space="preserve">'time'</w:t>
      </w:r>
      <w:r>
        <w:rPr>
          <w:rStyle w:val="NormalTok"/>
        </w:rPr>
        <w:t xml:space="preserve">);</w:t>
      </w:r>
    </w:p>
    <w:p>
      <w:pPr>
        <w:pStyle w:val="FirstParagraph"/>
      </w:pPr>
      <w:r>
        <w:rPr>
          <w:bCs/>
          <w:b/>
        </w:rPr>
        <w:t xml:space="preserve">Tier 2: GN100 Edge (Analytics) — TimescaleDB + pg_duckdb + pgvector</w:t>
      </w:r>
    </w:p>
    <w:p>
      <w:pPr>
        <w:numPr>
          <w:ilvl w:val="0"/>
          <w:numId w:val="1081"/>
        </w:numPr>
        <w:pStyle w:val="Compact"/>
      </w:pPr>
      <w:r>
        <w:t xml:space="preserve">Deployed 2026-03-13 on Acer Veriton GN100 via Docker with SSH tunnel to Aiven.</w:t>
      </w:r>
    </w:p>
    <w:p>
      <w:pPr>
        <w:numPr>
          <w:ilvl w:val="0"/>
          <w:numId w:val="1081"/>
        </w:numPr>
        <w:pStyle w:val="Compact"/>
      </w:pPr>
      <w:r>
        <w:t xml:space="preserve">Full extension stack: pg_duckdb (50-600× OLAP), pgvector (AI embeddings), TimescaleDB (time-series).</w:t>
      </w:r>
    </w:p>
    <w:p>
      <w:pPr>
        <w:numPr>
          <w:ilvl w:val="0"/>
          <w:numId w:val="1081"/>
        </w:numPr>
        <w:pStyle w:val="Compact"/>
      </w:pPr>
      <w:r>
        <w:t xml:space="preserve">Use cases: ad-hoc analytical queries, ClickBench-class workloads, AI vector search, data exploration.</w:t>
      </w:r>
    </w:p>
    <w:p>
      <w:pPr>
        <w:numPr>
          <w:ilvl w:val="0"/>
          <w:numId w:val="1081"/>
        </w:numPr>
        <w:pStyle w:val="Compact"/>
      </w:pPr>
      <w:r>
        <w:t xml:space="preserve">Not production-critical — edge device serves as analytical sandbox.</w:t>
      </w:r>
    </w:p>
    <w:p>
      <w:pPr>
        <w:pStyle w:val="FirstParagraph"/>
      </w:pPr>
      <w:r>
        <w:rPr>
          <w:bCs/>
          <w:b/>
        </w:rPr>
        <w:t xml:space="preserve">Local dev parity:</w:t>
      </w:r>
      <w:r>
        <w:t xml:space="preserve"> </w:t>
      </w:r>
      <w:r>
        <w:rPr>
          <w:rStyle w:val="VerbatimChar"/>
        </w:rPr>
        <w:t xml:space="preserve">timescale/timescaledb:2.25.2-pg16</w:t>
      </w:r>
      <w:r>
        <w:t xml:space="preserve"> </w:t>
      </w:r>
      <w:r>
        <w:t xml:space="preserve">Docker image ensures developers match Aiven production schema.</w:t>
      </w:r>
    </w:p>
    <w:p>
      <w:pPr>
        <w:pStyle w:val="BodyText"/>
      </w:pPr>
      <w:r>
        <w:rPr>
          <w:bCs/>
          <w:b/>
        </w:rPr>
        <w:t xml:space="preserve">pg_mooncake</w:t>
      </w:r>
      <w:r>
        <w:t xml:space="preserve"> </w:t>
      </w:r>
      <w:r>
        <w:t xml:space="preserve">(Phase 3, 2027) for Iceberg/Parquet export satisfying EU Data Act 2023/2854 IoT data portability requirements — pending Databricks acquisition outcome.</w:t>
      </w:r>
    </w:p>
    <w:bookmarkEnd w:id="245"/>
    <w:bookmarkStart w:id="246" w:name="dws-data-standard"/>
    <w:p>
      <w:pPr>
        <w:pStyle w:val="Heading3"/>
      </w:pPr>
      <w:r>
        <w:t xml:space="preserve">10.15.4 DWS Data Standard</w:t>
      </w:r>
    </w:p>
    <w:p>
      <w:pPr>
        <w:pStyle w:val="FirstParagraph"/>
      </w:pPr>
      <w:r>
        <w:t xml:space="preserve">A new</w:t>
      </w:r>
      <w:r>
        <w:t xml:space="preserve"> </w:t>
      </w:r>
      <w:r>
        <w:rPr>
          <w:rStyle w:val="VerbatimChar"/>
        </w:rPr>
        <w:t xml:space="preserve">DWS_DATA_STANDARD.md</w:t>
      </w:r>
      <w:r>
        <w:t xml:space="preserve"> </w:t>
      </w:r>
      <w:r>
        <w:t xml:space="preserve">was created to govern all data storage decisions. Key sections:</w:t>
      </w:r>
    </w:p>
    <w:p>
      <w:pPr>
        <w:numPr>
          <w:ilvl w:val="0"/>
          <w:numId w:val="1082"/>
        </w:numPr>
        <w:pStyle w:val="Compact"/>
      </w:pPr>
      <w:r>
        <w:rPr>
          <w:bCs/>
          <w:b/>
        </w:rPr>
        <w:t xml:space="preserve">Storage Engine Policy</w:t>
      </w:r>
      <w:r>
        <w:t xml:space="preserve"> </w:t>
      </w:r>
      <w:r>
        <w:t xml:space="preserve">— decision matrix for row vs columnar vs hybrid</w:t>
      </w:r>
    </w:p>
    <w:p>
      <w:pPr>
        <w:numPr>
          <w:ilvl w:val="0"/>
          <w:numId w:val="1082"/>
        </w:numPr>
        <w:pStyle w:val="Compact"/>
      </w:pPr>
      <w:r>
        <w:rPr>
          <w:bCs/>
          <w:b/>
        </w:rPr>
        <w:t xml:space="preserve">Extension Governance</w:t>
      </w:r>
      <w:r>
        <w:t xml:space="preserve"> </w:t>
      </w:r>
      <w:r>
        <w:t xml:space="preserve">— approved registry with sovereignty assessment</w:t>
      </w:r>
    </w:p>
    <w:p>
      <w:pPr>
        <w:numPr>
          <w:ilvl w:val="0"/>
          <w:numId w:val="1082"/>
        </w:numPr>
        <w:pStyle w:val="Compact"/>
      </w:pPr>
      <w:r>
        <w:rPr>
          <w:bCs/>
          <w:b/>
        </w:rPr>
        <w:t xml:space="preserve">Retention Policy</w:t>
      </w:r>
      <w:r>
        <w:t xml:space="preserve"> </w:t>
      </w:r>
      <w:r>
        <w:t xml:space="preserve">— per-table rules mapped to EU regulations (GDPR Art 17, EU AI Act Art 12: 7yr, NIS2 Art 23: 5yr, Finnish Accounting Act 1336/1997: 10yr)</w:t>
      </w:r>
    </w:p>
    <w:p>
      <w:pPr>
        <w:numPr>
          <w:ilvl w:val="0"/>
          <w:numId w:val="1082"/>
        </w:numPr>
        <w:pStyle w:val="Compact"/>
      </w:pPr>
      <w:r>
        <w:rPr>
          <w:bCs/>
          <w:b/>
        </w:rPr>
        <w:t xml:space="preserve">Partitioning Standard</w:t>
      </w:r>
      <w:r>
        <w:t xml:space="preserve"> </w:t>
      </w:r>
      <w:r>
        <w:t xml:space="preserve">— TimescaleDB hypertables preferred over native partitioning</w:t>
      </w:r>
    </w:p>
    <w:p>
      <w:pPr>
        <w:numPr>
          <w:ilvl w:val="0"/>
          <w:numId w:val="1082"/>
        </w:numPr>
        <w:pStyle w:val="Compact"/>
      </w:pPr>
      <w:r>
        <w:rPr>
          <w:bCs/>
          <w:b/>
        </w:rPr>
        <w:t xml:space="preserve">Compression Policy</w:t>
      </w:r>
      <w:r>
        <w:t xml:space="preserve"> </w:t>
      </w:r>
      <w:r>
        <w:t xml:space="preserve">— tiered compression targets (1:1 hot → 20:1 archive)</w:t>
      </w:r>
    </w:p>
    <w:p>
      <w:pPr>
        <w:numPr>
          <w:ilvl w:val="0"/>
          <w:numId w:val="1082"/>
        </w:numPr>
        <w:pStyle w:val="Compact"/>
      </w:pPr>
      <w:r>
        <w:rPr>
          <w:bCs/>
          <w:b/>
        </w:rPr>
        <w:t xml:space="preserve">EU Regulatory Compliance</w:t>
      </w:r>
      <w:r>
        <w:t xml:space="preserve"> </w:t>
      </w:r>
      <w:r>
        <w:t xml:space="preserve">— matrix mapping 11 EU regulations to database requirements</w:t>
      </w:r>
    </w:p>
    <w:bookmarkEnd w:id="246"/>
    <w:bookmarkStart w:id="247" w:name="X3fc7121aa52538d2afbd077f59fad16f5defb09"/>
    <w:p>
      <w:pPr>
        <w:pStyle w:val="Heading3"/>
      </w:pPr>
      <w:r>
        <w:t xml:space="preserve">10.15.5 Phased Rollout (Updated — Aiven-First Mandate)</w:t>
      </w:r>
    </w:p>
    <w:tbl>
      <w:tblPr>
        <w:tblStyle w:val="Table"/>
        <w:tblW w:type="pct" w:w="5000"/>
        <w:tblLook w:firstRow="1" w:lastRow="0" w:firstColumn="0" w:lastColumn="0" w:noHBand="0" w:noVBand="0" w:val="0020"/>
        <w:jc w:val="start"/>
      </w:tblPr>
      <w:tblGrid>
        <w:gridCol w:w="321"/>
        <w:gridCol w:w="643"/>
        <w:gridCol w:w="1352"/>
        <w:gridCol w:w="5601"/>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Target</w:t>
            </w:r>
          </w:p>
        </w:tc>
        <w:tc>
          <w:tcPr/>
          <w:p>
            <w:pPr>
              <w:pStyle w:val="Compact"/>
              <w:jc w:val="left"/>
            </w:pPr>
            <w:r>
              <w:t xml:space="preserve">Actions</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w:t>
            </w:r>
          </w:p>
        </w:tc>
        <w:tc>
          <w:tcPr/>
          <w:p>
            <w:pPr>
              <w:pStyle w:val="Compact"/>
              <w:jc w:val="left"/>
            </w:pPr>
            <w:r>
              <w:t xml:space="preserve">Table partitioning, materialized views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 + GN100 Edge</w:t>
            </w:r>
          </w:p>
        </w:tc>
        <w:tc>
          <w:tcPr/>
          <w:p>
            <w:pPr>
              <w:pStyle w:val="Compact"/>
              <w:jc w:val="left"/>
            </w:pPr>
            <w:r>
              <w:t xml:space="preserve">TimescaleDB Hypercore hypertables (Aiven), pg_duckdb + pgvector deployed on edge (done)</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 Edge</w:t>
            </w:r>
          </w:p>
        </w:tc>
        <w:tc>
          <w:tcPr/>
          <w:p>
            <w:pPr>
              <w:pStyle w:val="Compact"/>
              <w:jc w:val="left"/>
            </w:pPr>
            <w:r>
              <w:t xml:space="preserve">Audit log compression (98%), IoT hypertables, edge analytical queries</w:t>
            </w:r>
          </w:p>
        </w:tc>
      </w:tr>
      <w:tr>
        <w:tc>
          <w:tcPr/>
          <w:p>
            <w:pPr>
              <w:pStyle w:val="Compact"/>
              <w:jc w:val="left"/>
            </w:pPr>
            <w:r>
              <w:t xml:space="preserve">3</w:t>
            </w:r>
          </w:p>
        </w:tc>
        <w:tc>
          <w:tcPr/>
          <w:p>
            <w:pPr>
              <w:pStyle w:val="Compact"/>
              <w:jc w:val="left"/>
            </w:pPr>
            <w:r>
              <w:t xml:space="preserve">2027</w:t>
            </w:r>
          </w:p>
        </w:tc>
        <w:tc>
          <w:tcPr/>
          <w:p>
            <w:pPr>
              <w:pStyle w:val="Compact"/>
              <w:jc w:val="left"/>
            </w:pPr>
            <w:r>
              <w:t xml:space="preserve">Full HTAP</w:t>
            </w:r>
          </w:p>
        </w:tc>
        <w:tc>
          <w:tcPr/>
          <w:p>
            <w:pPr>
              <w:pStyle w:val="Compact"/>
              <w:jc w:val="left"/>
            </w:pPr>
            <w:r>
              <w:t xml:space="preserve">pg_mooncake lakehouse, Iceberg/Parquet</w:t>
            </w:r>
          </w:p>
        </w:tc>
      </w:tr>
    </w:tbl>
    <w:bookmarkEnd w:id="247"/>
    <w:bookmarkStart w:id="248" w:name="research-contribution-6"/>
    <w:p>
      <w:pPr>
        <w:pStyle w:val="Heading3"/>
      </w:pPr>
      <w:r>
        <w:t xml:space="preserve">10.15.6 Research Contribution</w:t>
      </w:r>
    </w:p>
    <w:p>
      <w:pPr>
        <w:pStyle w:val="FirstParagraph"/>
      </w:pPr>
      <w:r>
        <w:t xml:space="preserve">This work demonstrates that the</w:t>
      </w:r>
      <w:r>
        <w:t xml:space="preserve"> </w:t>
      </w:r>
      <w:r>
        <w:rPr>
          <w:bCs/>
          <w:b/>
        </w:rPr>
        <w:t xml:space="preserve">single-database HTAP pattern</w:t>
      </w:r>
      <w:r>
        <w:t xml:space="preserve"> </w:t>
      </w:r>
      <w:r>
        <w:t xml:space="preserve">is viable for regulated EU industrial platforms: same SQL, same clients, same RLS, zero ETL. The phased approach — starting with natively-supported extensions on a managed EU-sovereign provider (Aiven Finland) — eliminates the traditional choice between operational simplicity and analytical capability. The DWS Data Standard codifies this as an organizational standard, ensuring that storage engine decisions are deliberate, documented, and EU-compliant.</w:t>
      </w:r>
    </w:p>
    <w:p>
      <w:pPr>
        <w:pStyle w:val="BodyText"/>
      </w:pPr>
      <w:r>
        <w:t xml:space="preserve">The March 2026 Aiven whitelist finding adds a critical practical contribution:</w:t>
      </w:r>
      <w:r>
        <w:t xml:space="preserve"> </w:t>
      </w:r>
      <w:r>
        <w:rPr>
          <w:bCs/>
          <w:b/>
        </w:rPr>
        <w:t xml:space="preserve">managed-provider extension constraints drive architectural decisions in ways not captured by extension benchmarks alone.</w:t>
      </w:r>
      <w:r>
        <w:t xml:space="preserve"> </w:t>
      </w:r>
      <w:r>
        <w:t xml:space="preserve">The pg_duckdb extension achieves 50-600× analytical speedups but is unusable on Aiven managed PostgreSQL. This forced the two-tier HTAP architecture (Aiven managed + GN100 edge), demonstrating how real-world provider constraints shape database architecture for regulated EU deployments — a pattern likely applicable to any organization adopting managed PostgreSQL with HTAP ambitions.</w:t>
      </w:r>
    </w:p>
    <w:bookmarkEnd w:id="248"/>
    <w:bookmarkStart w:id="256" w:name="Xeed2d3b6f5ef39fe6b25e0d303e39b5ac18c570"/>
    <w:p>
      <w:pPr>
        <w:pStyle w:val="Heading3"/>
      </w:pPr>
      <w:r>
        <w:t xml:space="preserve">10.16 Harness Engineering — From Prompt Engineering to System Design</w:t>
      </w:r>
    </w:p>
    <w:p>
      <w:pPr>
        <w:pStyle w:val="FirstParagraph"/>
      </w:pPr>
      <w:r>
        <w:rPr>
          <w:bCs/>
          <w:b/>
        </w:rPr>
        <w:t xml:space="preserve">Source: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Context:</w:t>
      </w:r>
      <w:r>
        <w:t xml:space="preserve"> </w:t>
      </w:r>
      <w:r>
        <w:t xml:space="preserve">OpenAI’s Harness team built a product in five months without writing a single line of code manually — one million lines, ~1,500 PRs, 3-7 engineers. This section analyzes the 8 harness engineering principles and compares them with DWS IQ 6’s independently developed architecture.</w:t>
      </w:r>
    </w:p>
    <w:bookmarkStart w:id="249" w:name="definition"/>
    <w:p>
      <w:pPr>
        <w:pStyle w:val="Heading4"/>
      </w:pPr>
      <w:r>
        <w:t xml:space="preserve">10.16.1 Definition</w:t>
      </w:r>
    </w:p>
    <w:p>
      <w:pPr>
        <w:pStyle w:val="FirstParagraph"/>
      </w:pPr>
      <w:r>
        <w:rPr>
          <w:bCs/>
          <w:b/>
        </w:rPr>
        <w:t xml:space="preserve">Harness</w:t>
      </w:r>
      <w:r>
        <w:t xml:space="preserve"> </w:t>
      </w:r>
      <w:r>
        <w:t xml:space="preserve">= the entire environment (scaffolding, constraints, feedback loops) surrounding an AI agent that enables stable, productive work.</w:t>
      </w:r>
    </w:p>
    <w:p>
      <w:pPr>
        <w:pStyle w:val="BodyText"/>
      </w:pPr>
      <w:r>
        <w:rPr>
          <w:bCs/>
          <w:b/>
        </w:rPr>
        <w:t xml:space="preserve">Harness Engineering</w:t>
      </w:r>
      <w:r>
        <w:t xml:space="preserve"> </w:t>
      </w:r>
      <w:r>
        <w:t xml:space="preserve">= the shift from writing code to:</w:t>
      </w:r>
    </w:p>
    <w:p>
      <w:pPr>
        <w:numPr>
          <w:ilvl w:val="0"/>
          <w:numId w:val="1083"/>
        </w:numPr>
        <w:pStyle w:val="Compact"/>
      </w:pPr>
      <w:r>
        <w:rPr>
          <w:bCs/>
          <w:b/>
        </w:rPr>
        <w:t xml:space="preserve">Environment design</w:t>
      </w:r>
      <w:r>
        <w:t xml:space="preserve"> </w:t>
      </w:r>
      <w:r>
        <w:t xml:space="preserve">— designing the workspace agents operate in</w:t>
      </w:r>
    </w:p>
    <w:p>
      <w:pPr>
        <w:numPr>
          <w:ilvl w:val="0"/>
          <w:numId w:val="1083"/>
        </w:numPr>
        <w:pStyle w:val="Compact"/>
      </w:pPr>
      <w:r>
        <w:rPr>
          <w:bCs/>
          <w:b/>
        </w:rPr>
        <w:t xml:space="preserve">Intent specification</w:t>
      </w:r>
      <w:r>
        <w:t xml:space="preserve"> </w:t>
      </w:r>
      <w:r>
        <w:t xml:space="preserve">— defining what needs to happen, not how</w:t>
      </w:r>
    </w:p>
    <w:p>
      <w:pPr>
        <w:numPr>
          <w:ilvl w:val="0"/>
          <w:numId w:val="1083"/>
        </w:numPr>
        <w:pStyle w:val="Compact"/>
      </w:pPr>
      <w:r>
        <w:rPr>
          <w:bCs/>
          <w:b/>
        </w:rPr>
        <w:t xml:space="preserve">Feedback loop construction</w:t>
      </w:r>
      <w:r>
        <w:t xml:space="preserve"> </w:t>
      </w:r>
      <w:r>
        <w:t xml:space="preserve">— building mechanisms for agents to self-correct</w:t>
      </w:r>
    </w:p>
    <w:p>
      <w:pPr>
        <w:pStyle w:val="FirstParagraph"/>
      </w:pPr>
      <w:r>
        <w:t xml:space="preserve">When something fails, the question is not</w:t>
      </w:r>
      <w:r>
        <w:t xml:space="preserve"> </w:t>
      </w:r>
      <w:r>
        <w:t xml:space="preserve">“</w:t>
      </w:r>
      <w:r>
        <w:t xml:space="preserve">try harder</w:t>
      </w:r>
      <w:r>
        <w:t xml:space="preserve">”</w:t>
      </w:r>
      <w:r>
        <w:t xml:space="preserve"> </w:t>
      </w:r>
      <w:r>
        <w:t xml:space="preserve">but</w:t>
      </w:r>
      <w:r>
        <w:t xml:space="preserve"> </w:t>
      </w:r>
      <w:r>
        <w:rPr>
          <w:bCs/>
          <w:b/>
        </w:rPr>
        <w:t xml:space="preserve">“</w:t>
      </w:r>
      <w:r>
        <w:rPr>
          <w:bCs/>
          <w:b/>
        </w:rPr>
        <w:t xml:space="preserve">what capability is missing?</w:t>
      </w:r>
      <w:r>
        <w:rPr>
          <w:bCs/>
          <w:b/>
        </w:rPr>
        <w:t xml:space="preserve">”</w:t>
      </w:r>
    </w:p>
    <w:bookmarkEnd w:id="249"/>
    <w:bookmarkStart w:id="250" w:name="the-eight-principles-dws-iq-6-comparison"/>
    <w:p>
      <w:pPr>
        <w:pStyle w:val="Heading4"/>
      </w:pPr>
      <w:r>
        <w:t xml:space="preserve">10.16.2 The Eight Principles — DWS IQ 6 Comparison</w:t>
      </w:r>
    </w:p>
    <w:tbl>
      <w:tblPr>
        <w:tblStyle w:val="Table"/>
        <w:tblW w:type="pct" w:w="5000"/>
        <w:tblLook w:firstRow="1" w:lastRow="0" w:firstColumn="0" w:lastColumn="0" w:noHBand="0" w:noVBand="0" w:val="0020"/>
        <w:jc w:val="start"/>
      </w:tblPr>
      <w:tblGrid>
        <w:gridCol w:w="153"/>
        <w:gridCol w:w="2043"/>
        <w:gridCol w:w="2248"/>
        <w:gridCol w:w="3014"/>
        <w:gridCol w:w="459"/>
      </w:tblGrid>
      <w:tr>
        <w:trPr>
          <w:tblHeader w:val="true"/>
        </w:trPr>
        <w:tc>
          <w:tcPr/>
          <w:p>
            <w:pPr>
              <w:pStyle w:val="Compact"/>
              <w:jc w:val="left"/>
            </w:pPr>
            <w:r>
              <w:t xml:space="preserve">#</w:t>
            </w:r>
          </w:p>
        </w:tc>
        <w:tc>
          <w:tcPr/>
          <w:p>
            <w:pPr>
              <w:pStyle w:val="Compact"/>
              <w:jc w:val="left"/>
            </w:pPr>
            <w:r>
              <w:t xml:space="preserve">Principle</w:t>
            </w:r>
          </w:p>
        </w:tc>
        <w:tc>
          <w:tcPr/>
          <w:p>
            <w:pPr>
              <w:pStyle w:val="Compact"/>
              <w:jc w:val="left"/>
            </w:pPr>
            <w:r>
              <w:t xml:space="preserve">OpenAI Approach</w:t>
            </w:r>
          </w:p>
        </w:tc>
        <w:tc>
          <w:tcPr/>
          <w:p>
            <w:pPr>
              <w:pStyle w:val="Compact"/>
              <w:jc w:val="left"/>
            </w:pPr>
            <w:r>
              <w:t xml:space="preserve">DWS IQ 6 Approach</w:t>
            </w:r>
          </w:p>
        </w:tc>
        <w:tc>
          <w:tcPr/>
          <w:p>
            <w:pPr>
              <w:pStyle w:val="Compact"/>
              <w:jc w:val="left"/>
            </w:pPr>
            <w:r>
              <w:t xml:space="preserve">Readiness</w:t>
            </w:r>
          </w:p>
        </w:tc>
      </w:tr>
      <w:tr>
        <w:tc>
          <w:tcPr/>
          <w:p>
            <w:pPr>
              <w:pStyle w:val="Compact"/>
              <w:jc w:val="left"/>
            </w:pPr>
            <w:r>
              <w:t xml:space="preserve">1</w:t>
            </w:r>
          </w:p>
        </w:tc>
        <w:tc>
          <w:tcPr/>
          <w:p>
            <w:pPr>
              <w:pStyle w:val="Compact"/>
              <w:jc w:val="left"/>
            </w:pPr>
            <w:r>
              <w:t xml:space="preserve">AGENTS.md = map, not encyclopedia</w:t>
            </w:r>
          </w:p>
        </w:tc>
        <w:tc>
          <w:tcPr/>
          <w:p>
            <w:pPr>
              <w:pStyle w:val="Compact"/>
              <w:jc w:val="left"/>
            </w:pPr>
            <w:r>
              <w:t xml:space="preserve">~100 lines, acts as table of contents</w:t>
            </w:r>
          </w:p>
        </w:tc>
        <w:tc>
          <w:tcPr/>
          <w:p>
            <w:pPr>
              <w:pStyle w:val="Compact"/>
              <w:jc w:val="left"/>
            </w:pPr>
            <w:r>
              <w:t xml:space="preserve">CLAUDE.md + AGENTS.md + JIT L0-L6 six-layer loading</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Boring technology</w:t>
            </w:r>
            <w:r>
              <w:t xml:space="preserve">”</w:t>
            </w:r>
            <w:r>
              <w:t xml:space="preserve"> </w:t>
            </w:r>
            <w:r>
              <w:t xml:space="preserve">wins</w:t>
            </w:r>
          </w:p>
        </w:tc>
        <w:tc>
          <w:tcPr/>
          <w:p>
            <w:pPr>
              <w:pStyle w:val="Compact"/>
              <w:jc w:val="left"/>
            </w:pPr>
            <w:r>
              <w:t xml:space="preserve">Stable, well-documented tech stacks</w:t>
            </w:r>
          </w:p>
        </w:tc>
        <w:tc>
          <w:tcPr/>
          <w:p>
            <w:pPr>
              <w:pStyle w:val="Compact"/>
              <w:jc w:val="left"/>
            </w:pPr>
            <w:r>
              <w:t xml:space="preserve">Express 4, React 19, PostgreSQL — CLI-first mandate</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quality gates</w:t>
            </w:r>
          </w:p>
        </w:tc>
        <w:tc>
          <w:tcPr/>
          <w:p>
            <w:pPr>
              <w:pStyle w:val="Compact"/>
              <w:jc w:val="left"/>
            </w:pPr>
            <w:r>
              <w:t xml:space="preserve">Automated background scanning + fix PRs</w:t>
            </w:r>
          </w:p>
        </w:tc>
        <w:tc>
          <w:tcPr/>
          <w:p>
            <w:pPr>
              <w:pStyle w:val="Compact"/>
              <w:jc w:val="left"/>
            </w:pPr>
            <w:r>
              <w:t xml:space="preserve">11 standards + Boardy architect persona review</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Mechanical architecture enforcement</w:t>
            </w:r>
          </w:p>
        </w:tc>
        <w:tc>
          <w:tcPr/>
          <w:p>
            <w:pPr>
              <w:pStyle w:val="Compact"/>
              <w:jc w:val="left"/>
            </w:pPr>
            <w:r>
              <w:t xml:space="preserve">Linters with fix instructions in errors</w:t>
            </w:r>
          </w:p>
        </w:tc>
        <w:tc>
          <w:tcPr/>
          <w:p>
            <w:pPr>
              <w:pStyle w:val="Compact"/>
              <w:jc w:val="left"/>
            </w:pPr>
            <w:r>
              <w:t xml:space="preserve">ESLint + security coding rules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Knowledge belongs in the repo</w:t>
            </w:r>
          </w:p>
        </w:tc>
        <w:tc>
          <w:tcPr/>
          <w:p>
            <w:pPr>
              <w:pStyle w:val="Compact"/>
              <w:jc w:val="left"/>
            </w:pPr>
            <w:r>
              <w:t xml:space="preserve">If it’s not in the repo, it doesn’t exist</w:t>
            </w:r>
          </w:p>
        </w:tc>
        <w:tc>
          <w:tcPr/>
          <w:p>
            <w:pPr>
              <w:pStyle w:val="Compact"/>
              <w:jc w:val="left"/>
            </w:pPr>
            <w:r>
              <w:t xml:space="preserve">71 docs + DWS Document Standard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Agent-agent code review</w:t>
            </w:r>
          </w:p>
        </w:tc>
        <w:tc>
          <w:tcPr/>
          <w:p>
            <w:pPr>
              <w:pStyle w:val="Compact"/>
              <w:jc w:val="left"/>
            </w:pPr>
            <w:r>
              <w:t xml:space="preserve">“</w:t>
            </w:r>
            <w:r>
              <w:t xml:space="preserve">Ralph Wiggum Loop</w:t>
            </w:r>
            <w:r>
              <w:t xml:space="preserve">”</w:t>
            </w:r>
            <w:r>
              <w:t xml:space="preserve"> </w:t>
            </w:r>
            <w:r>
              <w:t xml:space="preserve">— self-review cycles</w:t>
            </w:r>
          </w:p>
        </w:tc>
        <w:tc>
          <w:tcPr/>
          <w:p>
            <w:pPr>
              <w:pStyle w:val="Compact"/>
              <w:jc w:val="left"/>
            </w:pPr>
            <w:r>
              <w:t xml:space="preserve">Simplify skill + Boardy + human-in-the-loop</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Compounding returns (build capabilities)</w:t>
            </w:r>
          </w:p>
        </w:tc>
        <w:tc>
          <w:tcPr/>
          <w:p>
            <w:pPr>
              <w:pStyle w:val="Compact"/>
              <w:jc w:val="left"/>
            </w:pPr>
            <w:r>
              <w:t xml:space="preserve">Diagnose missing capability, build into repo</w:t>
            </w:r>
          </w:p>
        </w:tc>
        <w:tc>
          <w:tcPr/>
          <w:p>
            <w:pPr>
              <w:pStyle w:val="Compact"/>
              <w:jc w:val="left"/>
            </w:pPr>
            <w:r>
              <w:t xml:space="preserve">10 skills + 16 agents + MCP Hub + workflow orchestration</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Engineers as environment designers</w:t>
            </w:r>
          </w:p>
        </w:tc>
        <w:tc>
          <w:tcPr/>
          <w:p>
            <w:pPr>
              <w:pStyle w:val="Compact"/>
              <w:jc w:val="left"/>
            </w:pPr>
            <w:r>
              <w:t xml:space="preserve">3.5 PR/engineer/day throughput</w:t>
            </w:r>
          </w:p>
        </w:tc>
        <w:tc>
          <w:tcPr/>
          <w:p>
            <w:pPr>
              <w:pStyle w:val="Compact"/>
              <w:jc w:val="left"/>
            </w:pPr>
            <w:r>
              <w:t xml:space="preserve">Worktree workflow + session handover protocol</w:t>
            </w:r>
          </w:p>
        </w:tc>
        <w:tc>
          <w:tcPr/>
          <w:p>
            <w:pPr>
              <w:pStyle w:val="Compact"/>
              <w:jc w:val="left"/>
            </w:pPr>
            <w:r>
              <w:rPr>
                <w:bCs/>
                <w:b/>
              </w:rPr>
              <w:t xml:space="preserve">80%</w:t>
            </w:r>
          </w:p>
        </w:tc>
      </w:tr>
    </w:tbl>
    <w:p>
      <w:pPr>
        <w:pStyle w:val="BodyText"/>
      </w:pPr>
      <w:r>
        <w:rPr>
          <w:bCs/>
          <w:b/>
        </w:rPr>
        <w:t xml:space="preserve">Overall DWS readiness: ~79%</w:t>
      </w:r>
      <w:r>
        <w:t xml:space="preserve"> </w:t>
      </w:r>
      <w:r>
        <w:t xml:space="preserve">against OpenAI’s harness engineering principles.</w:t>
      </w:r>
    </w:p>
    <w:bookmarkEnd w:id="250"/>
    <w:bookmarkStart w:id="251" w:name="Xc6df8628571b2cbb55601e4b27bc9457d2ada6d"/>
    <w:p>
      <w:pPr>
        <w:pStyle w:val="Heading4"/>
      </w:pPr>
      <w:r>
        <w:t xml:space="preserve">10.16.3 Key Empirical Finding: The Model Does Not Solve — The Harness Does</w:t>
      </w:r>
    </w:p>
    <w:p>
      <w:pPr>
        <w:pStyle w:val="FirstParagraph"/>
      </w:pPr>
      <w:r>
        <w:t xml:space="preserve">The most significant empirical finding from the harness engineering literature:</w:t>
      </w:r>
    </w:p>
    <w:p>
      <w:pPr>
        <w:pStyle w:val="BlockText"/>
      </w:pPr>
      <w:r>
        <w:t xml:space="preserve">The same model (gpt-5.2-codex) improved its benchmark results from</w:t>
      </w:r>
      <w:r>
        <w:t xml:space="preserve"> </w:t>
      </w:r>
      <w:r>
        <w:rPr>
          <w:bCs/>
          <w:b/>
        </w:rPr>
        <w:t xml:space="preserve">52.8% to 66.5%</w:t>
      </w:r>
      <w:r>
        <w:t xml:space="preserve"> </w:t>
      </w:r>
      <w:r>
        <w:t xml:space="preserve">purely through harness improvements (LangChain case). No model change — only system-level improvements.</w:t>
      </w:r>
    </w:p>
    <w:p>
      <w:pPr>
        <w:pStyle w:val="FirstParagraph"/>
      </w:pPr>
      <w:r>
        <w:t xml:space="preserve">This validates DWS IQ 6’s core architectural hypothesis:</w:t>
      </w:r>
      <w:r>
        <w:t xml:space="preserve"> </w:t>
      </w:r>
      <w:r>
        <w:rPr>
          <w:bCs/>
          <w:b/>
        </w:rPr>
        <w:t xml:space="preserve">the system surrounding the model matters more than the model itself.</w:t>
      </w:r>
      <w:r>
        <w:t xml:space="preserve"> </w:t>
      </w:r>
      <w:r>
        <w:t xml:space="preserve">DWS’s six-layer information architecture (L0 Platform Model → L6 Tool Result Injection) is a formalization of this principle.</w:t>
      </w:r>
    </w:p>
    <w:p>
      <w:pPr>
        <w:pStyle w:val="BodyText"/>
      </w:pPr>
      <w:r>
        <w:rPr>
          <w:bCs/>
          <w:b/>
        </w:rPr>
        <w:t xml:space="preserve">Progressive disclosure works empirically:</w:t>
      </w:r>
    </w:p>
    <w:p>
      <w:pPr>
        <w:numPr>
          <w:ilvl w:val="0"/>
          <w:numId w:val="1084"/>
        </w:numPr>
        <w:pStyle w:val="Compact"/>
      </w:pPr>
      <w:r>
        <w:t xml:space="preserve">Cursor achieved</w:t>
      </w:r>
      <w:r>
        <w:t xml:space="preserve"> </w:t>
      </w:r>
      <w:r>
        <w:rPr>
          <w:bCs/>
          <w:b/>
        </w:rPr>
        <w:t xml:space="preserve">46.9% token savings</w:t>
      </w:r>
      <w:r>
        <w:t xml:space="preserve"> </w:t>
      </w:r>
      <w:r>
        <w:t xml:space="preserve">through context management</w:t>
      </w:r>
    </w:p>
    <w:p>
      <w:pPr>
        <w:numPr>
          <w:ilvl w:val="0"/>
          <w:numId w:val="1084"/>
        </w:numPr>
        <w:pStyle w:val="Compact"/>
      </w:pPr>
      <w:r>
        <w:t xml:space="preserve">Vercel reduced context from</w:t>
      </w:r>
      <w:r>
        <w:t xml:space="preserve"> </w:t>
      </w:r>
      <w:r>
        <w:rPr>
          <w:bCs/>
          <w:b/>
        </w:rPr>
        <w:t xml:space="preserve">145K → 67K tokens</w:t>
      </w:r>
      <w:r>
        <w:t xml:space="preserve"> </w:t>
      </w:r>
      <w:r>
        <w:t xml:space="preserve">with JIT loading</w:t>
      </w:r>
    </w:p>
    <w:p>
      <w:pPr>
        <w:numPr>
          <w:ilvl w:val="0"/>
          <w:numId w:val="1084"/>
        </w:numPr>
        <w:pStyle w:val="Compact"/>
      </w:pPr>
      <w:r>
        <w:t xml:space="preserve">DWS’s L6 Tool Injection layer (system-reminder after every tool call) shows</w:t>
      </w:r>
      <w:r>
        <w:t xml:space="preserve"> </w:t>
      </w:r>
      <w:r>
        <w:rPr>
          <w:bCs/>
          <w:b/>
        </w:rPr>
        <w:t xml:space="preserve">15-47% better rule compliance</w:t>
      </w:r>
      <w:r>
        <w:t xml:space="preserve"> </w:t>
      </w:r>
      <w:r>
        <w:t xml:space="preserve">than system prompt alone</w:t>
      </w:r>
    </w:p>
    <w:bookmarkEnd w:id="251"/>
    <w:bookmarkStart w:id="252" w:name="Xf666f6993e79c7df4aabd9e96a7a6903c175526"/>
    <w:p>
      <w:pPr>
        <w:pStyle w:val="Heading4"/>
      </w:pPr>
      <w:r>
        <w:t xml:space="preserve">10.16.4 DWS Six-Layer Architecture (L0-L6) as Harness Formalization</w:t>
      </w:r>
    </w:p>
    <w:p>
      <w:pPr>
        <w:pStyle w:val="FirstParagraph"/>
      </w:pPr>
      <w:r>
        <w:t xml:space="preserve">DWS IQ 6 has independently developed a six-layer information architecture that formalizes the harness concept:</w:t>
      </w:r>
    </w:p>
    <w:tbl>
      <w:tblPr>
        <w:tblStyle w:val="Table"/>
        <w:tblW w:type="pct" w:w="5000"/>
        <w:tblLook w:firstRow="1" w:lastRow="0" w:firstColumn="0" w:lastColumn="0" w:noHBand="0" w:noVBand="0" w:val="0020"/>
        <w:jc w:val="start"/>
      </w:tblPr>
      <w:tblGrid>
        <w:gridCol w:w="528"/>
        <w:gridCol w:w="1848"/>
        <w:gridCol w:w="3520"/>
        <w:gridCol w:w="2023"/>
      </w:tblGrid>
      <w:tr>
        <w:trPr>
          <w:tblHeader w:val="true"/>
        </w:trPr>
        <w:tc>
          <w:tcPr/>
          <w:p>
            <w:pPr>
              <w:pStyle w:val="Compact"/>
              <w:jc w:val="left"/>
            </w:pPr>
            <w:r>
              <w:t xml:space="preserve">Layer</w:t>
            </w:r>
          </w:p>
        </w:tc>
        <w:tc>
          <w:tcPr/>
          <w:p>
            <w:pPr>
              <w:pStyle w:val="Compact"/>
              <w:jc w:val="left"/>
            </w:pPr>
            <w:r>
              <w:t xml:space="preserve">Name</w:t>
            </w:r>
          </w:p>
        </w:tc>
        <w:tc>
          <w:tcPr/>
          <w:p>
            <w:pPr>
              <w:pStyle w:val="Compact"/>
              <w:jc w:val="left"/>
            </w:pPr>
            <w:r>
              <w:t xml:space="preserve">Function</w:t>
            </w:r>
          </w:p>
        </w:tc>
        <w:tc>
          <w:tcPr/>
          <w:p>
            <w:pPr>
              <w:pStyle w:val="Compact"/>
              <w:jc w:val="left"/>
            </w:pPr>
            <w:r>
              <w:t xml:space="preserve">OpenAI Equivalent</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Base LLM capabilities</w:t>
            </w:r>
          </w:p>
        </w:tc>
        <w:tc>
          <w:tcPr/>
          <w:p>
            <w:pPr>
              <w:pStyle w:val="Compact"/>
              <w:jc w:val="left"/>
            </w:pPr>
            <w:r>
              <w:t xml:space="preserve">Implicit (Codex model)</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Session-level instructions</w:t>
            </w:r>
          </w:p>
        </w:tc>
        <w:tc>
          <w:tcPr/>
          <w:p>
            <w:pPr>
              <w:pStyle w:val="Compact"/>
              <w:jc w:val="left"/>
            </w:pPr>
            <w:r>
              <w:t xml:space="preserve">AGENTS.md injection</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On-demand standard loading</w:t>
            </w:r>
          </w:p>
        </w:tc>
        <w:tc>
          <w:tcPr/>
          <w:p>
            <w:pPr>
              <w:pStyle w:val="Compact"/>
              <w:jc w:val="left"/>
            </w:pPr>
            <w:r>
              <w:t xml:space="preserve">docs/ folder references</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Current task specification</w:t>
            </w:r>
          </w:p>
        </w:tc>
        <w:tc>
          <w:tcPr/>
          <w:p>
            <w:pPr>
              <w:pStyle w:val="Compact"/>
              <w:jc w:val="left"/>
            </w:pPr>
            <w:r>
              <w:t xml:space="preserve">PR description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Persistent memory (Supabase + MEMORY.md)</w:t>
            </w:r>
          </w:p>
        </w:tc>
        <w:tc>
          <w:tcPr/>
          <w:p>
            <w:pPr>
              <w:pStyle w:val="Compact"/>
              <w:jc w:val="left"/>
            </w:pPr>
            <w:r>
              <w:t xml:space="preserve">Not described by OpenAI</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Output from tool executions</w:t>
            </w:r>
          </w:p>
        </w:tc>
        <w:tc>
          <w:tcPr/>
          <w:p>
            <w:pPr>
              <w:pStyle w:val="Compact"/>
              <w:jc w:val="left"/>
            </w:pPr>
            <w:r>
              <w:t xml:space="preserve">Agent loop tool calls</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System reminders after each tool call</w:t>
            </w:r>
          </w:p>
        </w:tc>
        <w:tc>
          <w:tcPr/>
          <w:p>
            <w:pPr>
              <w:pStyle w:val="Compact"/>
              <w:jc w:val="left"/>
            </w:pPr>
            <w:r>
              <w:t xml:space="preserve">Not described by OpenAI</w:t>
            </w:r>
          </w:p>
        </w:tc>
      </w:tr>
    </w:tbl>
    <w:p>
      <w:pPr>
        <w:pStyle w:val="BodyText"/>
      </w:pPr>
      <w:r>
        <w:rPr>
          <w:bCs/>
          <w:b/>
        </w:rPr>
        <w:t xml:space="preserve">DWS innovations beyond OpenAI:</w:t>
      </w:r>
    </w:p>
    <w:p>
      <w:pPr>
        <w:numPr>
          <w:ilvl w:val="0"/>
          <w:numId w:val="1085"/>
        </w:numPr>
        <w:pStyle w:val="Compact"/>
      </w:pPr>
      <w:r>
        <w:rPr>
          <w:bCs/>
          <w:b/>
        </w:rPr>
        <w:t xml:space="preserve">L4 Auto-Learned State:</w:t>
      </w:r>
      <w:r>
        <w:t xml:space="preserve"> </w:t>
      </w:r>
      <w:r>
        <w:t xml:space="preserve">Agents learn across sessions via persistent memory — OpenAI does not describe equivalent capability</w:t>
      </w:r>
    </w:p>
    <w:p>
      <w:pPr>
        <w:numPr>
          <w:ilvl w:val="0"/>
          <w:numId w:val="1085"/>
        </w:numPr>
        <w:pStyle w:val="Compact"/>
      </w:pPr>
      <w:r>
        <w:rPr>
          <w:bCs/>
          <w:b/>
        </w:rPr>
        <w:t xml:space="preserve">L6 Tool Result Injection:</w:t>
      </w:r>
      <w:r>
        <w:t xml:space="preserve"> </w:t>
      </w:r>
      <w:r>
        <w:t xml:space="preserve">System reminders injected after every tool call, achieving 15-47% better standard compliance than prompt-only approaches</w:t>
      </w:r>
    </w:p>
    <w:p>
      <w:pPr>
        <w:numPr>
          <w:ilvl w:val="0"/>
          <w:numId w:val="1085"/>
        </w:numPr>
        <w:pStyle w:val="Compact"/>
      </w:pPr>
      <w:r>
        <w:rPr>
          <w:bCs/>
          <w:b/>
        </w:rPr>
        <w:t xml:space="preserve">12 Factor Agents compliance:</w:t>
      </w:r>
      <w:r>
        <w:t xml:space="preserve"> </w:t>
      </w:r>
      <w:r>
        <w:t xml:space="preserve">DWS documents 12/12 compliance with the 12 Factor Agents framework — OpenAI does not reference this</w:t>
      </w:r>
    </w:p>
    <w:bookmarkEnd w:id="252"/>
    <w:bookmarkStart w:id="253" w:name="Xa4ecf34a84c62df551e3b9b908aff279ac32601"/>
    <w:p>
      <w:pPr>
        <w:pStyle w:val="Heading4"/>
      </w:pPr>
      <w:r>
        <w:t xml:space="preserve">10.16.5 EU Regulation Requires a Different Harness</w:t>
      </w:r>
    </w:p>
    <w:p>
      <w:pPr>
        <w:pStyle w:val="FirstParagraph"/>
      </w:pPr>
      <w:r>
        <w:t xml:space="preserve">The most significant divergence between OpenAI and DWS approaches stems from regulatory context:</w:t>
      </w:r>
    </w:p>
    <w:tbl>
      <w:tblPr>
        <w:tblStyle w:val="Table"/>
        <w:tblW w:type="pct" w:w="5000"/>
        <w:tblLook w:firstRow="1" w:lastRow="0" w:firstColumn="0" w:lastColumn="0" w:noHBand="0" w:noVBand="0" w:val="0020"/>
        <w:jc w:val="start"/>
      </w:tblPr>
      <w:tblGrid>
        <w:gridCol w:w="1493"/>
        <w:gridCol w:w="2337"/>
        <w:gridCol w:w="4089"/>
      </w:tblGrid>
      <w:tr>
        <w:trPr>
          <w:tblHeader w:val="true"/>
        </w:trPr>
        <w:tc>
          <w:tcPr/>
          <w:p>
            <w:pPr>
              <w:pStyle w:val="Compact"/>
              <w:jc w:val="left"/>
            </w:pPr>
            <w:r>
              <w:t xml:space="preserve">Dimension</w:t>
            </w:r>
          </w:p>
        </w:tc>
        <w:tc>
          <w:tcPr/>
          <w:p>
            <w:pPr>
              <w:pStyle w:val="Compact"/>
              <w:jc w:val="left"/>
            </w:pPr>
            <w:r>
              <w:t xml:space="preserve">OpenAI (Silicon Valley)</w:t>
            </w:r>
          </w:p>
        </w:tc>
        <w:tc>
          <w:tcPr/>
          <w:p>
            <w:pPr>
              <w:pStyle w:val="Compact"/>
              <w:jc w:val="left"/>
            </w:pPr>
            <w:r>
              <w:t xml:space="preserve">DWS IQ 6 (EU-regulated)</w:t>
            </w:r>
          </w:p>
        </w:tc>
      </w:tr>
      <w:tr>
        <w:tc>
          <w:tcPr/>
          <w:p>
            <w:pPr>
              <w:pStyle w:val="Compact"/>
              <w:jc w:val="left"/>
            </w:pPr>
            <w:r>
              <w:rPr>
                <w:bCs/>
                <w:b/>
              </w:rPr>
              <w:t xml:space="preserve">Optimization target</w:t>
            </w:r>
          </w:p>
        </w:tc>
        <w:tc>
          <w:tcPr/>
          <w:p>
            <w:pPr>
              <w:pStyle w:val="Compact"/>
              <w:jc w:val="left"/>
            </w:pPr>
            <w:r>
              <w:t xml:space="preserve">Speed (3.5 PR/engineer/day)</w:t>
            </w:r>
          </w:p>
        </w:tc>
        <w:tc>
          <w:tcPr/>
          <w:p>
            <w:pPr>
              <w:pStyle w:val="Compact"/>
              <w:jc w:val="left"/>
            </w:pPr>
            <w:r>
              <w:t xml:space="preserve">Traceability, auditability, human-in-the-loop</w:t>
            </w:r>
          </w:p>
        </w:tc>
      </w:tr>
      <w:tr>
        <w:tc>
          <w:tcPr/>
          <w:p>
            <w:pPr>
              <w:pStyle w:val="Compact"/>
              <w:jc w:val="left"/>
            </w:pPr>
            <w:r>
              <w:rPr>
                <w:bCs/>
                <w:b/>
              </w:rPr>
              <w:t xml:space="preserve">Autonomy level</w:t>
            </w:r>
          </w:p>
        </w:tc>
        <w:tc>
          <w:tcPr/>
          <w:p>
            <w:pPr>
              <w:pStyle w:val="Compact"/>
              <w:jc w:val="left"/>
            </w:pPr>
            <w:r>
              <w:t xml:space="preserve">Near-full agent autonomy</w:t>
            </w:r>
          </w:p>
        </w:tc>
        <w:tc>
          <w:tcPr/>
          <w:p>
            <w:pPr>
              <w:pStyle w:val="Compact"/>
              <w:jc w:val="left"/>
            </w:pPr>
            <w:r>
              <w:t xml:space="preserve">Human remains final approver (Karpathy principles)</w:t>
            </w:r>
          </w:p>
        </w:tc>
      </w:tr>
      <w:tr>
        <w:tc>
          <w:tcPr/>
          <w:p>
            <w:pPr>
              <w:pStyle w:val="Compact"/>
              <w:jc w:val="left"/>
            </w:pPr>
            <w:r>
              <w:rPr>
                <w:bCs/>
                <w:b/>
              </w:rPr>
              <w:t xml:space="preserve">Code review</w:t>
            </w:r>
          </w:p>
        </w:tc>
        <w:tc>
          <w:tcPr/>
          <w:p>
            <w:pPr>
              <w:pStyle w:val="Compact"/>
              <w:jc w:val="left"/>
            </w:pPr>
            <w:r>
              <w:t xml:space="preserve">Agent-agent only (Ralph Wiggum Loop)</w:t>
            </w:r>
          </w:p>
        </w:tc>
        <w:tc>
          <w:tcPr/>
          <w:p>
            <w:pPr>
              <w:pStyle w:val="Compact"/>
              <w:jc w:val="left"/>
            </w:pPr>
            <w:r>
              <w:t xml:space="preserve">Agent pre-review + human final approval</w:t>
            </w:r>
          </w:p>
        </w:tc>
      </w:tr>
      <w:tr>
        <w:tc>
          <w:tcPr/>
          <w:p>
            <w:pPr>
              <w:pStyle w:val="Compact"/>
              <w:jc w:val="left"/>
            </w:pPr>
            <w:r>
              <w:rPr>
                <w:bCs/>
                <w:b/>
              </w:rPr>
              <w:t xml:space="preserve">Audit trail</w:t>
            </w:r>
          </w:p>
        </w:tc>
        <w:tc>
          <w:tcPr/>
          <w:p>
            <w:pPr>
              <w:pStyle w:val="Compact"/>
              <w:jc w:val="left"/>
            </w:pPr>
            <w:r>
              <w:t xml:space="preserve">Not described</w:t>
            </w:r>
          </w:p>
        </w:tc>
        <w:tc>
          <w:tcPr/>
          <w:p>
            <w:pPr>
              <w:pStyle w:val="Compact"/>
              <w:jc w:val="left"/>
            </w:pPr>
            <w:r>
              <w:t xml:space="preserve">VERSION AND AGENT HISTORY in every document, court-defensible</w:t>
            </w:r>
          </w:p>
        </w:tc>
      </w:tr>
      <w:tr>
        <w:tc>
          <w:tcPr/>
          <w:p>
            <w:pPr>
              <w:pStyle w:val="Compact"/>
              <w:jc w:val="left"/>
            </w:pPr>
            <w:r>
              <w:rPr>
                <w:bCs/>
                <w:b/>
              </w:rPr>
              <w:t xml:space="preserve">Data residency</w:t>
            </w:r>
          </w:p>
        </w:tc>
        <w:tc>
          <w:tcPr/>
          <w:p>
            <w:pPr>
              <w:pStyle w:val="Compact"/>
              <w:jc w:val="left"/>
            </w:pPr>
            <w:r>
              <w:t xml:space="preserve">US-centric</w:t>
            </w:r>
          </w:p>
        </w:tc>
        <w:tc>
          <w:tcPr/>
          <w:p>
            <w:pPr>
              <w:pStyle w:val="Compact"/>
              <w:jc w:val="left"/>
            </w:pPr>
            <w:r>
              <w:t xml:space="preserve">EU data residency (Finland/Germany), GDPR, EU AI Act</w:t>
            </w:r>
          </w:p>
        </w:tc>
      </w:tr>
      <w:tr>
        <w:tc>
          <w:tcPr/>
          <w:p>
            <w:pPr>
              <w:pStyle w:val="Compact"/>
              <w:jc w:val="left"/>
            </w:pPr>
            <w:r>
              <w:rPr>
                <w:bCs/>
                <w:b/>
              </w:rPr>
              <w:t xml:space="preserve">Industries served</w:t>
            </w:r>
          </w:p>
        </w:tc>
        <w:tc>
          <w:tcPr/>
          <w:p>
            <w:pPr>
              <w:pStyle w:val="Compact"/>
              <w:jc w:val="left"/>
            </w:pPr>
            <w:r>
              <w:t xml:space="preserve">Internal tooling</w:t>
            </w:r>
          </w:p>
        </w:tc>
        <w:tc>
          <w:tcPr/>
          <w:p>
            <w:pPr>
              <w:pStyle w:val="Compact"/>
              <w:jc w:val="left"/>
            </w:pPr>
            <w:r>
              <w:t xml:space="preserve">20 EU-regulated industries (construction, energy, chemicals…)</w:t>
            </w:r>
          </w:p>
        </w:tc>
      </w:tr>
    </w:tbl>
    <w:p>
      <w:pPr>
        <w:pStyle w:val="BodyText"/>
      </w:pPr>
      <w:r>
        <w:rPr>
          <w:bCs/>
          <w:b/>
        </w:rPr>
        <w:t xml:space="preserve">Thesis argument:</w:t>
      </w:r>
      <w:r>
        <w:t xml:space="preserve"> </w:t>
      </w:r>
      <w:r>
        <w:t xml:space="preserve">Both approaches are valid, but for different contexts. OpenAI optimizes for velocity in an unregulated internal environment. DWS optimizes for compliance, traceability, and trust in EU-regulated industries where autonomous agent decisions carry legal liability.</w:t>
      </w:r>
    </w:p>
    <w:p>
      <w:pPr>
        <w:pStyle w:val="BodyText"/>
      </w:pPr>
      <w:r>
        <w:t xml:space="preserve">The EU AI Act (effective August 2026) explicitly requires:</w:t>
      </w:r>
    </w:p>
    <w:p>
      <w:pPr>
        <w:numPr>
          <w:ilvl w:val="0"/>
          <w:numId w:val="1086"/>
        </w:numPr>
        <w:pStyle w:val="Compact"/>
      </w:pPr>
      <w:r>
        <w:rPr>
          <w:bCs/>
          <w:b/>
        </w:rPr>
        <w:t xml:space="preserve">Article 12:</w:t>
      </w:r>
      <w:r>
        <w:t xml:space="preserve"> </w:t>
      </w:r>
      <w:r>
        <w:t xml:space="preserve">Logging of AI system operations for at least 7 years</w:t>
      </w:r>
    </w:p>
    <w:p>
      <w:pPr>
        <w:numPr>
          <w:ilvl w:val="0"/>
          <w:numId w:val="1086"/>
        </w:numPr>
        <w:pStyle w:val="Compact"/>
      </w:pPr>
      <w:r>
        <w:rPr>
          <w:bCs/>
          <w:b/>
        </w:rPr>
        <w:t xml:space="preserve">Article 14:</w:t>
      </w:r>
      <w:r>
        <w:t xml:space="preserve"> </w:t>
      </w:r>
      <w:r>
        <w:t xml:space="preserve">Human oversight of high-risk AI systems</w:t>
      </w:r>
    </w:p>
    <w:p>
      <w:pPr>
        <w:numPr>
          <w:ilvl w:val="0"/>
          <w:numId w:val="1086"/>
        </w:numPr>
        <w:pStyle w:val="Compact"/>
      </w:pPr>
      <w:r>
        <w:rPr>
          <w:bCs/>
          <w:b/>
        </w:rPr>
        <w:t xml:space="preserve">Article 15:</w:t>
      </w:r>
      <w:r>
        <w:t xml:space="preserve"> </w:t>
      </w:r>
      <w:r>
        <w:t xml:space="preserve">Accuracy, robustness, and cybersecurity requirements</w:t>
      </w:r>
    </w:p>
    <w:p>
      <w:pPr>
        <w:pStyle w:val="FirstParagraph"/>
      </w:pPr>
      <w:r>
        <w:t xml:space="preserve">These requirements make OpenAI’s</w:t>
      </w:r>
      <w:r>
        <w:t xml:space="preserve"> </w:t>
      </w:r>
      <w:r>
        <w:t xml:space="preserve">“</w:t>
      </w:r>
      <w:r>
        <w:t xml:space="preserve">full autonomy</w:t>
      </w:r>
      <w:r>
        <w:t xml:space="preserve">”</w:t>
      </w:r>
      <w:r>
        <w:t xml:space="preserve"> </w:t>
      </w:r>
      <w:r>
        <w:t xml:space="preserve">model non-compliant for high-risk applications in EU-regulated industries. DWS’s human-in-the-loop harness is not a limitation — it is an architectural response to regulatory requirements.</w:t>
      </w:r>
    </w:p>
    <w:bookmarkEnd w:id="253"/>
    <w:bookmarkStart w:id="254" w:name="open-research-questions"/>
    <w:p>
      <w:pPr>
        <w:pStyle w:val="Heading4"/>
      </w:pPr>
      <w:r>
        <w:t xml:space="preserve">10.16.6 Open Research Questions</w:t>
      </w:r>
    </w:p>
    <w:p>
      <w:pPr>
        <w:numPr>
          <w:ilvl w:val="0"/>
          <w:numId w:val="1087"/>
        </w:numPr>
      </w:pPr>
      <w:r>
        <w:rPr>
          <w:bCs/>
          <w:b/>
        </w:rPr>
        <w:t xml:space="preserve">Does the harness model scale to EU-regulated industries?</w:t>
      </w:r>
      <w:r>
        <w:t xml:space="preserve"> </w:t>
      </w:r>
      <w:r>
        <w:t xml:space="preserve">OpenAI’s case is internal tooling without regulatory requirements. DWS operates across 20 regulated industries — empirical validation is ongoing.</w:t>
      </w:r>
    </w:p>
    <w:p>
      <w:pPr>
        <w:numPr>
          <w:ilvl w:val="0"/>
          <w:numId w:val="1087"/>
        </w:numPr>
      </w:pPr>
      <w:r>
        <w:rPr>
          <w:bCs/>
          <w:b/>
        </w:rPr>
        <w:t xml:space="preserve">What is the optimal autonomy level?</w:t>
      </w:r>
      <w:r>
        <w:t xml:space="preserve"> </w:t>
      </w:r>
      <w:r>
        <w:t xml:space="preserve">OpenAI: near-full autonomy. DWS: human-in-the-loop. Which produces better outcomes in regulated contexts?</w:t>
      </w:r>
    </w:p>
    <w:p>
      <w:pPr>
        <w:numPr>
          <w:ilvl w:val="0"/>
          <w:numId w:val="1087"/>
        </w:numPr>
      </w:pPr>
      <w:r>
        <w:rPr>
          <w:bCs/>
          <w:b/>
        </w:rPr>
        <w:t xml:space="preserve">Is the six-layer context architecture generalizable?</w:t>
      </w:r>
      <w:r>
        <w:t xml:space="preserve"> </w:t>
      </w:r>
      <w:r>
        <w:t xml:space="preserve">DWS’s L0-L6 model is specific to its standards ecosystem, but the principles may be universal.</w:t>
      </w:r>
    </w:p>
    <w:p>
      <w:pPr>
        <w:numPr>
          <w:ilvl w:val="0"/>
          <w:numId w:val="1087"/>
        </w:numPr>
      </w:pPr>
      <w:r>
        <w:rPr>
          <w:bCs/>
          <w:b/>
        </w:rPr>
        <w:t xml:space="preserve">Verification gap:</w:t>
      </w:r>
      <w:r>
        <w:t xml:space="preserve"> </w:t>
      </w:r>
      <w:r>
        <w:t xml:space="preserve">Martin Fowler noted that OpenAI’s article lacks behavioral verification — how does the harness ensure generated code does the right thing, not just compiles?</w:t>
      </w:r>
    </w:p>
    <w:bookmarkEnd w:id="254"/>
    <w:bookmarkStart w:id="255" w:name="research-contribution-7"/>
    <w:p>
      <w:pPr>
        <w:pStyle w:val="Heading4"/>
      </w:pPr>
      <w:r>
        <w:t xml:space="preserve">10.16.7 Research Contribution</w:t>
      </w:r>
    </w:p>
    <w:p>
      <w:pPr>
        <w:pStyle w:val="FirstParagraph"/>
      </w:pPr>
      <w:r>
        <w:t xml:space="preserve">This section contributes three findings to the harness engineering discourse:</w:t>
      </w:r>
    </w:p>
    <w:p>
      <w:pPr>
        <w:numPr>
          <w:ilvl w:val="0"/>
          <w:numId w:val="1088"/>
        </w:numPr>
      </w:pPr>
      <w:r>
        <w:rPr>
          <w:bCs/>
          <w:b/>
        </w:rPr>
        <w:t xml:space="preserve">Formalization:</w:t>
      </w:r>
      <w:r>
        <w:t xml:space="preserve"> </w:t>
      </w:r>
      <w:r>
        <w:t xml:space="preserve">DWS’s L0-L6 six-layer architecture provides a formal framework for what OpenAI describes informally. This makes harness design reproducible and auditable.</w:t>
      </w:r>
    </w:p>
    <w:p>
      <w:pPr>
        <w:numPr>
          <w:ilvl w:val="0"/>
          <w:numId w:val="1088"/>
        </w:numPr>
      </w:pPr>
      <w:r>
        <w:rPr>
          <w:bCs/>
          <w:b/>
        </w:rPr>
        <w:t xml:space="preserve">Regulatory divergence:</w:t>
      </w:r>
      <w:r>
        <w:t xml:space="preserve"> </w:t>
      </w:r>
      <w:r>
        <w:t xml:space="preserve">EU-regulated industries require fundamentally different harness design — prioritizing traceability and human oversight over speed. This is not a weakness but an architectural constraint analogous to how Aiven’s extension whitelist drives database architecture (Section 10.15).</w:t>
      </w:r>
    </w:p>
    <w:p>
      <w:pPr>
        <w:numPr>
          <w:ilvl w:val="0"/>
          <w:numId w:val="1088"/>
        </w:numPr>
      </w:pPr>
      <w:r>
        <w:rPr>
          <w:bCs/>
          <w:b/>
        </w:rPr>
        <w:t xml:space="preserve">Empirical confirmation:</w:t>
      </w:r>
      <w:r>
        <w:t xml:space="preserve"> </w:t>
      </w:r>
      <w:r>
        <w:t xml:space="preserve">The 52.8% → 66.5% improvement from harness alone (not model change) validates DWS’s investment in system architecture over model selection. The six-layer architecture, DWS Document Standard, and progressive disclosure are all harness engineering practices developed independently before OpenAI published its findings.</w:t>
      </w:r>
    </w:p>
    <w:bookmarkEnd w:id="255"/>
    <w:bookmarkEnd w:id="256"/>
    <w:bookmarkStart w:id="263" w:name="X82c3cb5b3f96223a00cb9a57ff5ba43a4ef193f"/>
    <w:p>
      <w:pPr>
        <w:pStyle w:val="Heading3"/>
      </w:pPr>
      <w:r>
        <w:t xml:space="preserve">10.17 Conclusion: The Carbon Balance Sheet as Compliance Infrastructure</w:t>
      </w:r>
    </w:p>
    <w:bookmarkStart w:id="257" w:name="from-reporting-to-reconciliation"/>
    <w:p>
      <w:pPr>
        <w:pStyle w:val="Heading4"/>
      </w:pPr>
      <w:r>
        <w:t xml:space="preserve">10.17.1 From Reporting to Reconciliation</w:t>
      </w:r>
    </w:p>
    <w:p>
      <w:pPr>
        <w:pStyle w:val="FirstParagraph"/>
      </w:pPr>
      <w:r>
        <w:t xml:space="preserve">The central finding of this thesis is that EU climate compliance across ETS, CBAM, CSRD, and the EU Taxonomy is not a reporting problem — it is a</w:t>
      </w:r>
      <w:r>
        <w:t xml:space="preserve"> </w:t>
      </w:r>
      <w:r>
        <w:rPr>
          <w:bCs/>
          <w:b/>
        </w:rPr>
        <w:t xml:space="preserve">ledger problem</w:t>
      </w:r>
      <w:r>
        <w:t xml:space="preserve">. The same tonne of CO2e that appears as an ETS surrender debit for a steel mill becomes a CBAM embedded emission for the importer, becomes a CSRD Scope 3 upstream disclosure for the construction company, and determines their Taxonomy alignment. Four regulatory touchpoints, one physical quantity.</w:t>
      </w:r>
    </w:p>
    <w:p>
      <w:pPr>
        <w:pStyle w:val="BodyText"/>
      </w:pPr>
      <w:r>
        <w:t xml:space="preserve">Current compliance tools treat each regulation as an independent reporting workflow. This produces duplicated data entry, inconsistent emission factors, and no reconciliation between related obligations. The result: enterprises report the same carbon event differently across regulations, auditors cannot cross-verify, and Scope 3 estimates carry ±40% uncertainty because they rely on spend-based proxies rather than transaction-verified data.</w:t>
      </w:r>
    </w:p>
    <w:bookmarkEnd w:id="257"/>
    <w:bookmarkStart w:id="258" w:name="double-entry-bookkeeping-for-co2"/>
    <w:p>
      <w:pPr>
        <w:pStyle w:val="Heading4"/>
      </w:pPr>
      <w:r>
        <w:t xml:space="preserve">10.17.2 Double-Entry Bookkeeping for CO2</w:t>
      </w:r>
    </w:p>
    <w:p>
      <w:pPr>
        <w:pStyle w:val="FirstParagraph"/>
      </w:pPr>
      <w:r>
        <w:t xml:space="preserve">This thesis proposes that carbon compliance requires the same architectural solution that financial accounting adopted centuries ago:</w:t>
      </w:r>
      <w:r>
        <w:t xml:space="preserve"> </w:t>
      </w:r>
      <w:r>
        <w:rPr>
          <w:bCs/>
          <w:b/>
        </w:rPr>
        <w:t xml:space="preserve">double-entry bookkeeping</w:t>
      </w:r>
      <w:r>
        <w:t xml:space="preserve">. Every compliance event produces a journal entry — debit or credit — in dual units (EUR and tCO2e):</w:t>
      </w:r>
    </w:p>
    <w:tbl>
      <w:tblPr>
        <w:tblStyle w:val="Table"/>
        <w:tblW w:type="pct" w:w="5000"/>
        <w:tblLook w:firstRow="1" w:lastRow="0" w:firstColumn="0" w:lastColumn="0" w:noHBand="0" w:noVBand="0" w:val="0020"/>
        <w:jc w:val="start"/>
      </w:tblPr>
      <w:tblGrid>
        <w:gridCol w:w="2383"/>
        <w:gridCol w:w="1752"/>
        <w:gridCol w:w="2383"/>
        <w:gridCol w:w="1401"/>
      </w:tblGrid>
      <w:tr>
        <w:trPr>
          <w:tblHeader w:val="true"/>
        </w:trPr>
        <w:tc>
          <w:tcPr/>
          <w:p>
            <w:pPr>
              <w:pStyle w:val="Compact"/>
              <w:jc w:val="left"/>
            </w:pPr>
            <w:r>
              <w:t xml:space="preserve">Compliance Event</w:t>
            </w:r>
          </w:p>
        </w:tc>
        <w:tc>
          <w:tcPr/>
          <w:p>
            <w:pPr>
              <w:pStyle w:val="Compact"/>
              <w:jc w:val="left"/>
            </w:pPr>
            <w:r>
              <w:t xml:space="preserve">Debit (liability)</w:t>
            </w:r>
          </w:p>
        </w:tc>
        <w:tc>
          <w:tcPr/>
          <w:p>
            <w:pPr>
              <w:pStyle w:val="Compact"/>
              <w:jc w:val="left"/>
            </w:pPr>
            <w:r>
              <w:t xml:space="preserve">Credit (asset)</w:t>
            </w:r>
          </w:p>
        </w:tc>
        <w:tc>
          <w:tcPr/>
          <w:p>
            <w:pPr>
              <w:pStyle w:val="Compact"/>
              <w:jc w:val="left"/>
            </w:pPr>
            <w:r>
              <w:t xml:space="preserve">Regulation</w:t>
            </w:r>
          </w:p>
        </w:tc>
      </w:tr>
      <w:tr>
        <w:tc>
          <w:tcPr/>
          <w:p>
            <w:pPr>
              <w:pStyle w:val="Compact"/>
              <w:jc w:val="left"/>
            </w:pPr>
            <w:r>
              <w:t xml:space="preserve">ETS allowance surrender</w:t>
            </w:r>
          </w:p>
        </w:tc>
        <w:tc>
          <w:tcPr/>
          <w:p>
            <w:pPr>
              <w:pStyle w:val="Compact"/>
              <w:jc w:val="left"/>
            </w:pPr>
            <w:r>
              <w:t xml:space="preserve">tCO2e emitted + EUR cost</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Free allocation received</w:t>
            </w:r>
          </w:p>
        </w:tc>
        <w:tc>
          <w:tcPr/>
          <w:p>
            <w:pPr>
              <w:pStyle w:val="Compact"/>
              <w:jc w:val="left"/>
            </w:pPr>
            <w:r>
              <w:t xml:space="preserve">—</w:t>
            </w:r>
          </w:p>
        </w:tc>
        <w:tc>
          <w:tcPr/>
          <w:p>
            <w:pPr>
              <w:pStyle w:val="Compact"/>
              <w:jc w:val="left"/>
            </w:pPr>
            <w:r>
              <w:t xml:space="preserve">tCO2e allocated</w:t>
            </w:r>
          </w:p>
        </w:tc>
        <w:tc>
          <w:tcPr/>
          <w:p>
            <w:pPr>
              <w:pStyle w:val="Compact"/>
              <w:jc w:val="left"/>
            </w:pPr>
            <w:r>
              <w:t xml:space="preserve">EU ETS</w:t>
            </w:r>
          </w:p>
        </w:tc>
      </w:tr>
      <w:tr>
        <w:tc>
          <w:tcPr/>
          <w:p>
            <w:pPr>
              <w:pStyle w:val="Compact"/>
              <w:jc w:val="left"/>
            </w:pPr>
            <w:r>
              <w:t xml:space="preserve">CBAM certificate purchase</w:t>
            </w:r>
          </w:p>
        </w:tc>
        <w:tc>
          <w:tcPr/>
          <w:p>
            <w:pPr>
              <w:pStyle w:val="Compact"/>
              <w:jc w:val="left"/>
            </w:pPr>
            <w:r>
              <w:t xml:space="preserve">EUR paid + tCO2e imported</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 origin carbon price deduction</w:t>
            </w:r>
          </w:p>
        </w:tc>
        <w:tc>
          <w:tcPr/>
          <w:p>
            <w:pPr>
              <w:pStyle w:val="Compact"/>
              <w:jc w:val="left"/>
            </w:pPr>
            <w:r>
              <w:t xml:space="preserve">—</w:t>
            </w:r>
          </w:p>
        </w:tc>
        <w:tc>
          <w:tcPr/>
          <w:p>
            <w:pPr>
              <w:pStyle w:val="Compact"/>
              <w:jc w:val="left"/>
            </w:pPr>
            <w:r>
              <w:t xml:space="preserve">EUR already paid in origin country</w:t>
            </w:r>
          </w:p>
        </w:tc>
        <w:tc>
          <w:tcPr/>
          <w:p>
            <w:pPr>
              <w:pStyle w:val="Compact"/>
              <w:jc w:val="left"/>
            </w:pPr>
            <w:r>
              <w:t xml:space="preserve">CBAM</w:t>
            </w:r>
          </w:p>
        </w:tc>
      </w:tr>
      <w:tr>
        <w:tc>
          <w:tcPr/>
          <w:p>
            <w:pPr>
              <w:pStyle w:val="Compact"/>
              <w:jc w:val="left"/>
            </w:pPr>
            <w:r>
              <w:t xml:space="preserve">Verified offset retirement</w:t>
            </w:r>
          </w:p>
        </w:tc>
        <w:tc>
          <w:tcPr/>
          <w:p>
            <w:pPr>
              <w:pStyle w:val="Compact"/>
              <w:jc w:val="left"/>
            </w:pPr>
            <w:r>
              <w:t xml:space="preserve">—</w:t>
            </w:r>
          </w:p>
        </w:tc>
        <w:tc>
          <w:tcPr/>
          <w:p>
            <w:pPr>
              <w:pStyle w:val="Compact"/>
              <w:jc w:val="left"/>
            </w:pPr>
            <w:r>
              <w:t xml:space="preserve">tCO2e offset</w:t>
            </w:r>
          </w:p>
        </w:tc>
        <w:tc>
          <w:tcPr/>
          <w:p>
            <w:pPr>
              <w:pStyle w:val="Compact"/>
              <w:jc w:val="left"/>
            </w:pPr>
            <w:r>
              <w:t xml:space="preserve">Voluntary / Taxonomy</w:t>
            </w:r>
          </w:p>
        </w:tc>
      </w:tr>
    </w:tbl>
    <w:p>
      <w:pPr>
        <w:pStyle w:val="BodyText"/>
      </w:pPr>
      <w:r>
        <w:t xml:space="preserve">The carbon balance sheet — total liabilities (debits) minus total assets (credits) — gives a CFO a</w:t>
      </w:r>
      <w:r>
        <w:t xml:space="preserve"> </w:t>
      </w:r>
      <w:r>
        <w:rPr>
          <w:bCs/>
          <w:b/>
        </w:rPr>
        <w:t xml:space="preserve">net carbon position</w:t>
      </w:r>
      <w:r>
        <w:t xml:space="preserve"> </w:t>
      </w:r>
      <w:r>
        <w:t xml:space="preserve">that is auditable, reconcilable, and machine-readable (XBRL/iXBRL).</w:t>
      </w:r>
    </w:p>
    <w:bookmarkEnd w:id="258"/>
    <w:bookmarkStart w:id="259" w:name="cross-regulation-reconciliation"/>
    <w:p>
      <w:pPr>
        <w:pStyle w:val="Heading4"/>
      </w:pPr>
      <w:r>
        <w:t xml:space="preserve">10.17.3 Cross-Regulation Reconciliation</w:t>
      </w:r>
    </w:p>
    <w:p>
      <w:pPr>
        <w:pStyle w:val="FirstParagraph"/>
      </w:pPr>
      <w:r>
        <w:t xml:space="preserve">The debit-credit ledger enables what no current tool provides:</w:t>
      </w:r>
      <w:r>
        <w:t xml:space="preserve"> </w:t>
      </w:r>
      <w:r>
        <w:rPr>
          <w:bCs/>
          <w:b/>
        </w:rPr>
        <w:t xml:space="preserve">cross-regulation reconciliation</w:t>
      </w:r>
      <w:r>
        <w:t xml:space="preserve">. When a steel mill’s ETS data and a construction company’s CBAM data flow through the same ledger, the system can verify that embedded emissions match actual production emissions. This eliminates the reliance on CBAM default values (which overestimate by 20-50%) and produces transaction-verified Scope 3 data with ±3% accuracy instead of the ±40% from spend-based estimation.</w:t>
      </w:r>
    </w:p>
    <w:p>
      <w:pPr>
        <w:pStyle w:val="BodyText"/>
      </w:pPr>
      <w:r>
        <w:t xml:space="preserve">This is also a</w:t>
      </w:r>
      <w:r>
        <w:t xml:space="preserve"> </w:t>
      </w:r>
      <w:r>
        <w:rPr>
          <w:bCs/>
          <w:b/>
        </w:rPr>
        <w:t xml:space="preserve">network effect</w:t>
      </w:r>
      <w:r>
        <w:t xml:space="preserve">: when Customer A’s verified emissions improve Customer B’s CBAM factor accuracy, both benefit. The more industries on the ledger, the more cross-vertical intelligence emerges.</w:t>
      </w:r>
    </w:p>
    <w:bookmarkEnd w:id="259"/>
    <w:bookmarkStart w:id="260" w:name="implementation-dws-7-phase-2.6"/>
    <w:p>
      <w:pPr>
        <w:pStyle w:val="Heading4"/>
      </w:pPr>
      <w:r>
        <w:t xml:space="preserve">10.17.4 Implementation: DWS 7 Phase 2.6</w:t>
      </w:r>
    </w:p>
    <w:p>
      <w:pPr>
        <w:pStyle w:val="FirstParagraph"/>
      </w:pPr>
      <w:r>
        <w:t xml:space="preserve">The DWS IQ platform already implements the in-memory debit-credit transform (</w:t>
      </w:r>
      <w:r>
        <w:rPr>
          <w:rStyle w:val="VerbatimChar"/>
        </w:rPr>
        <w:t xml:space="preserve">src/compliance/debit-credit-ledger.ts</w:t>
      </w:r>
      <w:r>
        <w:t xml:space="preserve">) shipping in V1. DWS 7 Phase 2.6 (May–July 2026) promotes this to a persistent carbon balance sheet with 8 planned PRs (093A–093H):</w:t>
      </w:r>
    </w:p>
    <w:p>
      <w:pPr>
        <w:numPr>
          <w:ilvl w:val="0"/>
          <w:numId w:val="1089"/>
        </w:numPr>
        <w:pStyle w:val="Compact"/>
      </w:pPr>
      <w:r>
        <w:rPr>
          <w:bCs/>
          <w:b/>
        </w:rPr>
        <w:t xml:space="preserve">Persistent carbon ledger</w:t>
      </w:r>
      <w:r>
        <w:t xml:space="preserve"> </w:t>
      </w:r>
      <w:r>
        <w:t xml:space="preserve">— immutable append-only table, corrections as reverse entries</w:t>
      </w:r>
    </w:p>
    <w:p>
      <w:pPr>
        <w:numPr>
          <w:ilvl w:val="0"/>
          <w:numId w:val="1089"/>
        </w:numPr>
        <w:pStyle w:val="Compact"/>
      </w:pPr>
      <w:r>
        <w:rPr>
          <w:bCs/>
          <w:b/>
        </w:rPr>
        <w:t xml:space="preserve">Dual-unit entries</w:t>
      </w:r>
      <w:r>
        <w:t xml:space="preserve"> </w:t>
      </w:r>
      <w:r>
        <w:t xml:space="preserve">— EUR + tCO2e on every entry, carbon price preserved at time of entry</w:t>
      </w:r>
    </w:p>
    <w:p>
      <w:pPr>
        <w:numPr>
          <w:ilvl w:val="0"/>
          <w:numId w:val="1089"/>
        </w:numPr>
        <w:pStyle w:val="Compact"/>
      </w:pPr>
      <w:r>
        <w:rPr>
          <w:bCs/>
          <w:b/>
        </w:rPr>
        <w:t xml:space="preserve">Chart of carbon accounts</w:t>
      </w:r>
      <w:r>
        <w:t xml:space="preserve"> </w:t>
      </w:r>
      <w:r>
        <w:t xml:space="preserve">— standardized account structure mapping to ESRS E1 scopes</w:t>
      </w:r>
    </w:p>
    <w:p>
      <w:pPr>
        <w:numPr>
          <w:ilvl w:val="0"/>
          <w:numId w:val="1089"/>
        </w:numPr>
        <w:pStyle w:val="Compact"/>
      </w:pPr>
      <w:r>
        <w:rPr>
          <w:bCs/>
          <w:b/>
        </w:rPr>
        <w:t xml:space="preserve">Cross-regulation reconciliation</w:t>
      </w:r>
      <w:r>
        <w:t xml:space="preserve"> </w:t>
      </w:r>
      <w:r>
        <w:t xml:space="preserve">— ETS ↔ CBAM ↔ CSRD via shared ledger entries</w:t>
      </w:r>
    </w:p>
    <w:p>
      <w:pPr>
        <w:numPr>
          <w:ilvl w:val="0"/>
          <w:numId w:val="1089"/>
        </w:numPr>
        <w:pStyle w:val="Compact"/>
      </w:pPr>
      <w:r>
        <w:rPr>
          <w:bCs/>
          <w:b/>
        </w:rPr>
        <w:t xml:space="preserve">Ledger-native scoring</w:t>
      </w:r>
      <w:r>
        <w:t xml:space="preserve"> </w:t>
      </w:r>
      <w:r>
        <w:t xml:space="preserve">— compliance score derived from ledger balance, not computed from scratch</w:t>
      </w:r>
    </w:p>
    <w:p>
      <w:pPr>
        <w:numPr>
          <w:ilvl w:val="0"/>
          <w:numId w:val="1089"/>
        </w:numPr>
        <w:pStyle w:val="Compact"/>
      </w:pPr>
      <w:r>
        <w:rPr>
          <w:bCs/>
          <w:b/>
        </w:rPr>
        <w:t xml:space="preserve">CFO dashboard</w:t>
      </w:r>
      <w:r>
        <w:t xml:space="preserve"> </w:t>
      </w:r>
      <w:r>
        <w:t xml:space="preserve">— balance sheet view with drill-down by regulation, scope, and entity</w:t>
      </w:r>
    </w:p>
    <w:p>
      <w:pPr>
        <w:numPr>
          <w:ilvl w:val="0"/>
          <w:numId w:val="1089"/>
        </w:numPr>
        <w:pStyle w:val="Compact"/>
      </w:pPr>
      <w:r>
        <w:rPr>
          <w:bCs/>
          <w:b/>
        </w:rPr>
        <w:t xml:space="preserve">ERP GL sync</w:t>
      </w:r>
      <w:r>
        <w:t xml:space="preserve"> </w:t>
      </w:r>
      <w:r>
        <w:t xml:space="preserve">— carbon entries pushed to SAP/IFS/Dynamics general ledger</w:t>
      </w:r>
    </w:p>
    <w:p>
      <w:pPr>
        <w:numPr>
          <w:ilvl w:val="0"/>
          <w:numId w:val="1089"/>
        </w:numPr>
        <w:pStyle w:val="Compact"/>
      </w:pPr>
      <w:r>
        <w:rPr>
          <w:bCs/>
          <w:b/>
        </w:rPr>
        <w:t xml:space="preserve">XBRL export</w:t>
      </w:r>
      <w:r>
        <w:t xml:space="preserve"> </w:t>
      </w:r>
      <w:r>
        <w:t xml:space="preserve">— machine-readable CSRD reports from ledger data</w:t>
      </w:r>
    </w:p>
    <w:bookmarkEnd w:id="260"/>
    <w:bookmarkStart w:id="261" w:name="X748721c776941c0882d5e0f7c33e37caa432074"/>
    <w:p>
      <w:pPr>
        <w:pStyle w:val="Heading4"/>
      </w:pPr>
      <w:r>
        <w:t xml:space="preserve">10.17.5 Open Source Input: Connectors as the Data Ingestion Layer</w:t>
      </w:r>
    </w:p>
    <w:p>
      <w:pPr>
        <w:pStyle w:val="FirstParagraph"/>
      </w:pPr>
      <w:r>
        <w:t xml:space="preserve">A carbon balance sheet is only as accurate as the data that enters it. The ledger architecture depends on</w:t>
      </w:r>
      <w:r>
        <w:t xml:space="preserve"> </w:t>
      </w:r>
      <w:r>
        <w:rPr>
          <w:bCs/>
          <w:b/>
        </w:rPr>
        <w:t xml:space="preserve">open source connectors</w:t>
      </w:r>
      <w:r>
        <w:t xml:space="preserve"> </w:t>
      </w:r>
      <w:r>
        <w:t xml:space="preserve">to ingest verified emissions data from heterogeneous industrial systems. Without standardized, auditable data pipelines, the double-entry model collapses into the same manual-entry problem it replaces.</w:t>
      </w:r>
    </w:p>
    <w:p>
      <w:pPr>
        <w:pStyle w:val="BodyText"/>
      </w:pPr>
      <w:r>
        <w:t xml:space="preserve">The DWS connector architecture follows the ERP integration patterns established in</w:t>
      </w:r>
      <w:r>
        <w:t xml:space="preserve"> </w:t>
      </w:r>
      <w:r>
        <w:rPr>
          <w:rStyle w:val="VerbatimChar"/>
        </w:rPr>
        <w:t xml:space="preserve">src/integrations/erp/</w:t>
      </w:r>
      <w:r>
        <w:t xml:space="preserve"> </w:t>
      </w:r>
      <w:r>
        <w:t xml:space="preserve">(Section 10.9), extending them to carbon-specific data sources:</w:t>
      </w:r>
    </w:p>
    <w:tbl>
      <w:tblPr>
        <w:tblStyle w:val="Table"/>
        <w:tblW w:type="pct" w:w="5000"/>
        <w:tblLook w:firstRow="1" w:lastRow="0" w:firstColumn="0" w:lastColumn="0" w:noHBand="0" w:noVBand="0" w:val="0020"/>
        <w:jc w:val="start"/>
      </w:tblPr>
      <w:tblGrid>
        <w:gridCol w:w="1096"/>
        <w:gridCol w:w="2436"/>
        <w:gridCol w:w="3168"/>
        <w:gridCol w:w="1218"/>
      </w:tblGrid>
      <w:tr>
        <w:trPr>
          <w:tblHeader w:val="true"/>
        </w:trPr>
        <w:tc>
          <w:tcPr/>
          <w:p>
            <w:pPr>
              <w:pStyle w:val="Compact"/>
              <w:jc w:val="left"/>
            </w:pPr>
            <w:r>
              <w:t xml:space="preserve">Connector Type</w:t>
            </w:r>
          </w:p>
        </w:tc>
        <w:tc>
          <w:tcPr/>
          <w:p>
            <w:pPr>
              <w:pStyle w:val="Compact"/>
              <w:jc w:val="left"/>
            </w:pPr>
            <w:r>
              <w:t xml:space="preserve">Source Systems</w:t>
            </w:r>
          </w:p>
        </w:tc>
        <w:tc>
          <w:tcPr/>
          <w:p>
            <w:pPr>
              <w:pStyle w:val="Compact"/>
              <w:jc w:val="left"/>
            </w:pPr>
            <w:r>
              <w:t xml:space="preserve">Data Flow</w:t>
            </w:r>
          </w:p>
        </w:tc>
        <w:tc>
          <w:tcPr/>
          <w:p>
            <w:pPr>
              <w:pStyle w:val="Compact"/>
              <w:jc w:val="left"/>
            </w:pPr>
            <w:r>
              <w:t xml:space="preserve">License Model</w:t>
            </w:r>
          </w:p>
        </w:tc>
      </w:tr>
      <w:tr>
        <w:tc>
          <w:tcPr/>
          <w:p>
            <w:pPr>
              <w:pStyle w:val="Compact"/>
              <w:jc w:val="left"/>
            </w:pPr>
            <w:r>
              <w:rPr>
                <w:bCs/>
                <w:b/>
              </w:rPr>
              <w:t xml:space="preserve">ERP connectors</w:t>
            </w:r>
          </w:p>
        </w:tc>
        <w:tc>
          <w:tcPr/>
          <w:p>
            <w:pPr>
              <w:pStyle w:val="Compact"/>
              <w:jc w:val="left"/>
            </w:pPr>
            <w:r>
              <w:t xml:space="preserve">SAP S/4HANA, IFS Cloud, Dynamics 365, Monitor, Visma, Jeeves</w:t>
            </w:r>
          </w:p>
        </w:tc>
        <w:tc>
          <w:tcPr/>
          <w:p>
            <w:pPr>
              <w:pStyle w:val="Compact"/>
              <w:jc w:val="left"/>
            </w:pPr>
            <w:r>
              <w:t xml:space="preserve">Production volumes, energy consumption, material inputs → ledger debit entries</w:t>
            </w:r>
          </w:p>
        </w:tc>
        <w:tc>
          <w:tcPr/>
          <w:p>
            <w:pPr>
              <w:pStyle w:val="Compact"/>
              <w:jc w:val="left"/>
            </w:pPr>
            <w:r>
              <w:t xml:space="preserve">Open source (MIT)</w:t>
            </w:r>
          </w:p>
        </w:tc>
      </w:tr>
      <w:tr>
        <w:tc>
          <w:tcPr/>
          <w:p>
            <w:pPr>
              <w:pStyle w:val="Compact"/>
              <w:jc w:val="left"/>
            </w:pPr>
            <w:r>
              <w:rPr>
                <w:bCs/>
                <w:b/>
              </w:rPr>
              <w:t xml:space="preserve">ETS/Registry connectors</w:t>
            </w:r>
          </w:p>
        </w:tc>
        <w:tc>
          <w:tcPr/>
          <w:p>
            <w:pPr>
              <w:pStyle w:val="Compact"/>
              <w:jc w:val="left"/>
            </w:pPr>
            <w:r>
              <w:t xml:space="preserve">EU Transaction Log (EUTL), national registries</w:t>
            </w:r>
          </w:p>
        </w:tc>
        <w:tc>
          <w:tcPr/>
          <w:p>
            <w:pPr>
              <w:pStyle w:val="Compact"/>
              <w:jc w:val="left"/>
            </w:pPr>
            <w:r>
              <w:t xml:space="preserve">Allowance balances, surrenders, free allocations → ledger credit/debit</w:t>
            </w:r>
          </w:p>
        </w:tc>
        <w:tc>
          <w:tcPr/>
          <w:p>
            <w:pPr>
              <w:pStyle w:val="Compact"/>
              <w:jc w:val="left"/>
            </w:pPr>
            <w:r>
              <w:t xml:space="preserve">Open source (MIT)</w:t>
            </w:r>
          </w:p>
        </w:tc>
      </w:tr>
      <w:tr>
        <w:tc>
          <w:tcPr/>
          <w:p>
            <w:pPr>
              <w:pStyle w:val="Compact"/>
              <w:jc w:val="left"/>
            </w:pPr>
            <w:r>
              <w:rPr>
                <w:bCs/>
                <w:b/>
              </w:rPr>
              <w:t xml:space="preserve">CBAM connectors</w:t>
            </w:r>
          </w:p>
        </w:tc>
        <w:tc>
          <w:tcPr/>
          <w:p>
            <w:pPr>
              <w:pStyle w:val="Compact"/>
              <w:jc w:val="left"/>
            </w:pPr>
            <w:r>
              <w:t xml:space="preserve">CBAM Transitional Registry, customs declarations</w:t>
            </w:r>
          </w:p>
        </w:tc>
        <w:tc>
          <w:tcPr/>
          <w:p>
            <w:pPr>
              <w:pStyle w:val="Compact"/>
              <w:jc w:val="left"/>
            </w:pPr>
            <w:r>
              <w:t xml:space="preserve">Imported goods embedded emissions, certificates purchased → ledger debit</w:t>
            </w:r>
          </w:p>
        </w:tc>
        <w:tc>
          <w:tcPr/>
          <w:p>
            <w:pPr>
              <w:pStyle w:val="Compact"/>
              <w:jc w:val="left"/>
            </w:pPr>
            <w:r>
              <w:t xml:space="preserve">Open source (MIT)</w:t>
            </w:r>
          </w:p>
        </w:tc>
      </w:tr>
      <w:tr>
        <w:tc>
          <w:tcPr/>
          <w:p>
            <w:pPr>
              <w:pStyle w:val="Compact"/>
              <w:jc w:val="left"/>
            </w:pPr>
            <w:r>
              <w:rPr>
                <w:bCs/>
                <w:b/>
              </w:rPr>
              <w:t xml:space="preserve">Emission factor feeds</w:t>
            </w:r>
          </w:p>
        </w:tc>
        <w:tc>
          <w:tcPr/>
          <w:p>
            <w:pPr>
              <w:pStyle w:val="Compact"/>
              <w:jc w:val="left"/>
            </w:pPr>
            <w:r>
              <w:t xml:space="preserve">EEA GHG Inventory, IPCC, EU ETS benchmarks</w:t>
            </w:r>
          </w:p>
        </w:tc>
        <w:tc>
          <w:tcPr/>
          <w:p>
            <w:pPr>
              <w:pStyle w:val="Compact"/>
              <w:jc w:val="left"/>
            </w:pPr>
            <w:r>
              <w:t xml:space="preserve">Validated factors for Scope 1/2/3 calculations</w:t>
            </w:r>
          </w:p>
        </w:tc>
        <w:tc>
          <w:tcPr/>
          <w:p>
            <w:pPr>
              <w:pStyle w:val="Compact"/>
              <w:jc w:val="left"/>
            </w:pPr>
            <w:r>
              <w:t xml:space="preserve">Open data + open source parser</w:t>
            </w:r>
          </w:p>
        </w:tc>
      </w:tr>
      <w:tr>
        <w:tc>
          <w:tcPr/>
          <w:p>
            <w:pPr>
              <w:pStyle w:val="Compact"/>
              <w:jc w:val="left"/>
            </w:pPr>
            <w:r>
              <w:rPr>
                <w:bCs/>
                <w:b/>
              </w:rPr>
              <w:t xml:space="preserve">IoT/edge connectors</w:t>
            </w:r>
          </w:p>
        </w:tc>
        <w:tc>
          <w:tcPr/>
          <w:p>
            <w:pPr>
              <w:pStyle w:val="Compact"/>
              <w:jc w:val="left"/>
            </w:pPr>
            <w:r>
              <w:t xml:space="preserve">NVIDIA Jetson Orin Nano, industrial sensors, energy meters</w:t>
            </w:r>
          </w:p>
        </w:tc>
        <w:tc>
          <w:tcPr/>
          <w:p>
            <w:pPr>
              <w:pStyle w:val="Compact"/>
              <w:jc w:val="left"/>
            </w:pPr>
            <w:r>
              <w:t xml:space="preserve">Real-time energy consumption, Scope 1 direct measurements → ledger debit</w:t>
            </w:r>
          </w:p>
        </w:tc>
        <w:tc>
          <w:tcPr/>
          <w:p>
            <w:pPr>
              <w:pStyle w:val="Compact"/>
              <w:jc w:val="left"/>
            </w:pPr>
            <w:r>
              <w:t xml:space="preserve">Open source (MIT)</w:t>
            </w:r>
          </w:p>
        </w:tc>
      </w:tr>
      <w:tr>
        <w:tc>
          <w:tcPr/>
          <w:p>
            <w:pPr>
              <w:pStyle w:val="Compact"/>
              <w:jc w:val="left"/>
            </w:pPr>
            <w:r>
              <w:rPr>
                <w:bCs/>
                <w:b/>
              </w:rPr>
              <w:t xml:space="preserve">ESG platform connectors</w:t>
            </w:r>
          </w:p>
        </w:tc>
        <w:tc>
          <w:tcPr/>
          <w:p>
            <w:pPr>
              <w:pStyle w:val="Compact"/>
              <w:jc w:val="left"/>
            </w:pPr>
            <w:r>
              <w:t xml:space="preserve">Worldfavor, PositionGreen, CDP</w:t>
            </w:r>
          </w:p>
        </w:tc>
        <w:tc>
          <w:tcPr/>
          <w:p>
            <w:pPr>
              <w:pStyle w:val="Compact"/>
              <w:jc w:val="left"/>
            </w:pPr>
            <w:r>
              <w:t xml:space="preserve">Third-party ESG scores, Scope 3 supplier data → ledger entries</w:t>
            </w:r>
          </w:p>
        </w:tc>
        <w:tc>
          <w:tcPr/>
          <w:p>
            <w:pPr>
              <w:pStyle w:val="Compact"/>
              <w:jc w:val="left"/>
            </w:pPr>
            <w:r>
              <w:t xml:space="preserve">Open source (MIT)</w:t>
            </w:r>
          </w:p>
        </w:tc>
      </w:tr>
    </w:tbl>
    <w:p>
      <w:pPr>
        <w:pStyle w:val="BodyText"/>
      </w:pPr>
      <w:r>
        <w:rPr>
          <w:bCs/>
          <w:b/>
        </w:rPr>
        <w:t xml:space="preserve">Why open source matters for compliance infrastructure:</w:t>
      </w:r>
    </w:p>
    <w:p>
      <w:pPr>
        <w:numPr>
          <w:ilvl w:val="0"/>
          <w:numId w:val="1090"/>
        </w:numPr>
      </w:pPr>
      <w:r>
        <w:rPr>
          <w:bCs/>
          <w:b/>
        </w:rPr>
        <w:t xml:space="preserve">Auditability:</w:t>
      </w:r>
      <w:r>
        <w:t xml:space="preserve"> </w:t>
      </w:r>
      <w:r>
        <w:t xml:space="preserve">Proprietary connectors are black boxes. When an auditor asks</w:t>
      </w:r>
      <w:r>
        <w:t xml:space="preserve"> </w:t>
      </w:r>
      <w:r>
        <w:t xml:space="preserve">“</w:t>
      </w:r>
      <w:r>
        <w:t xml:space="preserve">how did this emission factor enter the ledger?</w:t>
      </w:r>
      <w:r>
        <w:t xml:space="preserve">”</w:t>
      </w:r>
      <w:r>
        <w:t xml:space="preserve">, the answer must be inspectable source code — not a vendor’s API documentation. Open source connectors make the entire data path from source system to ledger entry transparent and reproducible.</w:t>
      </w:r>
    </w:p>
    <w:p>
      <w:pPr>
        <w:numPr>
          <w:ilvl w:val="0"/>
          <w:numId w:val="1090"/>
        </w:numPr>
      </w:pPr>
      <w:r>
        <w:rPr>
          <w:bCs/>
          <w:b/>
        </w:rPr>
        <w:t xml:space="preserve">Network effect acceleration:</w:t>
      </w:r>
      <w:r>
        <w:t xml:space="preserve"> </w:t>
      </w:r>
      <w:r>
        <w:t xml:space="preserve">The cross-vertical intelligence thesis (Section 10.17.3) depends on data flowing from many industries into one ledger. Open source connectors lower the adoption barrier — a steel mill’s IT team can deploy the SAP connector, verify the code, and contribute upstream improvements. Proprietary connectors create vendor lock-in that slows network growth.</w:t>
      </w:r>
    </w:p>
    <w:p>
      <w:pPr>
        <w:numPr>
          <w:ilvl w:val="0"/>
          <w:numId w:val="1090"/>
        </w:numPr>
      </w:pPr>
      <w:r>
        <w:rPr>
          <w:bCs/>
          <w:b/>
        </w:rPr>
        <w:t xml:space="preserve">Regulatory defensibility:</w:t>
      </w:r>
      <w:r>
        <w:t xml:space="preserve"> </w:t>
      </w:r>
      <w:r>
        <w:t xml:space="preserve">EU AI Act Article 12 requires logging of AI system operations. When AI agents generate ledger entries from connector data, the entire pipeline — connector code, transformation logic, agent decision — must be auditable. Open source satisfies this requirement by design.</w:t>
      </w:r>
    </w:p>
    <w:p>
      <w:pPr>
        <w:numPr>
          <w:ilvl w:val="0"/>
          <w:numId w:val="1090"/>
        </w:numPr>
      </w:pPr>
      <w:r>
        <w:rPr>
          <w:bCs/>
          <w:b/>
        </w:rPr>
        <w:t xml:space="preserve">Community validation:</w:t>
      </w:r>
      <w:r>
        <w:t xml:space="preserve"> </w:t>
      </w:r>
      <w:r>
        <w:t xml:space="preserve">Emission factor databases change annually. Open source connectors enable community-driven maintenance — when the EEA publishes updated GHG inventory data, any contributor can submit a PR updating the factor feed, and the change is reviewed in the open.</w:t>
      </w:r>
    </w:p>
    <w:p>
      <w:pPr>
        <w:pStyle w:val="FirstParagraph"/>
      </w:pPr>
      <w:r>
        <w:t xml:space="preserve">The connector layer transforms the carbon balance sheet from a single-company tool into a</w:t>
      </w:r>
      <w:r>
        <w:t xml:space="preserve"> </w:t>
      </w:r>
      <w:r>
        <w:rPr>
          <w:bCs/>
          <w:b/>
        </w:rPr>
        <w:t xml:space="preserve">multi-tenant compliance network</w:t>
      </w:r>
      <w:r>
        <w:t xml:space="preserve">. Each connector is a standardized adapter (input schema → journal entry) that plugs into the ledger’s append-only ingestion API. The open source model ensures that the largest EU companies requiring CSRD compliance (fewer than ~5,000 post-Omnibus, &gt;1,000 employees and &gt;€450M turnover) — and the far larger population of suppliers pulled in via Scope-3 value-chain reporting — can adopt the infrastructure without vendor dependency.</w:t>
      </w:r>
    </w:p>
    <w:bookmarkEnd w:id="261"/>
    <w:bookmarkStart w:id="262" w:name="research-contribution-8"/>
    <w:p>
      <w:pPr>
        <w:pStyle w:val="Heading4"/>
      </w:pPr>
      <w:r>
        <w:t xml:space="preserve">10.17.6 Research Contribution</w:t>
      </w:r>
    </w:p>
    <w:p>
      <w:pPr>
        <w:pStyle w:val="FirstParagraph"/>
      </w:pPr>
      <w:r>
        <w:t xml:space="preserve">This concluding section contributes three findings:</w:t>
      </w:r>
    </w:p>
    <w:p>
      <w:pPr>
        <w:numPr>
          <w:ilvl w:val="0"/>
          <w:numId w:val="1091"/>
        </w:numPr>
      </w:pPr>
      <w:r>
        <w:rPr>
          <w:bCs/>
          <w:b/>
        </w:rPr>
        <w:t xml:space="preserve">Architectural insight:</w:t>
      </w:r>
      <w:r>
        <w:t xml:space="preserve"> </w:t>
      </w:r>
      <w:r>
        <w:t xml:space="preserve">Carbon compliance is structurally isomorphic to financial accounting. The double-entry ledger is not a metaphor — it is the technically correct data structure for tracking carbon across multiple regulations, entities, and supply chains. This finding emerged from the practical implementation of the DWS compliance engine across 20 EU-regulated industries.</w:t>
      </w:r>
    </w:p>
    <w:p>
      <w:pPr>
        <w:numPr>
          <w:ilvl w:val="0"/>
          <w:numId w:val="1091"/>
        </w:numPr>
      </w:pPr>
      <w:r>
        <w:rPr>
          <w:bCs/>
          <w:b/>
        </w:rPr>
        <w:t xml:space="preserve">Cross-vertical intelligence thesis:</w:t>
      </w:r>
      <w:r>
        <w:t xml:space="preserve"> </w:t>
      </w:r>
      <w:r>
        <w:t xml:space="preserve">A multi-industry carbon ledger produces emergent intelligence that single-vertical tools cannot replicate. A steel mill’s ETS surrender correlates with a construction sector CSRD disclosure from the same supply chain. This correlation is only visible when both industries share one ledger format — validating the platform architecture described throughout this thesis.</w:t>
      </w:r>
    </w:p>
    <w:p>
      <w:pPr>
        <w:numPr>
          <w:ilvl w:val="0"/>
          <w:numId w:val="1091"/>
        </w:numPr>
      </w:pPr>
      <w:r>
        <w:rPr>
          <w:bCs/>
          <w:b/>
        </w:rPr>
        <w:t xml:space="preserve">Funding infrastructure, not features:</w:t>
      </w:r>
      <w:r>
        <w:t xml:space="preserve"> </w:t>
      </w:r>
      <w:r>
        <w:t xml:space="preserve">The carbon balance sheet represents the transition from</w:t>
      </w:r>
      <w:r>
        <w:t xml:space="preserve"> </w:t>
      </w:r>
      <w:r>
        <w:t xml:space="preserve">“</w:t>
      </w:r>
      <w:r>
        <w:t xml:space="preserve">compliance reporting tool</w:t>
      </w:r>
      <w:r>
        <w:t xml:space="preserve">”</w:t>
      </w:r>
      <w:r>
        <w:t xml:space="preserve"> </w:t>
      </w:r>
      <w:r>
        <w:t xml:space="preserve">to</w:t>
      </w:r>
      <w:r>
        <w:t xml:space="preserve"> </w:t>
      </w:r>
      <w:r>
        <w:t xml:space="preserve">“</w:t>
      </w:r>
      <w:r>
        <w:t xml:space="preserve">compliance infrastructure</w:t>
      </w:r>
      <w:r>
        <w:t xml:space="preserve">”</w:t>
      </w:r>
      <w:r>
        <w:t xml:space="preserve"> </w:t>
      </w:r>
      <w:r>
        <w:t xml:space="preserve">— the same distinction as between a spreadsheet and an ERP system. This architectural choice has strategic implications for enterprise stickiness (switching cost equivalent to changing your financial ledger), market timing (fewer than ~5,000 large EU companies mandated post-Omnibus, plus their value chains via Scope 3), and network effects (more industries on the ledger = more accurate cross-regulation data).</w:t>
      </w:r>
    </w:p>
    <w:p>
      <w:pPr>
        <w:pStyle w:val="FirstParagraph"/>
      </w:pPr>
      <w:r>
        <w:t xml:space="preserve">The Firehorse Product Manufacturing Operating Model, documented across the preceding 16 sections, provided the engineering foundation — harness architecture, multi-agent orchestration, edge deployment, and regulatory intelligence — required to build this carbon balance sheet infrastructure. The conclusion is that the platform’s competitive moat is not any single agent or regulation module, but the ledger that connects them all.</w:t>
      </w:r>
    </w:p>
    <w:bookmarkEnd w:id="262"/>
    <w:bookmarkEnd w:id="263"/>
    <w:bookmarkStart w:id="270" w:name="Xb4ae91a050c08ad4c62396846880f6708c37124"/>
    <w:p>
      <w:pPr>
        <w:pStyle w:val="Heading3"/>
      </w:pPr>
      <w:r>
        <w:t xml:space="preserve">10.18 LWM Sequencing Strategy — From Regulatory Intelligence to Physical AI</w:t>
      </w:r>
    </w:p>
    <w:bookmarkStart w:id="264" w:name="strategic-context"/>
    <w:p>
      <w:pPr>
        <w:pStyle w:val="Heading4"/>
      </w:pPr>
      <w:r>
        <w:t xml:space="preserve">10.18.1 Strategic Context</w:t>
      </w:r>
    </w:p>
    <w:p>
      <w:pPr>
        <w:pStyle w:val="FirstParagraph"/>
      </w:pPr>
      <w:r>
        <w:t xml:space="preserve">The Lifetime World Model (LWM) serves as the</w:t>
      </w:r>
      <w:r>
        <w:t xml:space="preserve"> </w:t>
      </w:r>
      <w:r>
        <w:t xml:space="preserve">“</w:t>
      </w:r>
      <w:r>
        <w:t xml:space="preserve">Memory</w:t>
      </w:r>
      <w:r>
        <w:t xml:space="preserve">”</w:t>
      </w:r>
      <w:r>
        <w:t xml:space="preserve"> </w:t>
      </w:r>
      <w:r>
        <w:t xml:space="preserve">layer in the Brain-Memory-Body-Hands architecture. However, investor and market analysis (March 2026) revealed a framing contradiction: the platform was simultaneously pitched as</w:t>
      </w:r>
      <w:r>
        <w:t xml:space="preserve"> </w:t>
      </w:r>
      <w:r>
        <w:t xml:space="preserve">“</w:t>
      </w:r>
      <w:r>
        <w:t xml:space="preserve">carbon balance sheet infrastructure</w:t>
      </w:r>
      <w:r>
        <w:t xml:space="preserve">”</w:t>
      </w:r>
      <w:r>
        <w:t xml:space="preserve"> </w:t>
      </w:r>
      <w:r>
        <w:t xml:space="preserve">(compliance SaaS),</w:t>
      </w:r>
      <w:r>
        <w:t xml:space="preserve"> </w:t>
      </w:r>
      <w:r>
        <w:t xml:space="preserve">“</w:t>
      </w:r>
      <w:r>
        <w:t xml:space="preserve">55B parameter Physical AI</w:t>
      </w:r>
      <w:r>
        <w:t xml:space="preserve">”</w:t>
      </w:r>
      <w:r>
        <w:t xml:space="preserve"> </w:t>
      </w:r>
      <w:r>
        <w:t xml:space="preserve">(world model), and</w:t>
      </w:r>
      <w:r>
        <w:t xml:space="preserve"> </w:t>
      </w:r>
      <w:r>
        <w:t xml:space="preserve">“</w:t>
      </w:r>
      <w:r>
        <w:t xml:space="preserve">autonomous healthcare fleet</w:t>
      </w:r>
      <w:r>
        <w:t xml:space="preserve">”</w:t>
      </w:r>
      <w:r>
        <w:t xml:space="preserve"> </w:t>
      </w:r>
      <w:r>
        <w:t xml:space="preserve">(robotics). Each story targets different investors at different stages and invites questions the codebase cannot yet answer.</w:t>
      </w:r>
    </w:p>
    <w:p>
      <w:pPr>
        <w:pStyle w:val="BodyText"/>
      </w:pPr>
      <w:r>
        <w:t xml:space="preserve">This section documents the resolution: a three-phase sequencing strategy where each phase funds and de-risks the next.</w:t>
      </w:r>
    </w:p>
    <w:bookmarkEnd w:id="264"/>
    <w:bookmarkStart w:id="265" w:name="the-three-phases"/>
    <w:p>
      <w:pPr>
        <w:pStyle w:val="Heading4"/>
      </w:pPr>
      <w:r>
        <w:t xml:space="preserve">10.18.2 The Three Phases</w:t>
      </w:r>
    </w:p>
    <w:p>
      <w:pPr>
        <w:pStyle w:val="FirstParagraph"/>
      </w:pPr>
      <w:r>
        <w:rPr>
          <w:bCs/>
          <w:b/>
        </w:rPr>
        <w:t xml:space="preserve">Phase 1 (Current — EUR 650K SAFE):</w:t>
      </w:r>
      <w:r>
        <w:t xml:space="preserve"> </w:t>
      </w:r>
      <w:r>
        <w:t xml:space="preserve">LWM = regulatory intelligence engine. 15,000+ EU regulatory documents indexed across 20 industries, 18 AI agents, carbon balance sheet with cross-regulation reconciliation (ETS ↔ CBAM ↔ CSRD ↔ Taxonomy). Revenue target: EUR 900K ARR. Ships DWS 7 with persistent carbon balance sheet (July 2026).</w:t>
      </w:r>
    </w:p>
    <w:p>
      <w:pPr>
        <w:pStyle w:val="BodyText"/>
      </w:pPr>
      <w:r>
        <w:rPr>
          <w:bCs/>
          <w:b/>
        </w:rPr>
        <w:t xml:space="preserve">Phase 2 (Post-SAFE — Helsinki Pilot):</w:t>
      </w:r>
      <w:r>
        <w:t xml:space="preserve"> </w:t>
      </w:r>
      <w:r>
        <w:t xml:space="preserve">LWM = regulatory intelligence + physical planning. LeWorldModel-style latent planning bolted onto the regulatory knowledge graph. KELA-backed healthcare fleet pilot on NVIDIA hardware (Acer GN-100). The carbon ledger provides constraint data for physical planning decisions.</w:t>
      </w:r>
    </w:p>
    <w:p>
      <w:pPr>
        <w:pStyle w:val="BodyText"/>
      </w:pPr>
      <w:r>
        <w:rPr>
          <w:bCs/>
          <w:b/>
        </w:rPr>
        <w:t xml:space="preserve">Phase 3 (Series A 2027):</w:t>
      </w:r>
      <w:r>
        <w:t xml:space="preserve"> </w:t>
      </w:r>
      <w:r>
        <w:t xml:space="preserve">LWM = full dual-use product. Carbon balance sheet + edge Physical AI across construction, healthcare, manufacturing, energy, and defence. The sequencing ensures each phase is funded by the previous one’s revenue.</w:t>
      </w:r>
    </w:p>
    <w:bookmarkEnd w:id="265"/>
    <w:bookmarkStart w:id="266" w:name="X0247d25fb087e0c2d85dd7e41541fd516eed067"/>
    <w:p>
      <w:pPr>
        <w:pStyle w:val="Heading4"/>
      </w:pPr>
      <w:r>
        <w:t xml:space="preserve">10.18.3 External Validation: LeWorldModel (arXiv:2603.19312)</w:t>
      </w:r>
    </w:p>
    <w:p>
      <w:pPr>
        <w:pStyle w:val="FirstParagraph"/>
      </w:pPr>
      <w:r>
        <w:t xml:space="preserve">In March 2026, Maes, Le Lidec, Scieur, LeCun, and Balestriero published LeWorldModel — the first Joint Embedding Predictive Architecture (JEPA) that trains stably end-to-end from raw pixels. Key findings relevant to LWM:</w:t>
      </w:r>
    </w:p>
    <w:p>
      <w:pPr>
        <w:numPr>
          <w:ilvl w:val="0"/>
          <w:numId w:val="1092"/>
        </w:numPr>
        <w:pStyle w:val="Compact"/>
      </w:pPr>
      <w:r>
        <w:rPr>
          <w:bCs/>
          <w:b/>
        </w:rPr>
        <w:t xml:space="preserve">Simplicity:</w:t>
      </w:r>
      <w:r>
        <w:t xml:space="preserve"> </w:t>
      </w:r>
      <w:r>
        <w:t xml:space="preserve">2 loss terms (prediction + SIGReg regularizer) replace 6+ hyperparameters, frozen encoders, stop-gradients, and EMA hacks</w:t>
      </w:r>
    </w:p>
    <w:p>
      <w:pPr>
        <w:numPr>
          <w:ilvl w:val="0"/>
          <w:numId w:val="1092"/>
        </w:numPr>
        <w:pStyle w:val="Compact"/>
      </w:pPr>
      <w:r>
        <w:rPr>
          <w:bCs/>
          <w:b/>
        </w:rPr>
        <w:t xml:space="preserve">Efficiency:</w:t>
      </w:r>
      <w:r>
        <w:t xml:space="preserve"> </w:t>
      </w:r>
      <w:r>
        <w:t xml:space="preserve">15M parameters, single GPU, ~1 second planning vs 47 seconds for DINO-WM, 200x fewer tokens</w:t>
      </w:r>
    </w:p>
    <w:p>
      <w:pPr>
        <w:numPr>
          <w:ilvl w:val="0"/>
          <w:numId w:val="1092"/>
        </w:numPr>
        <w:pStyle w:val="Compact"/>
      </w:pPr>
      <w:r>
        <w:rPr>
          <w:bCs/>
          <w:b/>
        </w:rPr>
        <w:t xml:space="preserve">Results:</w:t>
      </w:r>
      <w:r>
        <w:t xml:space="preserve"> </w:t>
      </w:r>
      <w:r>
        <w:t xml:space="preserve">96% success rate on PushT manipulation task (beats DINO-WM’s 92% even without proprioceptive inputs)</w:t>
      </w:r>
    </w:p>
    <w:p>
      <w:pPr>
        <w:pStyle w:val="FirstParagraph"/>
      </w:pPr>
      <w:r>
        <w:t xml:space="preserve">Concurrently, LeCun launched AMI Labs ($1.03B seed, March 2026) and Fei-Fei Li raised $1B for World Labs — $2B in three weeks for world model companies. This validates the category but does not validate Lifetime’s specific product. The honest framing: Lifetime builds domain-specific regulatory infrastructure on top of commodity AI, not general-purpose world models.</w:t>
      </w:r>
    </w:p>
    <w:bookmarkEnd w:id="266"/>
    <w:bookmarkStart w:id="267" w:name="phase-2-technical-gap-analysis"/>
    <w:p>
      <w:pPr>
        <w:pStyle w:val="Heading4"/>
      </w:pPr>
      <w:r>
        <w:t xml:space="preserve">10.18.4 Phase 2 Technical Gap Analysis</w:t>
      </w:r>
    </w:p>
    <w:p>
      <w:pPr>
        <w:pStyle w:val="FirstParagraph"/>
      </w:pPr>
      <w:r>
        <w:t xml:space="preserve">Three unsolved problems bridge Phase 1 to Phase 2:</w:t>
      </w:r>
    </w:p>
    <w:p>
      <w:pPr>
        <w:numPr>
          <w:ilvl w:val="0"/>
          <w:numId w:val="1093"/>
        </w:numPr>
      </w:pPr>
      <w:r>
        <w:rPr>
          <w:bCs/>
          <w:b/>
        </w:rPr>
        <w:t xml:space="preserve">Input modality gap:</w:t>
      </w:r>
      <w:r>
        <w:t xml:space="preserve"> </w:t>
      </w:r>
      <w:r>
        <w:t xml:space="preserve">LeWorldModel expects pixel observations. LWM Phase 1 operates on structured regulatory text. The most realistic bridge is a digital twin (OpenUSD scene representation) that encodes both physical layout and regulatory metadata.</w:t>
      </w:r>
    </w:p>
    <w:p>
      <w:pPr>
        <w:numPr>
          <w:ilvl w:val="0"/>
          <w:numId w:val="1093"/>
        </w:numPr>
      </w:pPr>
      <w:r>
        <w:rPr>
          <w:bCs/>
          <w:b/>
        </w:rPr>
        <w:t xml:space="preserve">Scale gap:</w:t>
      </w:r>
      <w:r>
        <w:t xml:space="preserve"> </w:t>
      </w:r>
      <w:r>
        <w:t xml:space="preserve">LeWorldModel tested on controlled simulation (PushT, Reacher). Industrial environments are uncontrolled, long-horizon, and sparse-reward. Whether latent planning scales to construction sites is research, not engineering.</w:t>
      </w:r>
    </w:p>
    <w:p>
      <w:pPr>
        <w:numPr>
          <w:ilvl w:val="0"/>
          <w:numId w:val="1093"/>
        </w:numPr>
      </w:pPr>
      <w:r>
        <w:rPr>
          <w:bCs/>
          <w:b/>
        </w:rPr>
        <w:t xml:space="preserve">Regulatory-physical integration:</w:t>
      </w:r>
      <w:r>
        <w:t xml:space="preserve"> </w:t>
      </w:r>
      <w:r>
        <w:t xml:space="preserve">How does a physical plan (crane movement, vehicle route) get validated against the carbon ledger before execution? The proposed architecture: physical planner proposes actions → regulatory engine validates against carbon budget → KYA governance gate enforces or blocks. KYA v1.4 (Firecracker MicroVM kill-switches) is the only Phase 2 component already built.</w:t>
      </w:r>
    </w:p>
    <w:p>
      <w:pPr>
        <w:pStyle w:val="FirstParagraph"/>
      </w:pPr>
      <w:r>
        <w:rPr>
          <w:bCs/>
          <w:b/>
        </w:rPr>
        <w:t xml:space="preserve">Key insight:</w:t>
      </w:r>
      <w:r>
        <w:t xml:space="preserve"> </w:t>
      </w:r>
      <w:r>
        <w:t xml:space="preserve">Phase 1 outputs (regulatory graph, carbon ledger, KYA governance) are Phase 2 inputs. The sequencing is not just a fundraising story — it is technically correct. Compliance data feeds physical planning. Not the other way around.</w:t>
      </w:r>
    </w:p>
    <w:bookmarkEnd w:id="267"/>
    <w:bookmarkStart w:id="268" w:name="X258de097a6f938c6924e770ba10f22f8a4dd897"/>
    <w:p>
      <w:pPr>
        <w:pStyle w:val="Heading4"/>
      </w:pPr>
      <w:r>
        <w:t xml:space="preserve">10.18.5 Market Positioning and Comparable Companies</w:t>
      </w:r>
    </w:p>
    <w:p>
      <w:pPr>
        <w:pStyle w:val="FirstParagraph"/>
      </w:pPr>
      <w:r>
        <w:t xml:space="preserve">Analysis of carbon compliance SaaS benchmarks: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Company</w:t>
            </w:r>
          </w:p>
        </w:tc>
        <w:tc>
          <w:tcPr/>
          <w:p>
            <w:pPr>
              <w:pStyle w:val="Compact"/>
              <w:jc w:val="left"/>
            </w:pPr>
            <w:r>
              <w:t xml:space="preserve">Round</w:t>
            </w:r>
          </w:p>
        </w:tc>
        <w:tc>
          <w:tcPr/>
          <w:p>
            <w:pPr>
              <w:pStyle w:val="Compact"/>
              <w:jc w:val="left"/>
            </w:pPr>
            <w:r>
              <w:t xml:space="preserve">Revenue</w:t>
            </w:r>
          </w:p>
        </w:tc>
        <w:tc>
          <w:tcPr/>
          <w:p>
            <w:pPr>
              <w:pStyle w:val="Compact"/>
              <w:jc w:val="left"/>
            </w:pPr>
            <w:r>
              <w:t xml:space="preserve">Year</w:t>
            </w:r>
          </w:p>
        </w:tc>
      </w:tr>
      <w:tr>
        <w:tc>
          <w:tcPr/>
          <w:p>
            <w:pPr>
              <w:pStyle w:val="Compact"/>
              <w:jc w:val="left"/>
            </w:pPr>
            <w:r>
              <w:t xml:space="preserve">Persefoni</w:t>
            </w:r>
          </w:p>
        </w:tc>
        <w:tc>
          <w:tcPr/>
          <w:p>
            <w:pPr>
              <w:pStyle w:val="Compact"/>
              <w:jc w:val="left"/>
            </w:pPr>
            <w:r>
              <w:t xml:space="preserve">Series A ($9.7M)</w:t>
            </w:r>
          </w:p>
        </w:tc>
        <w:tc>
          <w:tcPr/>
          <w:p>
            <w:pPr>
              <w:pStyle w:val="Compact"/>
              <w:jc w:val="left"/>
            </w:pPr>
            <w:r>
              <w:t xml:space="preserve">$1.8M ARR</w:t>
            </w:r>
          </w:p>
        </w:tc>
        <w:tc>
          <w:tcPr/>
          <w:p>
            <w:pPr>
              <w:pStyle w:val="Compact"/>
              <w:jc w:val="left"/>
            </w:pPr>
            <w:r>
              <w:t xml:space="preserve">2021</w:t>
            </w:r>
          </w:p>
        </w:tc>
      </w:tr>
      <w:tr>
        <w:tc>
          <w:tcPr/>
          <w:p>
            <w:pPr>
              <w:pStyle w:val="Compact"/>
              <w:jc w:val="left"/>
            </w:pPr>
            <w:r>
              <w:t xml:space="preserve">Sweep</w:t>
            </w:r>
          </w:p>
        </w:tc>
        <w:tc>
          <w:tcPr/>
          <w:p>
            <w:pPr>
              <w:pStyle w:val="Compact"/>
              <w:jc w:val="left"/>
            </w:pPr>
            <w:r>
              <w:t xml:space="preserve">Series A ($22M)</w:t>
            </w:r>
          </w:p>
        </w:tc>
        <w:tc>
          <w:tcPr/>
          <w:p>
            <w:pPr>
              <w:pStyle w:val="Compact"/>
              <w:jc w:val="left"/>
            </w:pPr>
            <w:r>
              <w:t xml:space="preserve">Early revenue</w:t>
            </w:r>
          </w:p>
        </w:tc>
        <w:tc>
          <w:tcPr/>
          <w:p>
            <w:pPr>
              <w:pStyle w:val="Compact"/>
              <w:jc w:val="left"/>
            </w:pPr>
            <w:r>
              <w:t xml:space="preserve">2021</w:t>
            </w:r>
          </w:p>
        </w:tc>
      </w:tr>
      <w:tr>
        <w:tc>
          <w:tcPr/>
          <w:p>
            <w:pPr>
              <w:pStyle w:val="Compact"/>
              <w:jc w:val="left"/>
            </w:pPr>
            <w:r>
              <w:t xml:space="preserve">Workiva</w:t>
            </w:r>
          </w:p>
        </w:tc>
        <w:tc>
          <w:tcPr/>
          <w:p>
            <w:pPr>
              <w:pStyle w:val="Compact"/>
              <w:jc w:val="left"/>
            </w:pPr>
            <w:r>
              <w:t xml:space="preserve">IPO</w:t>
            </w:r>
          </w:p>
        </w:tc>
        <w:tc>
          <w:tcPr/>
          <w:p>
            <w:pPr>
              <w:pStyle w:val="Compact"/>
              <w:jc w:val="left"/>
            </w:pPr>
            <w:r>
              <w:t xml:space="preserve">~$100M ARR</w:t>
            </w:r>
          </w:p>
        </w:tc>
        <w:tc>
          <w:tcPr/>
          <w:p>
            <w:pPr>
              <w:pStyle w:val="Compact"/>
              <w:jc w:val="left"/>
            </w:pPr>
            <w:r>
              <w:t xml:space="preserve">2014</w:t>
            </w:r>
          </w:p>
        </w:tc>
      </w:tr>
      <w:tr>
        <w:tc>
          <w:tcPr/>
          <w:p>
            <w:pPr>
              <w:pStyle w:val="Compact"/>
              <w:jc w:val="left"/>
            </w:pPr>
            <w:r>
              <w:t xml:space="preserve">Lifetime</w:t>
            </w:r>
          </w:p>
        </w:tc>
        <w:tc>
          <w:tcPr/>
          <w:p>
            <w:pPr>
              <w:pStyle w:val="Compact"/>
              <w:jc w:val="left"/>
            </w:pPr>
            <w:r>
              <w:t xml:space="preserve">SAFE (EUR 650K)</w:t>
            </w:r>
          </w:p>
        </w:tc>
        <w:tc>
          <w:tcPr/>
          <w:p>
            <w:pPr>
              <w:pStyle w:val="Compact"/>
              <w:jc w:val="left"/>
            </w:pPr>
            <w:r>
              <w:t xml:space="preserve">EUR 84K ARR</w:t>
            </w:r>
          </w:p>
        </w:tc>
        <w:tc>
          <w:tcPr/>
          <w:p>
            <w:pPr>
              <w:pStyle w:val="Compact"/>
              <w:jc w:val="left"/>
            </w:pPr>
            <w:r>
              <w:t xml:space="preserve">2026</w:t>
            </w:r>
          </w:p>
        </w:tc>
      </w:tr>
    </w:tbl>
    <w:p>
      <w:pPr>
        <w:pStyle w:val="BodyText"/>
      </w:pPr>
      <w:r>
        <w:t xml:space="preserve">Lifetime’s EUR 3.8M cap is below early-stage carbon SaaS benchmarks. Persefoni raised at a higher implied valuation with less traction. Lifetime has more customers (6), a government payer (KELA), edge deployment (EUR 17K/year vs EUR 350K/year cloud), and a 7-year regulatory knowledge graph.</w:t>
      </w:r>
    </w:p>
    <w:bookmarkEnd w:id="268"/>
    <w:bookmarkStart w:id="269" w:name="research-contribution-9"/>
    <w:p>
      <w:pPr>
        <w:pStyle w:val="Heading4"/>
      </w:pPr>
      <w:r>
        <w:t xml:space="preserve">10.18.6 Research Contribution</w:t>
      </w:r>
    </w:p>
    <w:p>
      <w:pPr>
        <w:pStyle w:val="FirstParagraph"/>
      </w:pPr>
      <w:r>
        <w:t xml:space="preserve">This section contributes three findings:</w:t>
      </w:r>
    </w:p>
    <w:p>
      <w:pPr>
        <w:numPr>
          <w:ilvl w:val="0"/>
          <w:numId w:val="1094"/>
        </w:numPr>
      </w:pPr>
      <w:r>
        <w:rPr>
          <w:bCs/>
          <w:b/>
        </w:rPr>
        <w:t xml:space="preserve">Sequencing discipline:</w:t>
      </w:r>
      <w:r>
        <w:t xml:space="preserve"> </w:t>
      </w:r>
      <w:r>
        <w:t xml:space="preserve">The framing of a product should match its current capabilities, not its future vision. Presenting Phase 3 capabilities in a Phase 1 fundraise creates contradictions that informed investors will catch. The three-phase model demonstrates how startup storytelling can be honest and ambitious simultaneously.</w:t>
      </w:r>
    </w:p>
    <w:p>
      <w:pPr>
        <w:numPr>
          <w:ilvl w:val="0"/>
          <w:numId w:val="1094"/>
        </w:numPr>
      </w:pPr>
      <w:r>
        <w:rPr>
          <w:bCs/>
          <w:b/>
        </w:rPr>
        <w:t xml:space="preserve">Compliance-first world model thesis:</w:t>
      </w:r>
      <w:r>
        <w:t xml:space="preserve"> </w:t>
      </w:r>
      <w:r>
        <w:t xml:space="preserve">The insight that compliance data feeds physical planning (not the reverse) is a novel architectural contribution. A construction site digital twin has nothing to optimize without verified emissions data. A healthcare fleet robot has no billing path without KELA integration. This inverts the typical world model narrative (physics first, compliance later) and may generalize to other regulated industries.</w:t>
      </w:r>
    </w:p>
    <w:p>
      <w:pPr>
        <w:numPr>
          <w:ilvl w:val="0"/>
          <w:numId w:val="1094"/>
        </w:numPr>
      </w:pPr>
      <w:r>
        <w:rPr>
          <w:bCs/>
          <w:b/>
        </w:rPr>
        <w:t xml:space="preserve">Phase 2 technical scoping:</w:t>
      </w:r>
      <w:r>
        <w:t xml:space="preserve"> </w:t>
      </w:r>
      <w:r>
        <w:t xml:space="preserve">The three unsolved problems (input modality, scale, regulatory-physical integration) provide a concrete research agenda that connects LeWorldModel’s theoretical advances to industrial application. The digital twin bridge via OpenUSD is identified as the most realistic near-term path.</w:t>
      </w:r>
    </w:p>
    <w:bookmarkEnd w:id="269"/>
    <w:bookmarkEnd w:id="270"/>
    <w:bookmarkStart w:id="275" w:name="Xffdfef13a0852165795bac8c15daacb1d6dc62a"/>
    <w:p>
      <w:pPr>
        <w:pStyle w:val="Heading3"/>
      </w:pPr>
      <w:r>
        <w:t xml:space="preserve">10.19 Thesis Versioning Strategy: v3.30.50 Metropolia Freeze</w:t>
      </w:r>
    </w:p>
    <w:bookmarkStart w:id="271" w:name="motivation-3"/>
    <w:p>
      <w:pPr>
        <w:pStyle w:val="Heading4"/>
      </w:pPr>
      <w:r>
        <w:t xml:space="preserve">10.19.1 Motivation</w:t>
      </w:r>
    </w:p>
    <w:p>
      <w:pPr>
        <w:pStyle w:val="FirstParagraph"/>
      </w:pPr>
      <w:r>
        <w:t xml:space="preserve">By version 3.31, the master thesis had grown to 82 pages and 26,000+ words — nearly double the 40-50 page target for Metropolia submission. Rather than permanently losing detailed research content, a dual-version architecture was adopted.</w:t>
      </w:r>
    </w:p>
    <w:bookmarkEnd w:id="271"/>
    <w:bookmarkStart w:id="272" w:name="dual-version-architecture"/>
    <w:p>
      <w:pPr>
        <w:pStyle w:val="Heading4"/>
      </w:pPr>
      <w:r>
        <w:t xml:space="preserve">10.19.2 Dual-Version Architecture</w:t>
      </w:r>
    </w:p>
    <w:tbl>
      <w:tblPr>
        <w:tblStyle w:val="Table"/>
        <w:tblW w:type="pct" w:w="5000"/>
        <w:tblLook w:firstRow="1" w:lastRow="0" w:firstColumn="0" w:lastColumn="0" w:noHBand="0" w:noVBand="0" w:val="0020"/>
        <w:jc w:val="start"/>
      </w:tblPr>
      <w:tblGrid>
        <w:gridCol w:w="772"/>
        <w:gridCol w:w="2414"/>
        <w:gridCol w:w="482"/>
        <w:gridCol w:w="579"/>
        <w:gridCol w:w="3670"/>
      </w:tblGrid>
      <w:tr>
        <w:trPr>
          <w:tblHeader w:val="true"/>
        </w:trPr>
        <w:tc>
          <w:tcPr/>
          <w:p>
            <w:pPr>
              <w:pStyle w:val="Compact"/>
              <w:jc w:val="left"/>
            </w:pPr>
            <w:r>
              <w:t xml:space="preserve">Version</w:t>
            </w:r>
          </w:p>
        </w:tc>
        <w:tc>
          <w:tcPr/>
          <w:p>
            <w:pPr>
              <w:pStyle w:val="Compact"/>
              <w:jc w:val="left"/>
            </w:pPr>
            <w:r>
              <w:t xml:space="preserve">File</w:t>
            </w:r>
          </w:p>
        </w:tc>
        <w:tc>
          <w:tcPr/>
          <w:p>
            <w:pPr>
              <w:pStyle w:val="Compact"/>
              <w:jc w:val="left"/>
            </w:pPr>
            <w:r>
              <w:t xml:space="preserve">Pages</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FROZEN</w:t>
            </w:r>
          </w:p>
        </w:tc>
        <w:tc>
          <w:tcPr/>
          <w:p>
            <w:pPr>
              <w:pStyle w:val="Compact"/>
              <w:jc w:val="left"/>
            </w:pPr>
            <w:r>
              <w:t xml:space="preserve">Metropolia outgoing submission</w:t>
            </w:r>
          </w:p>
        </w:tc>
      </w:tr>
      <w:tr>
        <w:tc>
          <w:tcPr/>
          <w:p>
            <w:pPr>
              <w:pStyle w:val="Compact"/>
              <w:jc w:val="left"/>
            </w:pPr>
            <w:r>
              <w:t xml:space="preserve">v3.32+</w:t>
            </w:r>
          </w:p>
        </w:tc>
        <w:tc>
          <w:tcPr/>
          <w:p>
            <w:pPr>
              <w:pStyle w:val="Compact"/>
              <w:jc w:val="left"/>
            </w:pPr>
            <w:r>
              <w:rPr>
                <w:rStyle w:val="VerbatimChar"/>
              </w:rPr>
              <w:t xml:space="preserve">V3Thesis_EN.md</w:t>
            </w:r>
          </w:p>
        </w:tc>
        <w:tc>
          <w:tcPr/>
          <w:p>
            <w:pPr>
              <w:pStyle w:val="Compact"/>
              <w:jc w:val="left"/>
            </w:pPr>
            <w:r>
              <w:t xml:space="preserve">~82</w:t>
            </w:r>
          </w:p>
        </w:tc>
        <w:tc>
          <w:tcPr/>
          <w:p>
            <w:pPr>
              <w:pStyle w:val="Compact"/>
              <w:jc w:val="left"/>
            </w:pPr>
            <w:r>
              <w:t xml:space="preserve">Living</w:t>
            </w:r>
          </w:p>
        </w:tc>
        <w:tc>
          <w:tcPr/>
          <w:p>
            <w:pPr>
              <w:pStyle w:val="Compact"/>
              <w:jc w:val="left"/>
            </w:pPr>
            <w:r>
              <w:t xml:space="preserve">Complete research record</w:t>
            </w:r>
          </w:p>
        </w:tc>
      </w:tr>
      <w:tr>
        <w:tc>
          <w:tcPr/>
          <w:p>
            <w:pPr>
              <w:pStyle w:val="Compact"/>
              <w:jc w:val="left"/>
            </w:pPr>
            <w:r>
              <w:t xml:space="preserve">v3.2+</w:t>
            </w:r>
          </w:p>
        </w:tc>
        <w:tc>
          <w:tcPr/>
          <w:p>
            <w:pPr>
              <w:pStyle w:val="Compact"/>
              <w:jc w:val="left"/>
            </w:pPr>
            <w:r>
              <w:rPr>
                <w:rStyle w:val="VerbatimChar"/>
              </w:rPr>
              <w:t xml:space="preserve">PHD_FIREHORSE_EN.md</w:t>
            </w:r>
          </w:p>
        </w:tc>
        <w:tc>
          <w:tcPr/>
          <w:p>
            <w:pPr>
              <w:pStyle w:val="Compact"/>
              <w:jc w:val="left"/>
            </w:pPr>
            <w:r>
              <w:t xml:space="preserve">—</w:t>
            </w:r>
          </w:p>
        </w:tc>
        <w:tc>
          <w:tcPr/>
          <w:p>
            <w:pPr>
              <w:pStyle w:val="Compact"/>
              <w:jc w:val="left"/>
            </w:pPr>
            <w:r>
              <w:t xml:space="preserve">Living</w:t>
            </w:r>
          </w:p>
        </w:tc>
        <w:tc>
          <w:tcPr/>
          <w:p>
            <w:pPr>
              <w:pStyle w:val="Compact"/>
              <w:jc w:val="left"/>
            </w:pPr>
            <w:r>
              <w:t xml:space="preserve">Doctoral companion (detailed sections)</w:t>
            </w:r>
          </w:p>
        </w:tc>
      </w:tr>
    </w:tbl>
    <w:p>
      <w:pPr>
        <w:pStyle w:val="BodyText"/>
      </w:pPr>
      <w:r>
        <w:t xml:space="preserve">The v3.30.50 restructuring applied four transformations:</w:t>
      </w:r>
    </w:p>
    <w:p>
      <w:pPr>
        <w:numPr>
          <w:ilvl w:val="0"/>
          <w:numId w:val="1095"/>
        </w:numPr>
        <w:pStyle w:val="Compact"/>
      </w:pPr>
      <w:r>
        <w:rPr>
          <w:bCs/>
          <w:b/>
        </w:rPr>
        <w:t xml:space="preserve">Section 5 expansion</w:t>
      </w:r>
      <w:r>
        <w:t xml:space="preserve"> </w:t>
      </w:r>
      <w:r>
        <w:t xml:space="preserve">— From 0.7 pages to ~4 pages covering infrastructure deployment, agent architecture, coordination via Lifetime Scope Signals, evolution to 31 agents, customer onboarding results, and key metrics</w:t>
      </w:r>
    </w:p>
    <w:p>
      <w:pPr>
        <w:numPr>
          <w:ilvl w:val="0"/>
          <w:numId w:val="1095"/>
        </w:numPr>
        <w:pStyle w:val="Compact"/>
      </w:pPr>
      <w:r>
        <w:rPr>
          <w:bCs/>
          <w:b/>
        </w:rPr>
        <w:t xml:space="preserve">Section 10 consolidation</w:t>
      </w:r>
      <w:r>
        <w:t xml:space="preserve"> </w:t>
      </w:r>
      <w:r>
        <w:t xml:space="preserve">— Detailed sections 10.6-10.18 replaced with 10.6</w:t>
      </w:r>
      <w:r>
        <w:t xml:space="preserve"> </w:t>
      </w:r>
      <w:r>
        <w:t xml:space="preserve">“</w:t>
      </w:r>
      <w:r>
        <w:t xml:space="preserve">Extended Research Contributions (Summary)</w:t>
      </w:r>
      <w:r>
        <w:t xml:space="preserve">”</w:t>
      </w:r>
      <w:r>
        <w:t xml:space="preserve"> </w:t>
      </w:r>
      <w:r>
        <w:t xml:space="preserve">containing 1-paragraph summaries with PHD Firehorse cross-references</w:t>
      </w:r>
    </w:p>
    <w:p>
      <w:pPr>
        <w:numPr>
          <w:ilvl w:val="0"/>
          <w:numId w:val="1095"/>
        </w:numPr>
        <w:pStyle w:val="Compact"/>
      </w:pPr>
      <w:r>
        <w:rPr>
          <w:bCs/>
          <w:b/>
        </w:rPr>
        <w:t xml:space="preserve">Appendix trimming</w:t>
      </w:r>
      <w:r>
        <w:t xml:space="preserve"> </w:t>
      </w:r>
      <w:r>
        <w:t xml:space="preserve">— 8 appendices reduced to 4 (kept Solution Factory Canvas, LSS Protocol, Karpathy Principles, Glossary)</w:t>
      </w:r>
    </w:p>
    <w:p>
      <w:pPr>
        <w:numPr>
          <w:ilvl w:val="0"/>
          <w:numId w:val="1095"/>
        </w:numPr>
        <w:pStyle w:val="Compact"/>
      </w:pPr>
      <w:r>
        <w:rPr>
          <w:bCs/>
          <w:b/>
        </w:rPr>
        <w:t xml:space="preserve">Content preservation</w:t>
      </w:r>
      <w:r>
        <w:t xml:space="preserve"> </w:t>
      </w:r>
      <w:r>
        <w:t xml:space="preserve">— All removed content already exists in PHD Firehorse companion document</w:t>
      </w:r>
    </w:p>
    <w:bookmarkEnd w:id="272"/>
    <w:bookmarkStart w:id="273" w:name="versioning-rules"/>
    <w:p>
      <w:pPr>
        <w:pStyle w:val="Heading4"/>
      </w:pPr>
      <w:r>
        <w:t xml:space="preserve">10.19.3 Versioning Rules</w:t>
      </w:r>
    </w:p>
    <w:p>
      <w:pPr>
        <w:numPr>
          <w:ilvl w:val="0"/>
          <w:numId w:val="1096"/>
        </w:numPr>
        <w:pStyle w:val="Compact"/>
      </w:pPr>
      <w:r>
        <w:t xml:space="preserve">v3.30.50 files are</w:t>
      </w:r>
      <w:r>
        <w:t xml:space="preserve"> </w:t>
      </w:r>
      <w:r>
        <w:rPr>
          <w:bCs/>
          <w:b/>
        </w:rPr>
        <w:t xml:space="preserve">HIL-only</w:t>
      </w:r>
      <w:r>
        <w:t xml:space="preserve"> </w:t>
      </w:r>
      <w:r>
        <w:t xml:space="preserve">(Human-in-the-Loop) — no Claude Code edits after freeze</w:t>
      </w:r>
    </w:p>
    <w:p>
      <w:pPr>
        <w:numPr>
          <w:ilvl w:val="0"/>
          <w:numId w:val="1096"/>
        </w:numPr>
        <w:pStyle w:val="Compact"/>
      </w:pPr>
      <w:r>
        <w:t xml:space="preserve">The 82-page living document continues versioning normally (3.32, 3.33, …)</w:t>
      </w:r>
    </w:p>
    <w:p>
      <w:pPr>
        <w:numPr>
          <w:ilvl w:val="0"/>
          <w:numId w:val="1096"/>
        </w:numPr>
        <w:pStyle w:val="Compact"/>
      </w:pPr>
      <w:r>
        <w:t xml:space="preserve">PHD Firehorse continues independently (3.2, 3.3, …)</w:t>
      </w:r>
    </w:p>
    <w:p>
      <w:pPr>
        <w:numPr>
          <w:ilvl w:val="0"/>
          <w:numId w:val="1096"/>
        </w:numPr>
        <w:pStyle w:val="Compact"/>
      </w:pPr>
      <w:r>
        <w:t xml:space="preserve">Version updates to living documents should note if content also applies to the frozen version via copy-paste proposals</w:t>
      </w:r>
    </w:p>
    <w:bookmarkEnd w:id="273"/>
    <w:bookmarkStart w:id="274" w:name="research-contribution-10"/>
    <w:p>
      <w:pPr>
        <w:pStyle w:val="Heading4"/>
      </w:pPr>
      <w:r>
        <w:t xml:space="preserve">10.19.4 Research Contribution</w:t>
      </w:r>
    </w:p>
    <w:p>
      <w:pPr>
        <w:pStyle w:val="FirstParagraph"/>
      </w:pPr>
      <w:r>
        <w:rPr>
          <w:bCs/>
          <w:b/>
        </w:rPr>
        <w:t xml:space="preserve">Key Contribution #23:</w:t>
      </w:r>
      <w:r>
        <w:t xml:space="preserve"> </w:t>
      </w:r>
      <w:r>
        <w:t xml:space="preserve">The dual-version strategy demonstrates a practical solution for AI-assisted academic writing where research velocity exceeds submission format constraints. The 82-page living document preserves full research lineage (38 version entries, 22 key contributions), while the 50-page frozen version meets institutional requirements without losing intellectual property. This pattern may generalize to other fast-moving research projects using AI-assisted documentation.</w:t>
      </w:r>
    </w:p>
    <w:bookmarkEnd w:id="274"/>
    <w:bookmarkEnd w:id="275"/>
    <w:bookmarkStart w:id="282" w:name="X3f6265fb6545959661fa29af413e10addd1be2a"/>
    <w:p>
      <w:pPr>
        <w:pStyle w:val="Heading3"/>
      </w:pPr>
      <w:r>
        <w:t xml:space="preserve">10.20 April 2026 Evolution: Skills Paradigm, Lifetime Fleet Roadmap, 22nd Industry, and Founder→Team Transition</w:t>
      </w:r>
    </w:p>
    <w:p>
      <w:pPr>
        <w:pStyle w:val="FirstParagraph"/>
      </w:pPr>
      <w:r>
        <w:rPr>
          <w:iCs/>
          <w:i/>
        </w:rPr>
        <w:t xml:space="preserve">Source: field notes 2026-04-06 through 2026-04-19; PRs #1064, #1109, #1110, #1111, #1112, #1113, #1115, #1116, #1128; SOLO_FOUNDER_STATEMENT v1.2.</w:t>
      </w:r>
    </w:p>
    <w:bookmarkStart w:id="276" w:name="X55104cd22eceedc791d7344603ae34b8bbfd8f4"/>
    <w:p>
      <w:pPr>
        <w:pStyle w:val="Heading4"/>
      </w:pPr>
      <w:r>
        <w:t xml:space="preserve">10.20.1 Anthropic Skills Paradigm — External Validation of DWS Skill-First Architecture</w:t>
      </w:r>
    </w:p>
    <w:p>
      <w:pPr>
        <w:pStyle w:val="FirstParagraph"/>
      </w:pPr>
      <w:r>
        <w:t xml:space="preserve">On 2026-04-16, Anthropic published an essay titled</w:t>
      </w:r>
      <w:r>
        <w:t xml:space="preserve"> </w:t>
      </w:r>
      <w:r>
        <w:t xml:space="preserve">“</w:t>
      </w:r>
      <w:r>
        <w:t xml:space="preserve">Stop Building Agents, Start Building Skills</w:t>
      </w:r>
      <w:r>
        <w:t xml:space="preserve">”</w:t>
      </w:r>
      <w:r>
        <w:t xml:space="preserve"> </w:t>
      </w:r>
      <w:r>
        <w:t xml:space="preserve">(logged at</w:t>
      </w:r>
      <w:r>
        <w:t xml:space="preserve"> </w:t>
      </w:r>
      <w:r>
        <w:rPr>
          <w:rStyle w:val="VerbatimChar"/>
        </w:rPr>
        <w:t xml:space="preserve">docs/field-notes/2026-04-16-anthropic-skills-paradigm-stop-building-agents.md</w:t>
      </w:r>
      <w:r>
        <w:t xml:space="preserve">). The argument: monolithic agents over-consume context window capacity and degrade as tool counts grow; discrete, invocable skills (Claude Code Skills,</w:t>
      </w:r>
      <w:r>
        <w:t xml:space="preserve"> </w:t>
      </w:r>
      <w:r>
        <w:rPr>
          <w:rStyle w:val="VerbatimChar"/>
        </w:rPr>
        <w:t xml:space="preserve">.claude/commands/*.md</w:t>
      </w:r>
      <w:r>
        <w:t xml:space="preserve">) outperform agent frameworks at enterprise scale because each skill is loaded only when needed and is individually testable.</w:t>
      </w:r>
    </w:p>
    <w:p>
      <w:pPr>
        <w:pStyle w:val="BodyText"/>
      </w:pPr>
      <w:r>
        <w:t xml:space="preserve">This is the first major external validation of the architectural bet made in Section 10.13 (Claude Code Engineering Structure, Version 3.17, 02.03.2026) and Section 10.13.7 (Domain-Specific vs Generic AI Harness, Version 3.31, 31.03.2026). Specifically:</w:t>
      </w:r>
    </w:p>
    <w:tbl>
      <w:tblPr>
        <w:tblStyle w:val="Table"/>
        <w:tblW w:type="pct" w:w="5000"/>
        <w:tblLook w:firstRow="1" w:lastRow="0" w:firstColumn="0" w:lastColumn="0" w:noHBand="0" w:noVBand="0" w:val="0020"/>
        <w:jc w:val="start"/>
      </w:tblPr>
      <w:tblGrid>
        <w:gridCol w:w="4730"/>
        <w:gridCol w:w="2695"/>
        <w:gridCol w:w="495"/>
      </w:tblGrid>
      <w:tr>
        <w:trPr>
          <w:tblHeader w:val="true"/>
        </w:trPr>
        <w:tc>
          <w:tcPr/>
          <w:p>
            <w:pPr>
              <w:pStyle w:val="Compact"/>
              <w:jc w:val="left"/>
            </w:pPr>
            <w:r>
              <w:t xml:space="preserve">DWS Position (pre-April 2026)</w:t>
            </w:r>
          </w:p>
        </w:tc>
        <w:tc>
          <w:tcPr/>
          <w:p>
            <w:pPr>
              <w:pStyle w:val="Compact"/>
              <w:jc w:val="left"/>
            </w:pPr>
            <w:r>
              <w:t xml:space="preserve">Anthropic’s 2026-04-16 argument</w:t>
            </w:r>
          </w:p>
        </w:tc>
        <w:tc>
          <w:tcPr/>
          <w:p>
            <w:pPr>
              <w:pStyle w:val="Compact"/>
              <w:jc w:val="left"/>
            </w:pPr>
            <w:r>
              <w:t xml:space="preserve">Status</w:t>
            </w:r>
          </w:p>
        </w:tc>
      </w:tr>
      <w:tr>
        <w:tc>
          <w:tcPr/>
          <w:p>
            <w:pPr>
              <w:pStyle w:val="Compact"/>
              <w:jc w:val="left"/>
            </w:pPr>
            <w:r>
              <w:t xml:space="preserve">Skills as reusable workflow components (§10.13.3)</w:t>
            </w:r>
          </w:p>
        </w:tc>
        <w:tc>
          <w:tcPr/>
          <w:p>
            <w:pPr>
              <w:pStyle w:val="Compact"/>
              <w:jc w:val="left"/>
            </w:pPr>
            <w:r>
              <w:t xml:space="preserve">Skills over agents at scale</w:t>
            </w:r>
          </w:p>
        </w:tc>
        <w:tc>
          <w:tcPr/>
          <w:p>
            <w:pPr>
              <w:pStyle w:val="Compact"/>
              <w:jc w:val="left"/>
            </w:pPr>
            <w:r>
              <w:t xml:space="preserve">Validated</w:t>
            </w:r>
          </w:p>
        </w:tc>
      </w:tr>
      <w:tr>
        <w:tc>
          <w:tcPr/>
          <w:p>
            <w:pPr>
              <w:pStyle w:val="Compact"/>
              <w:jc w:val="left"/>
            </w:pPr>
            <w:r>
              <w:rPr>
                <w:rStyle w:val="VerbatimChar"/>
              </w:rPr>
              <w:t xml:space="preserve">.claude/commands/*.md</w:t>
            </w:r>
            <w:r>
              <w:t xml:space="preserve"> </w:t>
            </w:r>
            <w:r>
              <w:t xml:space="preserve">as product interface (§10.13.6)</w:t>
            </w:r>
          </w:p>
        </w:tc>
        <w:tc>
          <w:tcPr/>
          <w:p>
            <w:pPr>
              <w:pStyle w:val="Compact"/>
              <w:jc w:val="left"/>
            </w:pPr>
            <w:r>
              <w:t xml:space="preserve">Discrete invocables beat monoliths</w:t>
            </w:r>
          </w:p>
        </w:tc>
        <w:tc>
          <w:tcPr/>
          <w:p>
            <w:pPr>
              <w:pStyle w:val="Compact"/>
              <w:jc w:val="left"/>
            </w:pPr>
            <w:r>
              <w:t xml:space="preserve">Validated</w:t>
            </w:r>
          </w:p>
        </w:tc>
      </w:tr>
      <w:tr>
        <w:tc>
          <w:tcPr/>
          <w:p>
            <w:pPr>
              <w:pStyle w:val="Compact"/>
              <w:jc w:val="left"/>
            </w:pPr>
            <w:r>
              <w:t xml:space="preserve">Agent-first product rule — every product needs a skill (CLAUDE.md §</w:t>
            </w:r>
            <w:r>
              <w:t xml:space="preserve">“</w:t>
            </w:r>
            <w:r>
              <w:t xml:space="preserve">Build for Agents</w:t>
            </w:r>
            <w:r>
              <w:t xml:space="preserve">”</w:t>
            </w:r>
            <w:r>
              <w:t xml:space="preserve">)</w:t>
            </w:r>
          </w:p>
        </w:tc>
        <w:tc>
          <w:tcPr/>
          <w:p>
            <w:pPr>
              <w:pStyle w:val="Compact"/>
              <w:jc w:val="left"/>
            </w:pPr>
            <w:r>
              <w:t xml:space="preserve">Skills are the API surface</w:t>
            </w:r>
          </w:p>
        </w:tc>
        <w:tc>
          <w:tcPr/>
          <w:p>
            <w:pPr>
              <w:pStyle w:val="Compact"/>
              <w:jc w:val="left"/>
            </w:pPr>
            <w:r>
              <w:t xml:space="preserve">Validated</w:t>
            </w:r>
          </w:p>
        </w:tc>
      </w:tr>
      <w:tr>
        <w:tc>
          <w:tcPr/>
          <w:p>
            <w:pPr>
              <w:pStyle w:val="Compact"/>
              <w:jc w:val="left"/>
            </w:pPr>
            <w:r>
              <w:t xml:space="preserve">Domain-specific depth &gt; breadth (§10.13.7)</w:t>
            </w:r>
          </w:p>
        </w:tc>
        <w:tc>
          <w:tcPr/>
          <w:p>
            <w:pPr>
              <w:pStyle w:val="Compact"/>
              <w:jc w:val="left"/>
            </w:pPr>
            <w:r>
              <w:t xml:space="preserve">Generic 136-skill frameworks fail on token budget</w:t>
            </w:r>
          </w:p>
        </w:tc>
        <w:tc>
          <w:tcPr/>
          <w:p>
            <w:pPr>
              <w:pStyle w:val="Compact"/>
              <w:jc w:val="left"/>
            </w:pPr>
            <w:r>
              <w:t xml:space="preserve">Validated</w:t>
            </w:r>
          </w:p>
        </w:tc>
      </w:tr>
    </w:tbl>
    <w:p>
      <w:pPr>
        <w:pStyle w:val="BodyText"/>
      </w:pPr>
      <w:r>
        <w:rPr>
          <w:bCs/>
          <w:b/>
        </w:rPr>
        <w:t xml:space="preserve">Skill library growth since v3.31 (31.03.2026):</w:t>
      </w:r>
      <w:r>
        <w:t xml:space="preserve"> </w:t>
      </w:r>
      <w:r>
        <w:t xml:space="preserve">+3 production skills —</w:t>
      </w:r>
      <w:r>
        <w:t xml:space="preserve"> </w:t>
      </w:r>
      <w:r>
        <w:rPr>
          <w:rStyle w:val="VerbatimChar"/>
        </w:rPr>
        <w:t xml:space="preserve">/regulatory-radar</w:t>
      </w:r>
      <w:r>
        <w:t xml:space="preserve"> </w:t>
      </w:r>
      <w:r>
        <w:t xml:space="preserve">(EU regulation pipeline scanner),</w:t>
      </w:r>
      <w:r>
        <w:t xml:space="preserve"> </w:t>
      </w:r>
      <w:r>
        <w:rPr>
          <w:rStyle w:val="VerbatimChar"/>
        </w:rPr>
        <w:t xml:space="preserve">/investor-outreach</w:t>
      </w:r>
      <w:r>
        <w:t xml:space="preserve"> </w:t>
      </w:r>
      <w:r>
        <w:t xml:space="preserve">(draft/triage/track investor INTRO notes),</w:t>
      </w:r>
      <w:r>
        <w:t xml:space="preserve"> </w:t>
      </w:r>
      <w:r>
        <w:rPr>
          <w:rStyle w:val="VerbatimChar"/>
        </w:rPr>
        <w:t xml:space="preserve">/multilingual</w:t>
      </w:r>
      <w:r>
        <w:t xml:space="preserve"> </w:t>
      </w:r>
      <w:r>
        <w:t xml:space="preserve">(EU language bar generator for onelifetime.world and dws10.com). Total 24+ production skills with 4 blocking discipline gates.</w:t>
      </w:r>
    </w:p>
    <w:p>
      <w:pPr>
        <w:pStyle w:val="BodyText"/>
      </w:pPr>
      <w:r>
        <w:rPr>
          <w:bCs/>
          <w:b/>
        </w:rPr>
        <w:t xml:space="preserve">Research contribution:</w:t>
      </w:r>
      <w:r>
        <w:t xml:space="preserve"> </w:t>
      </w:r>
      <w:r>
        <w:t xml:space="preserve">The skills-first architecture is no longer a hypothesis under evaluation — it is the emerging industry consensus. For a one-person founder team operating in a regulated domain, the skill library also functions as an</w:t>
      </w:r>
      <w:r>
        <w:t xml:space="preserve"> </w:t>
      </w:r>
      <w:r>
        <w:rPr>
          <w:bCs/>
          <w:b/>
        </w:rPr>
        <w:t xml:space="preserve">on-ramp for co-founders and partners</w:t>
      </w:r>
      <w:r>
        <w:t xml:space="preserve">: each skill is a documented, testable unit of institutional knowledge that a new contributor can exercise without reading the full codebase.</w:t>
      </w:r>
    </w:p>
    <w:bookmarkEnd w:id="276"/>
    <w:bookmarkStart w:id="277" w:name="X64fbd3dc6bb8d3f19fa52f0e4a571fe1c405574"/>
    <w:p>
      <w:pPr>
        <w:pStyle w:val="Heading4"/>
      </w:pPr>
      <w:r>
        <w:t xml:space="preserve">10.20.2 Lifetime Fleet Roadmap Crystallization —</w:t>
      </w:r>
      <w:r>
        <w:t xml:space="preserve"> </w:t>
      </w:r>
      <w:r>
        <w:t xml:space="preserve">“</w:t>
      </w:r>
      <w:r>
        <w:t xml:space="preserve">Hands</w:t>
      </w:r>
      <w:r>
        <w:t xml:space="preserve">”</w:t>
      </w:r>
      <w:r>
        <w:t xml:space="preserve"> </w:t>
      </w:r>
      <w:r>
        <w:t xml:space="preserve">Layer Graduates from Spec to Timeline</w:t>
      </w:r>
    </w:p>
    <w:p>
      <w:pPr>
        <w:pStyle w:val="FirstParagraph"/>
      </w:pPr>
      <w:r>
        <w:t xml:space="preserve">The Brain-Memory-Body-Hands architecture (CLAUDE.md §</w:t>
      </w:r>
      <w:r>
        <w:t xml:space="preserve">“</w:t>
      </w:r>
      <w:r>
        <w:t xml:space="preserve">Project Overview</w:t>
      </w:r>
      <w:r>
        <w:t xml:space="preserve">”</w:t>
      </w:r>
      <w:r>
        <w:t xml:space="preserve">) listed Lifetime Fleet (</w:t>
      </w:r>
      <w:r>
        <w:t xml:space="preserve">“</w:t>
      </w:r>
      <w:r>
        <w:t xml:space="preserve">Hands</w:t>
      </w:r>
      <w:r>
        <w:t xml:space="preserve">”</w:t>
      </w:r>
      <w:r>
        <w:t xml:space="preserve">) as</w:t>
      </w:r>
      <w:r>
        <w:t xml:space="preserve"> </w:t>
      </w:r>
      <w:r>
        <w:rPr>
          <w:iCs/>
          <w:i/>
        </w:rPr>
        <w:t xml:space="preserve">“</w:t>
      </w:r>
      <w:r>
        <w:rPr>
          <w:iCs/>
          <w:i/>
        </w:rPr>
        <w:t xml:space="preserve">specification phase</w:t>
      </w:r>
      <w:r>
        <w:rPr>
          <w:iCs/>
          <w:i/>
        </w:rPr>
        <w:t xml:space="preserve">”</w:t>
      </w:r>
      <w:r>
        <w:t xml:space="preserve"> </w:t>
      </w:r>
      <w:r>
        <w:t xml:space="preserve">for the entire life of this thesis. In April 2026 this changed. Two field notes crystallize the roadmap:</w:t>
      </w:r>
    </w:p>
    <w:p>
      <w:pPr>
        <w:numPr>
          <w:ilvl w:val="0"/>
          <w:numId w:val="1097"/>
        </w:numPr>
        <w:pStyle w:val="Compact"/>
      </w:pPr>
      <w:r>
        <w:rPr>
          <w:rStyle w:val="VerbatimChar"/>
          <w:bCs/>
          <w:b/>
        </w:rPr>
        <w:t xml:space="preserve">docs/field-notes/2026-04-15-finland-drone-strategy-lifetime-fleet.md</w:t>
      </w:r>
      <w:r>
        <w:t xml:space="preserve"> </w:t>
      </w:r>
      <w:r>
        <w:t xml:space="preserve">— Alignment of Lifetime Fleet with Finland’s Drone Strategy 2030. Positions DWS as the governance + compliance layer for Finnish industrial drones (agriculture, forestry, infrastructure, defence) using the same KYA/Aegis/Firehorse inventory already built for the platform.</w:t>
      </w:r>
    </w:p>
    <w:p>
      <w:pPr>
        <w:numPr>
          <w:ilvl w:val="0"/>
          <w:numId w:val="1097"/>
        </w:numPr>
        <w:pStyle w:val="Compact"/>
      </w:pPr>
      <w:r>
        <w:rPr>
          <w:rStyle w:val="VerbatimChar"/>
          <w:bCs/>
          <w:b/>
        </w:rPr>
        <w:t xml:space="preserve">docs/field-notes/2026-04-19-drone-app-baltic-timeline-research.md</w:t>
      </w:r>
      <w:r>
        <w:t xml:space="preserve"> </w:t>
      </w:r>
      <w:r>
        <w:t xml:space="preserve">— Baltic-first MVP timeline: 12–16 weeks to a shippable drone application, reusing existing KYA governance (L1–L5), OpenSandbox agent isolation, and the Shufti IDV integration. No new hardware R&amp;D cycle required.</w:t>
      </w:r>
    </w:p>
    <w:p>
      <w:pPr>
        <w:pStyle w:val="FirstParagraph"/>
      </w:pPr>
      <w:r>
        <w:rPr>
          <w:bCs/>
          <w:b/>
        </w:rPr>
        <w:t xml:space="preserve">Why this matters for the thesis:</w:t>
      </w:r>
      <w:r>
        <w:t xml:space="preserve"> </w:t>
      </w:r>
      <w:r>
        <w:t xml:space="preserve">Section 10.18 (LWM Sequencing Strategy, Version 3.30) framed the Brain-Memory-Body-Hands stack as</w:t>
      </w:r>
      <w:r>
        <w:t xml:space="preserve"> </w:t>
      </w:r>
      <w:r>
        <w:rPr>
          <w:iCs/>
          <w:i/>
        </w:rPr>
        <w:t xml:space="preserve">compliance → fleet → Series A</w:t>
      </w:r>
      <w:r>
        <w:t xml:space="preserve">. The April 2026 field notes convert</w:t>
      </w:r>
      <w:r>
        <w:t xml:space="preserve"> </w:t>
      </w:r>
      <w:r>
        <w:t xml:space="preserve">“</w:t>
      </w:r>
      <w:r>
        <w:t xml:space="preserve">fleet</w:t>
      </w:r>
      <w:r>
        <w:t xml:space="preserve">”</w:t>
      </w:r>
      <w:r>
        <w:t xml:space="preserve"> </w:t>
      </w:r>
      <w:r>
        <w:t xml:space="preserve">from a Phase 2 aspiration to a concrete Baltic MVP with reuse-first economics. The compliance-first world-model thesis is now testable on a specific hardware class in a specific geography within one calendar quarter.</w:t>
      </w:r>
    </w:p>
    <w:bookmarkEnd w:id="277"/>
    <w:bookmarkStart w:id="278" w:name="Xe52a794bdd8a726ce7f08e3c909e0f9d68362fb"/>
    <w:p>
      <w:pPr>
        <w:pStyle w:val="Heading4"/>
      </w:pPr>
      <w:r>
        <w:t xml:space="preserve">10.20.3 DWS IQ 7 Datacentre Compliance Agent — 22nd Industry and the Green Hydrogen Additionality Mandate</w:t>
      </w:r>
    </w:p>
    <w:p>
      <w:pPr>
        <w:pStyle w:val="FirstParagraph"/>
      </w:pPr>
      <w:r>
        <w:t xml:space="preserve">Two new field notes add a 22nd industry to the platform:</w:t>
      </w:r>
    </w:p>
    <w:p>
      <w:pPr>
        <w:numPr>
          <w:ilvl w:val="0"/>
          <w:numId w:val="1098"/>
        </w:numPr>
        <w:pStyle w:val="Compact"/>
      </w:pPr>
      <w:r>
        <w:rPr>
          <w:rStyle w:val="VerbatimChar"/>
          <w:bCs/>
          <w:b/>
        </w:rPr>
        <w:t xml:space="preserve">docs/field-notes/2026-04-18-eu-green-hydrogen-additionality-finland-datacentres.md</w:t>
      </w:r>
      <w:r>
        <w:t xml:space="preserve"> </w:t>
      </w:r>
      <w:r>
        <w:t xml:space="preserve">— EU RFNBO Delegated Regulation 2023/1184 (additionality, temporal correlation, geographical correlation) applied to Finnish datacentres. Datacentres claiming renewable-hydrogen-backed operations must prove the hydrogen meets all three additionality tests.</w:t>
      </w:r>
    </w:p>
    <w:p>
      <w:pPr>
        <w:numPr>
          <w:ilvl w:val="0"/>
          <w:numId w:val="1098"/>
        </w:numPr>
        <w:pStyle w:val="Compact"/>
      </w:pPr>
      <w:r>
        <w:rPr>
          <w:rStyle w:val="VerbatimChar"/>
          <w:bCs/>
          <w:b/>
        </w:rPr>
        <w:t xml:space="preserve">docs/DWS_IQ_7_DATACENTRE_COMPLIANCE_AGENT_PRD_v0.1.md</w:t>
      </w:r>
      <w:r>
        <w:t xml:space="preserve"> </w:t>
      </w:r>
      <w:r>
        <w:t xml:space="preserve">(and later v0.2 locking Ops Manager as V0 buyer) — Agent specification targeting hyperscaler + colocation operators in Finland (Microsoft, Google, Amazon, Equinix, Digita). Ops Manager ICP validated with a buyer-persona validation script.</w:t>
      </w:r>
    </w:p>
    <w:p>
      <w:pPr>
        <w:pStyle w:val="FirstParagraph"/>
      </w:pPr>
      <w:r>
        <w:rPr>
          <w:bCs/>
          <w:b/>
        </w:rPr>
        <w:t xml:space="preserve">Regulatory contribution to Section 10.17 (Carbon Balance Sheet):</w:t>
      </w:r>
      <w:r>
        <w:t xml:space="preserve"> </w:t>
      </w:r>
      <w:r>
        <w:t xml:space="preserve">Datacentres are the first industry where the ledger must reconcile</w:t>
      </w:r>
      <w:r>
        <w:t xml:space="preserve"> </w:t>
      </w:r>
      <w:r>
        <w:rPr>
          <w:iCs/>
          <w:i/>
        </w:rPr>
        <w:t xml:space="preserve">both</w:t>
      </w:r>
      <w:r>
        <w:t xml:space="preserve"> </w:t>
      </w:r>
      <w:r>
        <w:t xml:space="preserve">electricity-side accounting (ETS Scope 2) and fuel-side accounting (RFNBO hydrogen additionality). This extends the double-entry carbon ledger from the cement/steel/construction verticals originally analysed to a data-intensive service vertical — stressing the cross-regulation reconciliation claim with a qualitatively different emission profile.</w:t>
      </w:r>
    </w:p>
    <w:bookmarkEnd w:id="278"/>
    <w:bookmarkStart w:id="279" w:name="Xb29a3383c35ba8692cb75a4852c600dcd88508a"/>
    <w:p>
      <w:pPr>
        <w:pStyle w:val="Heading4"/>
      </w:pPr>
      <w:r>
        <w:t xml:space="preserve">10.20.4 Regulatory Stack Expansion: NIS2 + CER (Hybrid Threats)</w:t>
      </w:r>
    </w:p>
    <w:p>
      <w:pPr>
        <w:pStyle w:val="FirstParagraph"/>
      </w:pPr>
      <w:r>
        <w:t xml:space="preserve">The CORE Resilience Model blog post (onelifetime.world/posts/core-resilience-hybrid-threats.html, 2026-04-13) and the Hybridiosaamiskeskus hallitus turvallisuusvastuu 8.5.2026 field note expand DWS’s regulatory coverage beyond climate regulation:</w:t>
      </w:r>
    </w:p>
    <w:tbl>
      <w:tblPr>
        <w:tblStyle w:val="Table"/>
        <w:tblW w:type="pct" w:w="5000"/>
        <w:tblLook w:firstRow="1" w:lastRow="0" w:firstColumn="0" w:lastColumn="0" w:noHBand="0" w:noVBand="0" w:val="0020"/>
        <w:jc w:val="start"/>
      </w:tblPr>
      <w:tblGrid>
        <w:gridCol w:w="2892"/>
        <w:gridCol w:w="3236"/>
        <w:gridCol w:w="1790"/>
      </w:tblGrid>
      <w:tr>
        <w:trPr>
          <w:tblHeader w:val="true"/>
        </w:trPr>
        <w:tc>
          <w:tcPr/>
          <w:p>
            <w:pPr>
              <w:pStyle w:val="Compact"/>
              <w:jc w:val="left"/>
            </w:pPr>
            <w:r>
              <w:t xml:space="preserve">Regulation</w:t>
            </w:r>
          </w:p>
        </w:tc>
        <w:tc>
          <w:tcPr/>
          <w:p>
            <w:pPr>
              <w:pStyle w:val="Compact"/>
              <w:jc w:val="left"/>
            </w:pPr>
            <w:r>
              <w:t xml:space="preserve">Scope</w:t>
            </w:r>
          </w:p>
        </w:tc>
        <w:tc>
          <w:tcPr/>
          <w:p>
            <w:pPr>
              <w:pStyle w:val="Compact"/>
              <w:jc w:val="left"/>
            </w:pPr>
            <w:r>
              <w:t xml:space="preserve">Coverage status</w:t>
            </w:r>
          </w:p>
        </w:tc>
      </w:tr>
      <w:tr>
        <w:tc>
          <w:tcPr/>
          <w:p>
            <w:pPr>
              <w:pStyle w:val="Compact"/>
              <w:jc w:val="left"/>
            </w:pPr>
            <w:r>
              <w:t xml:space="preserve">ETS, CBAM, CSRD, Taxonomy, EED, Fit-for-55</w:t>
            </w:r>
          </w:p>
        </w:tc>
        <w:tc>
          <w:tcPr/>
          <w:p>
            <w:pPr>
              <w:pStyle w:val="Compact"/>
              <w:jc w:val="left"/>
            </w:pPr>
            <w:r>
              <w:t xml:space="preserve">Climate/energy</w:t>
            </w:r>
          </w:p>
        </w:tc>
        <w:tc>
          <w:tcPr/>
          <w:p>
            <w:pPr>
              <w:pStyle w:val="Compact"/>
              <w:jc w:val="left"/>
            </w:pPr>
            <w:r>
              <w:t xml:space="preserve">Production (Section 10.17)</w:t>
            </w:r>
          </w:p>
        </w:tc>
      </w:tr>
      <w:tr>
        <w:tc>
          <w:tcPr/>
          <w:p>
            <w:pPr>
              <w:pStyle w:val="Compact"/>
              <w:jc w:val="left"/>
            </w:pPr>
            <w:r>
              <w:t xml:space="preserve">EU AI Act Art 12</w:t>
            </w:r>
          </w:p>
        </w:tc>
        <w:tc>
          <w:tcPr/>
          <w:p>
            <w:pPr>
              <w:pStyle w:val="Compact"/>
              <w:jc w:val="left"/>
            </w:pPr>
            <w:r>
              <w:t xml:space="preserve">AI governance/logging</w:t>
            </w:r>
          </w:p>
        </w:tc>
        <w:tc>
          <w:tcPr/>
          <w:p>
            <w:pPr>
              <w:pStyle w:val="Compact"/>
              <w:jc w:val="left"/>
            </w:pPr>
            <w:r>
              <w:t xml:space="preserve">Production (Section 10.13)</w:t>
            </w:r>
          </w:p>
        </w:tc>
      </w:tr>
      <w:tr>
        <w:tc>
          <w:tcPr/>
          <w:p>
            <w:pPr>
              <w:pStyle w:val="Compact"/>
              <w:jc w:val="left"/>
            </w:pPr>
            <w:r>
              <w:rPr>
                <w:bCs/>
                <w:b/>
              </w:rPr>
              <w:t xml:space="preserve">NIS2</w:t>
            </w:r>
            <w:r>
              <w:t xml:space="preserve"> </w:t>
            </w:r>
            <w:r>
              <w:t xml:space="preserve">(Directive 2022/2555)</w:t>
            </w:r>
          </w:p>
        </w:tc>
        <w:tc>
          <w:tcPr/>
          <w:p>
            <w:pPr>
              <w:pStyle w:val="Compact"/>
              <w:jc w:val="left"/>
            </w:pPr>
            <w:r>
              <w:t xml:space="preserve">Cybersecurity of essential &amp; important entities</w:t>
            </w:r>
          </w:p>
        </w:tc>
        <w:tc>
          <w:tcPr/>
          <w:p>
            <w:pPr>
              <w:pStyle w:val="Compact"/>
              <w:jc w:val="left"/>
            </w:pPr>
            <w:r>
              <w:rPr>
                <w:bCs/>
                <w:b/>
              </w:rPr>
              <w:t xml:space="preserve">Added April 2026</w:t>
            </w:r>
          </w:p>
        </w:tc>
      </w:tr>
      <w:tr>
        <w:tc>
          <w:tcPr/>
          <w:p>
            <w:pPr>
              <w:pStyle w:val="Compact"/>
              <w:jc w:val="left"/>
            </w:pPr>
            <w:r>
              <w:rPr>
                <w:bCs/>
                <w:b/>
              </w:rPr>
              <w:t xml:space="preserve">CER</w:t>
            </w:r>
            <w:r>
              <w:t xml:space="preserve"> </w:t>
            </w:r>
            <w:r>
              <w:t xml:space="preserve">(Directive 2022/2557)</w:t>
            </w:r>
          </w:p>
        </w:tc>
        <w:tc>
          <w:tcPr/>
          <w:p>
            <w:pPr>
              <w:pStyle w:val="Compact"/>
              <w:jc w:val="left"/>
            </w:pPr>
            <w:r>
              <w:t xml:space="preserve">Critical Entities Resilience (physical + cyber)</w:t>
            </w:r>
          </w:p>
        </w:tc>
        <w:tc>
          <w:tcPr/>
          <w:p>
            <w:pPr>
              <w:pStyle w:val="Compact"/>
              <w:jc w:val="left"/>
            </w:pPr>
            <w:r>
              <w:rPr>
                <w:bCs/>
                <w:b/>
              </w:rPr>
              <w:t xml:space="preserve">Added April 2026</w:t>
            </w:r>
          </w:p>
        </w:tc>
      </w:tr>
    </w:tbl>
    <w:p>
      <w:pPr>
        <w:pStyle w:val="BodyText"/>
      </w:pPr>
      <w:r>
        <w:t xml:space="preserve">The Aegis product (</w:t>
      </w:r>
      <w:r>
        <w:rPr>
          <w:rStyle w:val="VerbatimChar"/>
        </w:rPr>
        <w:t xml:space="preserve">dws10.com/products/aegis.html</w:t>
      </w:r>
      <w:r>
        <w:t xml:space="preserve">, hackathon demo PR #1128) is re-positioned as the NIS2/CER wedge: sovereign security governance for critical infrastructure operators (SNCF France infrastructure surveillance field note 2026-04-14 validates the vertical). This is the first time DWS IQ 6 covers non-climate EU regulation — a material extension of the platform’s compliance scope.</w:t>
      </w:r>
    </w:p>
    <w:bookmarkEnd w:id="279"/>
    <w:bookmarkStart w:id="280" w:name="Xf2a4d90a4ff0af74f75747240d184d5ff07a319"/>
    <w:p>
      <w:pPr>
        <w:pStyle w:val="Heading4"/>
      </w:pPr>
      <w:r>
        <w:t xml:space="preserve">10.20.5 Founder→Team Transition and the Investor Outreach Workflow</w:t>
      </w:r>
    </w:p>
    <w:p>
      <w:pPr>
        <w:pStyle w:val="FirstParagraph"/>
      </w:pPr>
      <w:r>
        <w:t xml:space="preserve">Sections 10.7 (BYOA) and 10.11 (CEO Automation Agent Suite) framed DWS IQ 6 as a one-person-operated platform where AI-assisted tooling substitutes for headcount. April 2026 marks the deliberate transition from solo founder to team:</w:t>
      </w:r>
    </w:p>
    <w:p>
      <w:pPr>
        <w:numPr>
          <w:ilvl w:val="0"/>
          <w:numId w:val="1099"/>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Single source of truth narrative for Series A / SAFE investor conversations. Locks the solo-founder-with-AI-team thesis that the thesis itself documents.</w:t>
      </w:r>
    </w:p>
    <w:p>
      <w:pPr>
        <w:numPr>
          <w:ilvl w:val="0"/>
          <w:numId w:val="1099"/>
        </w:numPr>
        <w:pStyle w:val="Compact"/>
      </w:pPr>
      <w:r>
        <w:rPr>
          <w:bCs/>
          <w:b/>
        </w:rPr>
        <w:t xml:space="preserve">Anthony Maurin CTO co-builder track</w:t>
      </w:r>
      <w:r>
        <w:t xml:space="preserve"> </w:t>
      </w:r>
      <w:r>
        <w:t xml:space="preserve">(field note 2026-04-19</w:t>
      </w:r>
      <w:r>
        <w:t xml:space="preserve"> </w:t>
      </w:r>
      <w:r>
        <w:rPr>
          <w:iCs/>
          <w:i/>
        </w:rPr>
        <w:t xml:space="preserve">CTO LinkedIn search launched</w:t>
      </w:r>
      <w:r>
        <w:t xml:space="preserve">) — First named co-builder. Equity sequencing tightened against investor reactivation catalyst (Perissich).</w:t>
      </w:r>
    </w:p>
    <w:p>
      <w:pPr>
        <w:numPr>
          <w:ilvl w:val="0"/>
          <w:numId w:val="1099"/>
        </w:numPr>
        <w:pStyle w:val="Compact"/>
      </w:pPr>
      <w:r>
        <w:rPr>
          <w:rStyle w:val="VerbatimChar"/>
          <w:bCs/>
          <w:b/>
        </w:rPr>
        <w:t xml:space="preserve">/investor-outreach</w:t>
      </w:r>
      <w:r>
        <w:rPr>
          <w:bCs/>
          <w:b/>
        </w:rPr>
        <w:t xml:space="preserve"> </w:t>
      </w:r>
      <w:r>
        <w:rPr>
          <w:bCs/>
          <w:b/>
        </w:rPr>
        <w:t xml:space="preserve">skill</w:t>
      </w:r>
      <w:r>
        <w:t xml:space="preserve"> </w:t>
      </w:r>
      <w:r>
        <w:t xml:space="preserve">(PR #1109,</w:t>
      </w:r>
      <w:r>
        <w:t xml:space="preserve"> </w:t>
      </w:r>
      <w:r>
        <w:rPr>
          <w:rStyle w:val="VerbatimChar"/>
        </w:rPr>
        <w:t xml:space="preserve">.claude/commands/investor-outreach.md</w:t>
      </w:r>
      <w:r>
        <w:t xml:space="preserve">) — Reproducible workflow for drafting, triaging, and tracking investor INTRO notes. 10+ named notes drafted in the 2-week window: 42CAP (Wilke), Plug and Play Paris (Laouiti), Ingrisano, Perissich, Kefalogiannis, von Euen, Yomutbayev, Zawadzinski.</w:t>
      </w:r>
    </w:p>
    <w:p>
      <w:pPr>
        <w:pStyle w:val="FirstParagraph"/>
      </w:pPr>
      <w:r>
        <w:rPr>
          <w:bCs/>
          <w:b/>
        </w:rPr>
        <w:t xml:space="preserve">Research contribution:</w:t>
      </w:r>
      <w:r>
        <w:t xml:space="preserve"> </w:t>
      </w:r>
      <w:r>
        <w:t xml:space="preserve">The solo-founder-with-AI-team hypothesis is not abandoned — it is</w:t>
      </w:r>
      <w:r>
        <w:t xml:space="preserve"> </w:t>
      </w:r>
      <w:r>
        <w:rPr>
          <w:iCs/>
          <w:i/>
        </w:rPr>
        <w:t xml:space="preserve">staged</w:t>
      </w:r>
      <w:r>
        <w:t xml:space="preserve">. The platform must be usable by one person at t=0 (this thesis’s documented state) but must also absorb a small co-founding team without the platform’s thesis collapsing. The</w:t>
      </w:r>
      <w:r>
        <w:t xml:space="preserve"> </w:t>
      </w:r>
      <w:r>
        <w:rPr>
          <w:rStyle w:val="VerbatimChar"/>
        </w:rPr>
        <w:t xml:space="preserve">/investor-outreach</w:t>
      </w:r>
      <w:r>
        <w:t xml:space="preserve"> </w:t>
      </w:r>
      <w:r>
        <w:t xml:space="preserve">skill is a concrete mechanism: the investor pipeline itself is now a DWS IQ workflow, not tacit founder knowledge.</w:t>
      </w:r>
    </w:p>
    <w:bookmarkEnd w:id="280"/>
    <w:bookmarkStart w:id="281" w:name="research-contribution-11"/>
    <w:p>
      <w:pPr>
        <w:pStyle w:val="Heading4"/>
      </w:pPr>
      <w:r>
        <w:t xml:space="preserve">10.20.6 Research Contribution</w:t>
      </w:r>
    </w:p>
    <w:p>
      <w:pPr>
        <w:pStyle w:val="FirstParagraph"/>
      </w:pPr>
      <w:r>
        <w:rPr>
          <w:bCs/>
          <w:b/>
        </w:rPr>
        <w:t xml:space="preserve">Key Contribution #25 — Skills Paradigm Validated by Industry Consensus:</w:t>
      </w:r>
      <w:r>
        <w:t xml:space="preserve"> </w:t>
      </w:r>
      <w:r>
        <w:t xml:space="preserve">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The DWS IQ 6 skill library (24+ production skills, 4 discipline gates) is the emerging industry pattern rather than a DWS-specific bet.</w:t>
      </w:r>
    </w:p>
    <w:p>
      <w:pPr>
        <w:pStyle w:val="BodyText"/>
      </w:pPr>
      <w:r>
        <w:rPr>
          <w:bCs/>
          <w:b/>
        </w:rPr>
        <w:t xml:space="preserve">Key Contribution #26 — Lifetime Fleet Crystallization:</w:t>
      </w:r>
      <w:r>
        <w:t xml:space="preserve"> </w:t>
      </w:r>
      <w:r>
        <w:t xml:space="preserve">The Brain-Memory-Body-Hands stack is now testable end-to-end. Lifetime Fleet graduates from</w:t>
      </w:r>
      <w:r>
        <w:t xml:space="preserve"> </w:t>
      </w:r>
      <w:r>
        <w:t xml:space="preserve">“</w:t>
      </w:r>
      <w:r>
        <w:t xml:space="preserve">specification phase</w:t>
      </w:r>
      <w:r>
        <w:t xml:space="preserve">”</w:t>
      </w:r>
      <w:r>
        <w:t xml:space="preserve"> </w:t>
      </w:r>
      <w:r>
        <w:t xml:space="preserve">to a 12–16 week Baltic-first MVP (2026-04-19) with full reuse of the KYA/Aegis/Firehorse governance stack. The compliance-first world-model thesis (§10.18) is no longer a Phase 2 abstraction.</w:t>
      </w:r>
    </w:p>
    <w:p>
      <w:pPr>
        <w:pStyle w:val="BodyText"/>
      </w:pPr>
      <w:r>
        <w:rPr>
          <w:bCs/>
          <w:b/>
        </w:rPr>
        <w:t xml:space="preserve">Key Contribution #27 — 22nd Industry via Green Hydrogen Additionality:</w:t>
      </w:r>
      <w:r>
        <w:t xml:space="preserve"> </w:t>
      </w:r>
      <w:r>
        <w:t xml:space="preserve">The Datacentre Compliance Agent (RFNBO Delegated Regulation 2023/1184) extends the double-entry carbon ledger (§10.17) to a qualitatively different vertical (data-intensive services, not heavy industry). The regulatory stack now covers NIS2 + CER in addition to climate regulation — the first cross-domain extension of the platform’s EU regulatory coverage.</w:t>
      </w:r>
    </w:p>
    <w:p>
      <w:pPr>
        <w:pStyle w:val="BodyText"/>
      </w:pPr>
      <w:r>
        <w:rPr>
          <w:bCs/>
          <w:b/>
        </w:rPr>
        <w:t xml:space="preserve">Key Contribution #28 — Founder→Team Transition as Platform Feature:</w:t>
      </w:r>
      <w:r>
        <w:t xml:space="preserve"> </w:t>
      </w:r>
      <w:r>
        <w:t xml:space="preserve">The solo-founder-with-AI-team thesis is staged rather than asserted. The</w:t>
      </w:r>
      <w:r>
        <w:t xml:space="preserve"> </w:t>
      </w:r>
      <w:r>
        <w:rPr>
          <w:rStyle w:val="VerbatimChar"/>
        </w:rPr>
        <w:t xml:space="preserve">/investor-outreach</w:t>
      </w:r>
      <w:r>
        <w:t xml:space="preserve"> </w:t>
      </w:r>
      <w:r>
        <w:t xml:space="preserve">skill and the SOLO_FOUNDER_STATEMENT single-source-of-truth pattern make investor outreach a DWS IQ workflow itself. This validates the platform’s own thesis: if the platform cannot run its own fundraising as a reproducible skill, it cannot claim to replicate solution-factory work for customers.</w:t>
      </w:r>
    </w:p>
    <w:bookmarkEnd w:id="281"/>
    <w:bookmarkEnd w:id="282"/>
    <w:bookmarkStart w:id="291" w:name="X77ddb91e7fdb68b40cc1db7b9a0417293ce1dc7"/>
    <w:p>
      <w:pPr>
        <w:pStyle w:val="Heading3"/>
      </w:pPr>
      <w:r>
        <w:t xml:space="preserve">10.21 Doctoral Track Targeting: KYA Foundation, DWS 7 Objectives, and Dual-Use Expansion</w:t>
      </w:r>
    </w:p>
    <w:bookmarkStart w:id="283" w:name="X0c656941d5f8d2e3b791fcbed61171dec2a1671"/>
    <w:p>
      <w:pPr>
        <w:pStyle w:val="Heading4"/>
      </w:pPr>
      <w:r>
        <w:t xml:space="preserve">10.21.1 KYA toward an Agentic AI Foundation Standard</w:t>
      </w:r>
    </w:p>
    <w:p>
      <w:pPr>
        <w:pStyle w:val="FirstParagraph"/>
      </w:pPr>
      <w:r>
        <w:t xml:space="preserve">In this update, KYA (Know Your Agent) is explicitly positioned beyond internal governance toward an</w:t>
      </w:r>
      <w:r>
        <w:t xml:space="preserve"> </w:t>
      </w:r>
      <w:r>
        <w:rPr>
          <w:bCs/>
          <w:b/>
        </w:rPr>
        <w:t xml:space="preserve">Agentic AI Foundation</w:t>
      </w:r>
      <w:r>
        <w:t xml:space="preserve"> </w:t>
      </w:r>
      <w:r>
        <w:t xml:space="preserve">standard candidate. The target scope includes identity binding, runtime control, audit traceability, kill-switch governance, and sovereignty controls for regulated agentic systems.</w:t>
      </w:r>
    </w:p>
    <w:bookmarkEnd w:id="283"/>
    <w:bookmarkStart w:id="284" w:name="X48461b96bf4a38ed3dd57f4301b56a548448b05"/>
    <w:p>
      <w:pPr>
        <w:pStyle w:val="Heading4"/>
      </w:pPr>
      <w:r>
        <w:t xml:space="preserve">10.21.2 DWS 7 Objectives as Empirical Research Frame</w:t>
      </w:r>
    </w:p>
    <w:p>
      <w:pPr>
        <w:pStyle w:val="FirstParagraph"/>
      </w:pPr>
      <w:r>
        <w:t xml:space="preserve">DWS 7 is defined as the operational validation frame for:</w:t>
      </w:r>
    </w:p>
    <w:p>
      <w:pPr>
        <w:numPr>
          <w:ilvl w:val="0"/>
          <w:numId w:val="1100"/>
        </w:numPr>
        <w:pStyle w:val="Compact"/>
      </w:pPr>
      <w:r>
        <w:t xml:space="preserve">persistent carbon-ledger infrastructure,</w:t>
      </w:r>
    </w:p>
    <w:p>
      <w:pPr>
        <w:numPr>
          <w:ilvl w:val="0"/>
          <w:numId w:val="1100"/>
        </w:numPr>
        <w:pStyle w:val="Compact"/>
      </w:pPr>
      <w:r>
        <w:t xml:space="preserve">production-grade KYA governance evidence chains,</w:t>
      </w:r>
    </w:p>
    <w:p>
      <w:pPr>
        <w:numPr>
          <w:ilvl w:val="0"/>
          <w:numId w:val="1100"/>
        </w:numPr>
        <w:pStyle w:val="Compact"/>
      </w:pPr>
      <w:r>
        <w:t xml:space="preserve">sovereignty segmentation across product layers (Aegis / Sovereign Infra / Connect),</w:t>
      </w:r>
    </w:p>
    <w:p>
      <w:pPr>
        <w:numPr>
          <w:ilvl w:val="0"/>
          <w:numId w:val="1100"/>
        </w:numPr>
        <w:pStyle w:val="Compact"/>
      </w:pPr>
      <w:r>
        <w:t xml:space="preserve">partner-channel integration with Siemens and NVIDIA Connect ecosystems.</w:t>
      </w:r>
    </w:p>
    <w:bookmarkEnd w:id="284"/>
    <w:bookmarkStart w:id="285" w:name="X4699dbcf452dd5ea1b2fa42cc5bebfe7930b074"/>
    <w:p>
      <w:pPr>
        <w:pStyle w:val="Heading4"/>
      </w:pPr>
      <w:r>
        <w:t xml:space="preserve">10.21.3 Hydrogen-Economy Continuity (DWS 5 -&gt; DWS 7)</w:t>
      </w:r>
    </w:p>
    <w:p>
      <w:pPr>
        <w:pStyle w:val="FirstParagraph"/>
      </w:pPr>
      <w:r>
        <w:t xml:space="preserve">Hydrogen economy requirements are formalized as a continuity thread from DWS 5 into DWS 7. RFNBO additionality logic, temporal correlation, and geographical correlation are treated as long-horizon regulatory constraints feeding platform architecture decisions.</w:t>
      </w:r>
    </w:p>
    <w:bookmarkEnd w:id="285"/>
    <w:bookmarkStart w:id="286" w:name="Xe1b12a92e1c53d08cb4663e1a46e174a15ae808"/>
    <w:p>
      <w:pPr>
        <w:pStyle w:val="Heading4"/>
      </w:pPr>
      <w:r>
        <w:t xml:space="preserve">10.21.4 Third Research Stream: Dual-Use Industries</w:t>
      </w:r>
    </w:p>
    <w:p>
      <w:pPr>
        <w:pStyle w:val="FirstParagraph"/>
      </w:pPr>
      <w:r>
        <w:t xml:space="preserve">The third stream is explicitly focused on dual-use industries (industrial + defence). Ongoing Nokia Defence discussions are recorded as part of the funding-and-pilot path for this stream.</w:t>
      </w:r>
    </w:p>
    <w:bookmarkEnd w:id="286"/>
    <w:bookmarkStart w:id="287" w:name="X4f5d6f7db936289d749397065e96e1698498be9"/>
    <w:p>
      <w:pPr>
        <w:pStyle w:val="Heading4"/>
      </w:pPr>
      <w:r>
        <w:t xml:space="preserve">10.21.5 Sovereignty Segmentation of Product Tiers (Core Figure)</w:t>
      </w:r>
    </w:p>
    <w:p>
      <w:pPr>
        <w:pStyle w:val="FirstParagraph"/>
      </w:pPr>
    </w:p>
    <w:p>
      <w:pPr>
        <w:pStyle w:val="BodyText"/>
      </w:pPr>
      <w:r>
        <w:t xml:space="preserve">Analytical role of the segmentation:</w:t>
      </w:r>
    </w:p>
    <w:p>
      <w:pPr>
        <w:numPr>
          <w:ilvl w:val="0"/>
          <w:numId w:val="1101"/>
        </w:numPr>
        <w:pStyle w:val="Compact"/>
      </w:pPr>
      <w:r>
        <w:rPr>
          <w:bCs/>
          <w:b/>
        </w:rPr>
        <w:t xml:space="preserve">Aegis:</w:t>
      </w:r>
      <w:r>
        <w:t xml:space="preserve"> </w:t>
      </w:r>
      <w:r>
        <w:t xml:space="preserve">critical-infrastructure security governance</w:t>
      </w:r>
    </w:p>
    <w:p>
      <w:pPr>
        <w:numPr>
          <w:ilvl w:val="0"/>
          <w:numId w:val="1101"/>
        </w:numPr>
        <w:pStyle w:val="Compact"/>
      </w:pPr>
      <w:r>
        <w:rPr>
          <w:bCs/>
          <w:b/>
        </w:rPr>
        <w:t xml:space="preserve">Sovereign Infra:</w:t>
      </w:r>
      <w:r>
        <w:t xml:space="preserve"> </w:t>
      </w:r>
      <w:r>
        <w:t xml:space="preserve">EU-sovereign deployment layer for regulated operators</w:t>
      </w:r>
    </w:p>
    <w:p>
      <w:pPr>
        <w:numPr>
          <w:ilvl w:val="0"/>
          <w:numId w:val="1101"/>
        </w:numPr>
        <w:pStyle w:val="Compact"/>
      </w:pPr>
      <w:r>
        <w:rPr>
          <w:bCs/>
          <w:b/>
        </w:rPr>
        <w:t xml:space="preserve">Connect:</w:t>
      </w:r>
      <w:r>
        <w:t xml:space="preserve"> </w:t>
      </w:r>
      <w:r>
        <w:t xml:space="preserve">global integration and distribution layer</w:t>
      </w:r>
    </w:p>
    <w:bookmarkEnd w:id="287"/>
    <w:bookmarkStart w:id="288" w:name="collaboration-anchors"/>
    <w:p>
      <w:pPr>
        <w:pStyle w:val="Heading4"/>
      </w:pPr>
      <w:r>
        <w:t xml:space="preserve">10.21.6 Collaboration Anchors</w:t>
      </w:r>
    </w:p>
    <w:p>
      <w:pPr>
        <w:pStyle w:val="FirstParagraph"/>
      </w:pPr>
      <w:r>
        <w:t xml:space="preserve">Siemens collaboration is anchored to digital-twin and industrial IoT data pathways. NVIDIA Connect collaboration is anchored to inference architecture, edge acceleration, and partner-led go-to-market channels.</w:t>
      </w:r>
    </w:p>
    <w:bookmarkEnd w:id="288"/>
    <w:bookmarkStart w:id="289" w:name="X170af2d183620e678abc5e690c0905d6d687438"/>
    <w:p>
      <w:pPr>
        <w:pStyle w:val="Heading4"/>
      </w:pPr>
      <w:r>
        <w:t xml:space="preserve">10.21.7 Supervisor Feedback and Response Structure</w:t>
      </w:r>
    </w:p>
    <w:p>
      <w:pPr>
        <w:pStyle w:val="FirstParagraph"/>
      </w:pPr>
      <w:r>
        <w:t xml:space="preserve">Kari Smolander’s guidance (2-year commitment limit, research-community socialization, 3-5 peer-reviewed papers plus synthesis thesis) is integrated into the plan. The response structure is aligned to four requested elements:</w:t>
      </w:r>
    </w:p>
    <w:p>
      <w:pPr>
        <w:numPr>
          <w:ilvl w:val="0"/>
          <w:numId w:val="1102"/>
        </w:numPr>
        <w:pStyle w:val="Compact"/>
      </w:pPr>
      <w:r>
        <w:t xml:space="preserve">research problem,</w:t>
      </w:r>
    </w:p>
    <w:p>
      <w:pPr>
        <w:numPr>
          <w:ilvl w:val="0"/>
          <w:numId w:val="1102"/>
        </w:numPr>
        <w:pStyle w:val="Compact"/>
      </w:pPr>
      <w:r>
        <w:t xml:space="preserve">research objectives,</w:t>
      </w:r>
    </w:p>
    <w:p>
      <w:pPr>
        <w:numPr>
          <w:ilvl w:val="0"/>
          <w:numId w:val="1102"/>
        </w:numPr>
        <w:pStyle w:val="Compact"/>
      </w:pPr>
      <w:r>
        <w:t xml:space="preserve">preliminary methods,</w:t>
      </w:r>
    </w:p>
    <w:p>
      <w:pPr>
        <w:numPr>
          <w:ilvl w:val="0"/>
          <w:numId w:val="1102"/>
        </w:numPr>
        <w:pStyle w:val="Compact"/>
      </w:pPr>
      <w:r>
        <w:t xml:space="preserve">execution staging and publication path.</w:t>
      </w:r>
    </w:p>
    <w:p>
      <w:pPr>
        <w:pStyle w:val="FirstParagraph"/>
      </w:pPr>
      <w:r>
        <w:t xml:space="preserve">This creates a concrete basis for the next supervisory meeting.</w:t>
      </w:r>
    </w:p>
    <w:bookmarkEnd w:id="289"/>
    <w:bookmarkStart w:id="290" w:name="X7a927fc66479ba5745bc7eaa609eff204a37dc4"/>
    <w:p>
      <w:pPr>
        <w:pStyle w:val="Heading4"/>
      </w:pPr>
      <w:r>
        <w:t xml:space="preserve">10.21.8 Open-Source Standard Path and Publication Phasing</w:t>
      </w:r>
    </w:p>
    <w:p>
      <w:pPr>
        <w:pStyle w:val="FirstParagraph"/>
      </w:pPr>
      <w:r>
        <w:t xml:space="preserve">Based on the Boardy exchange, the research program now records an explicit standardization strategy:</w:t>
      </w:r>
    </w:p>
    <w:p>
      <w:pPr>
        <w:numPr>
          <w:ilvl w:val="0"/>
          <w:numId w:val="1103"/>
        </w:numPr>
        <w:pStyle w:val="Compact"/>
      </w:pPr>
      <w:r>
        <w:rPr>
          <w:bCs/>
          <w:b/>
        </w:rPr>
        <w:t xml:space="preserve">Article 1 (2026):</w:t>
      </w:r>
      <w:r>
        <w:t xml:space="preserve"> </w:t>
      </w:r>
      <w:r>
        <w:t xml:space="preserve">“</w:t>
      </w:r>
      <w:r>
        <w:t xml:space="preserve">KYA Standard: An Open Source Governance Framework for Agentic AI in EU-Regulated Industries</w:t>
      </w:r>
      <w:r>
        <w:t xml:space="preserve">”</w:t>
      </w:r>
      <w:r>
        <w:t xml:space="preserve"> </w:t>
      </w:r>
      <w:r>
        <w:t xml:space="preserve">— proposal track toward Agentic AI Foundation / Linux Foundation + conference submission.</w:t>
      </w:r>
    </w:p>
    <w:p>
      <w:pPr>
        <w:numPr>
          <w:ilvl w:val="0"/>
          <w:numId w:val="1103"/>
        </w:numPr>
        <w:pStyle w:val="Compact"/>
      </w:pPr>
      <w:r>
        <w:rPr>
          <w:bCs/>
          <w:b/>
        </w:rPr>
        <w:t xml:space="preserve">Article 2 (2027):</w:t>
      </w:r>
      <w:r>
        <w:t xml:space="preserve"> </w:t>
      </w:r>
      <w:r>
        <w:t xml:space="preserve">scalability of MCP + A2A architecture across regulated verticals (journal-targeted).</w:t>
      </w:r>
    </w:p>
    <w:p>
      <w:pPr>
        <w:numPr>
          <w:ilvl w:val="0"/>
          <w:numId w:val="1103"/>
        </w:numPr>
        <w:pStyle w:val="Compact"/>
      </w:pPr>
      <w:r>
        <w:rPr>
          <w:bCs/>
          <w:b/>
        </w:rPr>
        <w:t xml:space="preserve">Articles 3-4 (2028):</w:t>
      </w:r>
      <w:r>
        <w:t xml:space="preserve"> </w:t>
      </w:r>
      <w:r>
        <w:t xml:space="preserve">empirical findings from production/customer environments.</w:t>
      </w:r>
    </w:p>
    <w:p>
      <w:pPr>
        <w:numPr>
          <w:ilvl w:val="0"/>
          <w:numId w:val="1103"/>
        </w:numPr>
        <w:pStyle w:val="Compact"/>
      </w:pPr>
      <w:r>
        <w:rPr>
          <w:bCs/>
          <w:b/>
        </w:rPr>
        <w:t xml:space="preserve">Synthesis phase (2028-2029):</w:t>
      </w:r>
      <w:r>
        <w:t xml:space="preserve"> </w:t>
      </w:r>
      <w:r>
        <w:t xml:space="preserve">introductory thesis volume + dissertation compilation.</w:t>
      </w:r>
    </w:p>
    <w:p>
      <w:pPr>
        <w:pStyle w:val="FirstParagraph"/>
      </w:pPr>
      <w:r>
        <w:t xml:space="preserve">Status clarification (21.04.2026):</w:t>
      </w:r>
    </w:p>
    <w:p>
      <w:pPr>
        <w:numPr>
          <w:ilvl w:val="0"/>
          <w:numId w:val="1104"/>
        </w:numPr>
        <w:pStyle w:val="Compact"/>
      </w:pPr>
      <w:r>
        <w:t xml:space="preserve">KYA open-source proposal has not been sent yet.</w:t>
      </w:r>
    </w:p>
    <w:p>
      <w:pPr>
        <w:numPr>
          <w:ilvl w:val="0"/>
          <w:numId w:val="1104"/>
        </w:numPr>
        <w:pStyle w:val="Compact"/>
      </w:pPr>
      <w:r>
        <w:t xml:space="preserve">NIST submission has not been sent yet.</w:t>
      </w:r>
    </w:p>
    <w:p>
      <w:pPr>
        <w:numPr>
          <w:ilvl w:val="0"/>
          <w:numId w:val="1104"/>
        </w:numPr>
        <w:pStyle w:val="Compact"/>
      </w:pPr>
      <w:r>
        <w:t xml:space="preserve">Paths are complementary; this cycle prioritizes open-source adoption first.</w:t>
      </w:r>
    </w:p>
    <w:p>
      <w:pPr>
        <w:pStyle w:val="FirstParagraph"/>
      </w:pPr>
      <w:r>
        <w:t xml:space="preserve">Additionally, the EIC Step 1 package (5-page proposal, 10-slide deck, 3-minute video script) is documented as a commercialization-facing narrative layer that supports Article 1 positioning, without replacing the peer-reviewed publication pathway.</w:t>
      </w:r>
    </w:p>
    <w:p>
      <w:r>
        <w:pict>
          <v:rect style="width:0;height:1.5pt" o:hralign="center" o:hrstd="t" o:hr="t"/>
        </w:pict>
      </w:r>
    </w:p>
    <w:bookmarkEnd w:id="290"/>
    <w:bookmarkEnd w:id="291"/>
    <w:bookmarkStart w:id="299" w:name="Xfe7a1c1d11c0a784faf7b9667fd4c53a99cca0d"/>
    <w:p>
      <w:pPr>
        <w:pStyle w:val="Heading3"/>
      </w:pPr>
      <w:r>
        <w:t xml:space="preserve">10.22 DWS Skilled Taxonomy: Three Tiers Across Agents, Workflows, and Jurisdictions</w:t>
      </w:r>
    </w:p>
    <w:p>
      <w:pPr>
        <w:pStyle w:val="FirstParagraph"/>
      </w:pPr>
      <w:r>
        <w:rPr>
          <w:iCs/>
          <w:i/>
        </w:rPr>
        <w:t xml:space="preserve">Added: 22.04.2026 | Source: CLAUDE.md</w:t>
      </w:r>
      <w:r>
        <w:rPr>
          <w:iCs/>
          <w:i/>
        </w:rPr>
        <w:t xml:space="preserve"> </w:t>
      </w:r>
      <w:r>
        <w:rPr>
          <w:iCs/>
          <w:i/>
        </w:rPr>
        <w:t xml:space="preserve">“</w:t>
      </w:r>
      <w:r>
        <w:rPr>
          <w:iCs/>
          <w:i/>
        </w:rPr>
        <w:t xml:space="preserve">DWS Skilled Taxonomy Rule</w:t>
      </w:r>
      <w:r>
        <w:rPr>
          <w:iCs/>
          <w:i/>
        </w:rPr>
        <w:t xml:space="preserve">”</w:t>
      </w:r>
      <w:r>
        <w:rPr>
          <w:iCs/>
          <w:i/>
        </w:rPr>
        <w:t xml:space="preserve">; Anthropic 2026-04-16 Skills paradigm essay (§10.20.1); deprecation of</w:t>
      </w:r>
      <w:r>
        <w:rPr>
          <w:iCs/>
          <w:i/>
        </w:rPr>
        <w:t xml:space="preserve"> </w:t>
      </w:r>
      <w:r>
        <w:rPr>
          <w:iCs/>
          <w:i/>
        </w:rPr>
        <w:t xml:space="preserve">“</w:t>
      </w:r>
      <w:r>
        <w:rPr>
          <w:iCs/>
          <w:i/>
        </w:rPr>
        <w:t xml:space="preserve">GodAgent</w:t>
      </w:r>
      <w:r>
        <w:rPr>
          <w:iCs/>
          <w:i/>
        </w:rPr>
        <w:t xml:space="preserve">”</w:t>
      </w:r>
      <w:r>
        <w:rPr>
          <w:iCs/>
          <w:i/>
        </w:rPr>
        <w:t xml:space="preserve"> </w:t>
      </w:r>
      <w:r>
        <w:rPr>
          <w:iCs/>
          <w:i/>
        </w:rPr>
        <w:t xml:space="preserve">branding.</w:t>
      </w:r>
    </w:p>
    <w:bookmarkStart w:id="292" w:name="motivation-4"/>
    <w:p>
      <w:pPr>
        <w:pStyle w:val="Heading4"/>
      </w:pPr>
      <w:r>
        <w:t xml:space="preserve">10.22.1 Motivation</w:t>
      </w:r>
    </w:p>
    <w:p>
      <w:pPr>
        <w:pStyle w:val="FirstParagraph"/>
      </w:pPr>
      <w:r>
        <w:t xml:space="preserve">The earlier</w:t>
      </w:r>
      <w:r>
        <w:t xml:space="preserve"> </w:t>
      </w:r>
      <w:r>
        <w:t xml:space="preserve">“</w:t>
      </w:r>
      <w:r>
        <w:t xml:space="preserve">GodAgent</w:t>
      </w:r>
      <w:r>
        <w:t xml:space="preserve">”</w:t>
      </w:r>
      <w:r>
        <w:t xml:space="preserve"> </w:t>
      </w:r>
      <w:r>
        <w:t xml:space="preserve">branding (introduced during the V3 platform build, see §10.13 and</w:t>
      </w:r>
      <w:r>
        <w:t xml:space="preserve"> </w:t>
      </w:r>
      <w:r>
        <w:rPr>
          <w:rStyle w:val="VerbatimChar"/>
        </w:rPr>
        <w:t xml:space="preserve">docs/Deputy-Agents-Architecture.md</w:t>
      </w:r>
      <w:r>
        <w:t xml:space="preserve">) conflated three distinct referents — a brand promise (capability acquired through skills), a technical specification (industry-scoped AI agent extending a base compliance layer), and a user-interface category (the enumerable list shown to buyers and operators). The conflation was tolerable during early-stage development but became a positioning liability once the Anthropic Skills paradigm (§10.20.1) validated</w:t>
      </w:r>
      <w:r>
        <w:t xml:space="preserve"> </w:t>
      </w:r>
      <w:r>
        <w:t xml:space="preserve">“</w:t>
      </w:r>
      <w:r>
        <w:t xml:space="preserve">skill-first</w:t>
      </w:r>
      <w:r>
        <w:t xml:space="preserve">”</w:t>
      </w:r>
      <w:r>
        <w:t xml:space="preserve"> </w:t>
      </w:r>
      <w:r>
        <w:t xml:space="preserve">as the industry-consensus architecture. A naming taxonomy is therefore introduced to replace the single</w:t>
      </w:r>
      <w:r>
        <w:t xml:space="preserve"> </w:t>
      </w:r>
      <w:r>
        <w:t xml:space="preserve">“</w:t>
      </w:r>
      <w:r>
        <w:t xml:space="preserve">GodAgent</w:t>
      </w:r>
      <w:r>
        <w:t xml:space="preserve">”</w:t>
      </w:r>
      <w:r>
        <w:t xml:space="preserve"> </w:t>
      </w:r>
      <w:r>
        <w:t xml:space="preserve">label with register-specific terms, and — more importantly — to generalise the pattern beyond agents to workflows and jurisdictions.</w:t>
      </w:r>
    </w:p>
    <w:bookmarkEnd w:id="292"/>
    <w:bookmarkStart w:id="293" w:name="three-tier-pattern"/>
    <w:p>
      <w:pPr>
        <w:pStyle w:val="Heading4"/>
      </w:pPr>
      <w:r>
        <w:t xml:space="preserve">10.22.2 Three-Tier Pattern</w:t>
      </w:r>
    </w:p>
    <w:p>
      <w:pPr>
        <w:pStyle w:val="FirstParagraph"/>
      </w:pPr>
      <w:r>
        <w:t xml:space="preserve">The taxonomy defines a single three-tier pattern applied to every capability axis where DWS offers depth:</w:t>
      </w:r>
    </w:p>
    <w:p>
      <w:pPr>
        <w:pStyle w:val="SourceCode"/>
      </w:pPr>
      <w:r>
        <w:rPr>
          <w:rStyle w:val="VerbatimChar"/>
        </w:rPr>
        <w:t xml:space="preserve">Skilled &lt;Axis&gt;                 ← BRAND   (what we SELL)</w:t>
      </w:r>
      <w:r>
        <w:br/>
      </w:r>
      <w:r>
        <w:rPr>
          <w:rStyle w:val="VerbatimChar"/>
        </w:rPr>
        <w:t xml:space="preserve">    └─ Industrial Specialist &lt;Axis&gt;    ← SPEC    (what they ARE)</w:t>
      </w:r>
      <w:r>
        <w:br/>
      </w:r>
      <w:r>
        <w:rPr>
          <w:rStyle w:val="VerbatimChar"/>
        </w:rPr>
        <w:t xml:space="preserve">            └─ Industry &lt;Axis&gt;         ← UI      (how we LIST them)</w:t>
      </w:r>
    </w:p>
    <w:p>
      <w:pPr>
        <w:pStyle w:val="FirstParagraph"/>
      </w:pPr>
      <w:r>
        <w:t xml:space="preserve">The three tiers separate marketing, documentation, and interface registers under a shared mental model. The three terms refer to the same underlying artefact at each axis; the register changes with the surface.</w:t>
      </w:r>
    </w:p>
    <w:bookmarkEnd w:id="293"/>
    <w:bookmarkStart w:id="294" w:name="three-active-axes-april-2026"/>
    <w:p>
      <w:pPr>
        <w:pStyle w:val="Heading4"/>
      </w:pPr>
      <w:r>
        <w:t xml:space="preserve">10.22.3 Three Active Axes (April 2026)</w:t>
      </w:r>
    </w:p>
    <w:tbl>
      <w:tblPr>
        <w:tblStyle w:val="Table"/>
        <w:tblW w:type="pct" w:w="5000"/>
        <w:tblLook w:firstRow="1" w:lastRow="0" w:firstColumn="0" w:lastColumn="0" w:noHBand="0" w:noVBand="0" w:val="0020"/>
        <w:jc w:val="start"/>
      </w:tblPr>
      <w:tblGrid>
        <w:gridCol w:w="398"/>
        <w:gridCol w:w="1595"/>
        <w:gridCol w:w="3817"/>
        <w:gridCol w:w="2108"/>
      </w:tblGrid>
      <w:tr>
        <w:trPr>
          <w:tblHeader w:val="true"/>
        </w:trPr>
        <w:tc>
          <w:tcPr/>
          <w:p>
            <w:pPr>
              <w:pStyle w:val="Compact"/>
              <w:jc w:val="left"/>
            </w:pPr>
            <w:r>
              <w:t xml:space="preserve">Tier</w:t>
            </w:r>
          </w:p>
        </w:tc>
        <w:tc>
          <w:tcPr/>
          <w:p>
            <w:pPr>
              <w:pStyle w:val="Compact"/>
              <w:jc w:val="left"/>
            </w:pPr>
            <w:r>
              <w:rPr>
                <w:bCs/>
                <w:b/>
              </w:rPr>
              <w:t xml:space="preserve">Agents</w:t>
            </w:r>
          </w:p>
        </w:tc>
        <w:tc>
          <w:tcPr/>
          <w:p>
            <w:pPr>
              <w:pStyle w:val="Compact"/>
              <w:jc w:val="left"/>
            </w:pPr>
            <w:r>
              <w:rPr>
                <w:bCs/>
                <w:b/>
              </w:rPr>
              <w:t xml:space="preserve">Workflows</w:t>
            </w:r>
          </w:p>
        </w:tc>
        <w:tc>
          <w:tcPr/>
          <w:p>
            <w:pPr>
              <w:pStyle w:val="Compact"/>
              <w:jc w:val="left"/>
            </w:pPr>
            <w:r>
              <w:rPr>
                <w:bCs/>
                <w:b/>
              </w:rPr>
              <w:t xml:space="preserve">Jurisdictions</w:t>
            </w:r>
          </w:p>
        </w:tc>
      </w:tr>
      <w:tr>
        <w:tc>
          <w:tcPr/>
          <w:p>
            <w:pPr>
              <w:pStyle w:val="Compact"/>
              <w:jc w:val="left"/>
            </w:pPr>
            <w:r>
              <w:t xml:space="preserve">1 Brand</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Spec</w:t>
            </w:r>
          </w:p>
        </w:tc>
        <w:tc>
          <w:tcPr/>
          <w:p>
            <w:pPr>
              <w:pStyle w:val="Compact"/>
              <w:jc w:val="left"/>
            </w:pPr>
            <w:r>
              <w:t xml:space="preserve">Industrial Specialist Agents</w:t>
            </w:r>
          </w:p>
        </w:tc>
        <w:tc>
          <w:tcPr/>
          <w:p>
            <w:pPr>
              <w:pStyle w:val="Compact"/>
              <w:jc w:val="left"/>
            </w:pPr>
            <w:r>
              <w:t xml:space="preserve">Specialist Workflows (long-form:</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Agents.</w:t>
      </w:r>
      <w:r>
        <w:t xml:space="preserve"> </w:t>
      </w:r>
      <w:r>
        <w:t xml:space="preserve">Industry-scoped AI agents that extend the base Athena EU-compliance layer with sector-specific knowledge (steel, cement, chemicals, construction, datacentres, and the 20+ industries documented in §10.6–10.8).</w:t>
      </w:r>
    </w:p>
    <w:p>
      <w:pPr>
        <w:pStyle w:val="BodyText"/>
      </w:pPr>
      <w:r>
        <w:rPr>
          <w:bCs/>
          <w:b/>
        </w:rPr>
        <w:t xml:space="preserve">Workflows.</w:t>
      </w:r>
      <w:r>
        <w:t xml:space="preserve"> </w:t>
      </w:r>
      <w:r>
        <w:t xml:space="preserve">Deterministic compositions of agents triggered by schedule or event — the skill invocation layer from §10.13.3.</w:t>
      </w:r>
      <w:r>
        <w:t xml:space="preserve"> </w:t>
      </w:r>
      <w:r>
        <w:t xml:space="preserve">“</w:t>
      </w:r>
      <w:r>
        <w:t xml:space="preserve">Autonomous</w:t>
      </w:r>
      <w:r>
        <w:t xml:space="preserve">”</w:t>
      </w:r>
      <w:r>
        <w:t xml:space="preserve"> </w:t>
      </w:r>
      <w:r>
        <w:t xml:space="preserve">is added to the brand tier because workflows execute without a human in the loop, whereas agents are invoked.</w:t>
      </w:r>
    </w:p>
    <w:p>
      <w:pPr>
        <w:pStyle w:val="BodyText"/>
      </w:pPr>
      <w:r>
        <w:rPr>
          <w:bCs/>
          <w:b/>
        </w:rPr>
        <w:t xml:space="preserve">Jurisdictions.</w:t>
      </w:r>
      <w:r>
        <w:t xml:space="preserve"> </w:t>
      </w:r>
      <w:r>
        <w:t xml:space="preserve">The regulatory surfaces the platform is skilled in — currently EU (AI Act, GDPR, CBAM, ETS, CSRD, ESRS, EPBD), with US and Aiven mapped on the data-residency architecture (see</w:t>
      </w:r>
      <w:r>
        <w:t xml:space="preserve"> </w:t>
      </w:r>
      <w:r>
        <w:rPr>
          <w:rStyle w:val="VerbatimChar"/>
        </w:rPr>
        <w:t xml:space="preserve">docs/CLOUD_ENVIRONMENTS.md</w:t>
      </w:r>
      <w:r>
        <w:t xml:space="preserve">). The spec tier adds</w:t>
      </w:r>
      <w:r>
        <w:t xml:space="preserve"> </w:t>
      </w:r>
      <w:r>
        <w:t xml:space="preserve">“</w:t>
      </w:r>
      <w:r>
        <w:t xml:space="preserve">Regulatory</w:t>
      </w:r>
      <w:r>
        <w:t xml:space="preserve">”</w:t>
      </w:r>
      <w:r>
        <w:t xml:space="preserve"> </w:t>
      </w:r>
      <w:r>
        <w:t xml:space="preserve">because a jurisdiction is defined by its regulatory surface, not its geography alone.</w:t>
      </w:r>
    </w:p>
    <w:bookmarkEnd w:id="294"/>
    <w:bookmarkStart w:id="295" w:name="extensibility"/>
    <w:p>
      <w:pPr>
        <w:pStyle w:val="Heading4"/>
      </w:pPr>
      <w:r>
        <w:t xml:space="preserve">10.22.4 Extensibility</w:t>
      </w:r>
    </w:p>
    <w:p>
      <w:pPr>
        <w:pStyle w:val="FirstParagraph"/>
      </w:pPr>
      <w:r>
        <w:t xml:space="preserve">When DWS adds a new capability axis (e.g., Datasets, Models, Regulations, Reports), it is named</w:t>
      </w:r>
      <w:r>
        <w:t xml:space="preserve"> </w:t>
      </w:r>
      <w:r>
        <w:rPr>
          <w:rStyle w:val="VerbatimChar"/>
        </w:rPr>
        <w:t xml:space="preserve">Skilled &lt;Axis&gt;</w:t>
      </w:r>
      <w:r>
        <w:t xml:space="preserve"> </w:t>
      </w:r>
      <w:r>
        <w:t xml:space="preserve">/</w:t>
      </w:r>
      <w:r>
        <w:t xml:space="preserve"> </w:t>
      </w:r>
      <w:r>
        <w:rPr>
          <w:rStyle w:val="VerbatimChar"/>
        </w:rPr>
        <w:t xml:space="preserve">Industrial Specialist &lt;Axis&gt;</w:t>
      </w:r>
      <w:r>
        <w:t xml:space="preserve"> </w:t>
      </w:r>
      <w:r>
        <w:t xml:space="preserve">/</w:t>
      </w:r>
      <w:r>
        <w:t xml:space="preserve"> </w:t>
      </w:r>
      <w:r>
        <w:rPr>
          <w:rStyle w:val="VerbatimChar"/>
        </w:rPr>
        <w:t xml:space="preserve">Industry &lt;Axis&gt;</w:t>
      </w:r>
      <w:r>
        <w:t xml:space="preserve"> </w:t>
      </w:r>
      <w:r>
        <w:t xml:space="preserve">and added as a new column to the taxonomy table. Parallel brand words are disallowed; the pattern is deliberately monotone to prevent the register-conflation problem the earlier</w:t>
      </w:r>
      <w:r>
        <w:t xml:space="preserve"> </w:t>
      </w:r>
      <w:r>
        <w:t xml:space="preserve">“</w:t>
      </w:r>
      <w:r>
        <w:t xml:space="preserve">GodAgent</w:t>
      </w:r>
      <w:r>
        <w:t xml:space="preserve">”</w:t>
      </w:r>
      <w:r>
        <w:t xml:space="preserve"> </w:t>
      </w:r>
      <w:r>
        <w:t xml:space="preserve">label caused.</w:t>
      </w:r>
    </w:p>
    <w:bookmarkEnd w:id="295"/>
    <w:bookmarkStart w:id="296" w:name="count-dynamism"/>
    <w:p>
      <w:pPr>
        <w:pStyle w:val="Heading4"/>
      </w:pPr>
      <w:r>
        <w:t xml:space="preserve">10.22.5 Count Dynamism</w:t>
      </w:r>
    </w:p>
    <w:p>
      <w:pPr>
        <w:pStyle w:val="FirstParagraph"/>
      </w:pPr>
      <w:r>
        <w:t xml:space="preserve">The number of entries in each axis changes over time (e.g., the 22nd industry introduced via the Datacentre Compliance Agent, §10.20.3; the skill library expanding from 6 to 21 to 24+ between v3.31 and v3.34). Hard-coded counts in brand copy are therefore an anti-pattern. Three patterns are acceptable:</w:t>
      </w:r>
    </w:p>
    <w:p>
      <w:pPr>
        <w:numPr>
          <w:ilvl w:val="0"/>
          <w:numId w:val="1105"/>
        </w:numPr>
        <w:pStyle w:val="Compact"/>
      </w:pPr>
      <w:r>
        <w:rPr>
          <w:bCs/>
          <w:b/>
        </w:rPr>
        <w:t xml:space="preserve">Open-ended counts</w:t>
      </w:r>
      <w:r>
        <w:t xml:space="preserve"> </w:t>
      </w:r>
      <w:r>
        <w:t xml:space="preserve">in platform copy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 the</w:t>
      </w:r>
      <w:r>
        <w:t xml:space="preserve"> </w:t>
      </w:r>
      <w:r>
        <w:rPr>
          <w:rStyle w:val="VerbatimChar"/>
        </w:rPr>
        <w:t xml:space="preserve">+</w:t>
      </w:r>
      <w:r>
        <w:t xml:space="preserve"> </w:t>
      </w:r>
      <w:r>
        <w:t xml:space="preserve">absorbs growth.</w:t>
      </w:r>
    </w:p>
    <w:p>
      <w:pPr>
        <w:numPr>
          <w:ilvl w:val="0"/>
          <w:numId w:val="1105"/>
        </w:numPr>
        <w:pStyle w:val="Compact"/>
      </w:pPr>
      <w:r>
        <w:rPr>
          <w:bCs/>
          <w:b/>
        </w:rPr>
        <w:t xml:space="preserve">Registry-anchored references</w:t>
      </w:r>
      <w:r>
        <w:t xml:space="preserve"> </w:t>
      </w:r>
      <w:r>
        <w:t xml:space="preserve">in documents —</w:t>
      </w:r>
      <w:r>
        <w:t xml:space="preserve"> </w:t>
      </w:r>
      <w:r>
        <w:t xml:space="preserve">“</w:t>
      </w:r>
      <w:r>
        <w:t xml:space="preserve">see the Industrial Specialist Agent registry in</w:t>
      </w:r>
      <w:r>
        <w:t xml:space="preserve"> </w:t>
      </w:r>
      <w:r>
        <w:rPr>
          <w:rStyle w:val="VerbatimChar"/>
        </w:rPr>
        <w:t xml:space="preserve">docs/Deputy-Agents-Architecture.md</w:t>
      </w:r>
      <w:r>
        <w:t xml:space="preserve"> </w:t>
      </w:r>
      <w:r>
        <w:t xml:space="preserve">§3</w:t>
      </w:r>
      <w:r>
        <w:t xml:space="preserve">”</w:t>
      </w:r>
      <w:r>
        <w:t xml:space="preserve">; no number in prose.</w:t>
      </w:r>
    </w:p>
    <w:p>
      <w:pPr>
        <w:numPr>
          <w:ilvl w:val="0"/>
          <w:numId w:val="1105"/>
        </w:numPr>
        <w:pStyle w:val="Compact"/>
      </w:pPr>
      <w:r>
        <w:rPr>
          <w:bCs/>
          <w:b/>
        </w:rPr>
        <w:t xml:space="preserve">Product-scoped counts</w:t>
      </w:r>
      <w:r>
        <w:t xml:space="preserve"> </w:t>
      </w:r>
      <w:r>
        <w:t xml:space="preserve">in SKU copy —</w:t>
      </w:r>
      <w:r>
        <w:t xml:space="preserve"> </w:t>
      </w:r>
      <w:r>
        <w:t xml:space="preserve">“</w:t>
      </w:r>
      <w:r>
        <w:t xml:space="preserve">Climate Intelligence ships with 8 Skilled Agents</w:t>
      </w:r>
      <w:r>
        <w:t xml:space="preserve">”</w:t>
      </w:r>
      <w:r>
        <w:t xml:space="preserve">; acceptable but treated as part of the SKU specification in</w:t>
      </w:r>
      <w:r>
        <w:t xml:space="preserve"> </w:t>
      </w:r>
      <w:r>
        <w:rPr>
          <w:rStyle w:val="VerbatimChar"/>
        </w:rPr>
        <w:t xml:space="preserve">products.json</w:t>
      </w:r>
      <w:r>
        <w:t xml:space="preserve">, not as free-floating copy.</w:t>
      </w:r>
    </w:p>
    <w:bookmarkEnd w:id="296"/>
    <w:bookmarkStart w:id="297" w:name="exclusions"/>
    <w:p>
      <w:pPr>
        <w:pStyle w:val="Heading4"/>
      </w:pPr>
      <w:r>
        <w:t xml:space="preserve">10.22.6 Exclusions</w:t>
      </w:r>
    </w:p>
    <w:p>
      <w:pPr>
        <w:pStyle w:val="FirstParagraph"/>
      </w:pPr>
      <w:r>
        <w:t xml:space="preserve">Three scopes are explicitly excluded from the rename:</w:t>
      </w:r>
    </w:p>
    <w:p>
      <w:pPr>
        <w:numPr>
          <w:ilvl w:val="0"/>
          <w:numId w:val="1106"/>
        </w:numPr>
        <w:pStyle w:val="Compact"/>
      </w:pPr>
      <w:r>
        <w:rPr>
          <w:bCs/>
          <w:b/>
        </w:rPr>
        <w:t xml:space="preserve">Docker and infrastructure identifiers</w:t>
      </w:r>
      <w:r>
        <w:t xml:space="preserve"> </w:t>
      </w:r>
      <w:r>
        <w:t xml:space="preserve">(</w:t>
      </w:r>
      <w:r>
        <w:rPr>
          <w:rStyle w:val="VerbatimChar"/>
        </w:rPr>
        <w:t xml:space="preserve">dws-godagent-llm</w:t>
      </w:r>
      <w:r>
        <w:t xml:space="preserve"> </w:t>
      </w:r>
      <w:r>
        <w:t xml:space="preserve">network,</w:t>
      </w:r>
      <w:r>
        <w:t xml:space="preserve"> </w:t>
      </w:r>
      <w:r>
        <w:rPr>
          <w:rStyle w:val="VerbatimChar"/>
        </w:rPr>
        <w:t xml:space="preserve">dws-godagent:latest</w:t>
      </w:r>
      <w:r>
        <w:t xml:space="preserve"> </w:t>
      </w:r>
      <w:r>
        <w:t xml:space="preserve">image, label</w:t>
      </w:r>
      <w:r>
        <w:t xml:space="preserve"> </w:t>
      </w:r>
      <w:r>
        <w:rPr>
          <w:rStyle w:val="VerbatimChar"/>
        </w:rPr>
        <w:t xml:space="preserve">dws-godagent</w:t>
      </w:r>
      <w:r>
        <w:t xml:space="preserve">, iptables rules described in</w:t>
      </w:r>
      <w:r>
        <w:t xml:space="preserve"> </w:t>
      </w:r>
      <w:r>
        <w:rPr>
          <w:rStyle w:val="VerbatimChar"/>
        </w:rPr>
        <w:t xml:space="preserve">docs/Deputy-Agents-Architecture.md</w:t>
      </w:r>
      <w:r>
        <w:t xml:space="preserve"> </w:t>
      </w:r>
      <w:r>
        <w:t xml:space="preserve">§2.4–2.6) remain unchanged. Renaming these would require a coordinated infra migration, not a documentation change.</w:t>
      </w:r>
    </w:p>
    <w:p>
      <w:pPr>
        <w:numPr>
          <w:ilvl w:val="0"/>
          <w:numId w:val="1106"/>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(two words,</w:t>
      </w:r>
      <w:r>
        <w:t xml:space="preserve"> </w:t>
      </w:r>
      <w:r>
        <w:rPr>
          <w:rStyle w:val="VerbatimChar"/>
        </w:rPr>
        <w:t xml:space="preserve">onelifetime.world</w:t>
      </w:r>
      <w:r>
        <w:t xml:space="preserve"> </w:t>
      </w:r>
      <w:r>
        <w:t xml:space="preserve">Pantheon storyboard, Greek-mythology agent characters — Zeus, Athena, etc.) is a distinct brand identity (§10.13 Climate IQ Pantheon naming convention) and remains unchanged.</w:t>
      </w:r>
    </w:p>
    <w:p>
      <w:pPr>
        <w:numPr>
          <w:ilvl w:val="0"/>
          <w:numId w:val="1106"/>
        </w:numPr>
        <w:pStyle w:val="Compact"/>
      </w:pPr>
      <w:r>
        <w:rPr>
          <w:bCs/>
          <w:b/>
        </w:rPr>
        <w:t xml:space="preserve">Historical records</w:t>
      </w:r>
      <w:r>
        <w:t xml:space="preserve"> </w:t>
      </w:r>
      <w:r>
        <w:t xml:space="preserve">(field notes,</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dated project-cost folders) are point-in-time records and are not retroactively edited.</w:t>
      </w:r>
    </w:p>
    <w:bookmarkEnd w:id="297"/>
    <w:bookmarkStart w:id="298" w:name="research-contribution-12"/>
    <w:p>
      <w:pPr>
        <w:pStyle w:val="Heading4"/>
      </w:pPr>
      <w:r>
        <w:t xml:space="preserve">10.22.7 Research Contribution</w:t>
      </w:r>
    </w:p>
    <w:p>
      <w:pPr>
        <w:pStyle w:val="FirstParagraph"/>
      </w:pPr>
      <w:r>
        <w:t xml:space="preserve">The taxonomy is not merely a naming convention; it documents a design principle. Agentic product branding is multi-register, and a single label cannot serve brand, specification, and UI simultaneously without diluting each register. For EU-regulated industrial platforms — where audit-grade precision (spec register) and buyer-legible copy (brand register) must both survive compliance review, and where the nav-level category label is a buying decision made in seconds — a three-tier taxonomy decomposes a branding problem that Silicon Valley consumer platforms can evade with a single trade name. Extending the pattern across three orthogonal axes (agents, workflows, jurisdictions) demonstrates that the tiering generalises beyond the specific case of</w:t>
      </w:r>
      <w:r>
        <w:t xml:space="preserve"> </w:t>
      </w:r>
      <w:r>
        <w:t xml:space="preserve">“</w:t>
      </w:r>
      <w:r>
        <w:t xml:space="preserve">what we call our agents</w:t>
      </w:r>
      <w:r>
        <w:t xml:space="preserve">”</w:t>
      </w:r>
      <w:r>
        <w:t xml:space="preserve"> </w:t>
      </w:r>
      <w:r>
        <w:t xml:space="preserve">to any capability axis where DWS sells depth.</w:t>
      </w:r>
    </w:p>
    <w:p>
      <w:pPr>
        <w:pStyle w:val="BodyText"/>
      </w:pPr>
      <w:r>
        <w:rPr>
          <w:bCs/>
          <w:b/>
        </w:rPr>
        <w:t xml:space="preserve">Key Contribution #31 — Three-Tier Skilled Taxonomy for Regulated-Industry AI Platforms:</w:t>
      </w:r>
      <w:r>
        <w:t xml:space="preserve"> </w:t>
      </w:r>
      <w:r>
        <w:t xml:space="preserve">A brand / specification / UI taxonomy (Skilled / Industrial Specialist / Industry) is proposed as a design pattern for agent platforms that must simultaneously address brand, documentation, and interface audiences in EU-regulated industries. The pattern generalises across capability axes (agents, workflows, jurisdictions, and future axes) under a monotone</w:t>
      </w:r>
      <w:r>
        <w:t xml:space="preserve"> </w:t>
      </w:r>
      <w:r>
        <w:rPr>
          <w:rStyle w:val="VerbatimChar"/>
        </w:rPr>
        <w:t xml:space="preserve">Skilled &lt;Axis&gt;</w:t>
      </w:r>
      <w:r>
        <w:t xml:space="preserve"> </w:t>
      </w:r>
      <w:r>
        <w:t xml:space="preserve">pattern, avoiding the conflation that single-label conventions impose on platforms where each register is subject to different compliance constraints.</w:t>
      </w:r>
    </w:p>
    <w:p>
      <w:r>
        <w:pict>
          <v:rect style="width:0;height:1.5pt" o:hralign="center" o:hrstd="t" o:hr="t"/>
        </w:pict>
      </w:r>
    </w:p>
    <w:bookmarkEnd w:id="298"/>
    <w:bookmarkEnd w:id="299"/>
    <w:bookmarkStart w:id="307" w:name="Xe83162b5c540d5392c7c3cb92605c79fe18dc9a"/>
    <w:p>
      <w:pPr>
        <w:pStyle w:val="Heading3"/>
      </w:pPr>
      <w:r>
        <w:t xml:space="preserve">10.23 Three-Capital Accumulation Model: Token Capital, Human Capital, and Control Room Capital as Durable Assets of the DWS IQ 6 Operating Model</w:t>
      </w:r>
    </w:p>
    <w:bookmarkStart w:id="300" w:name="context-and-motivation"/>
    <w:p>
      <w:pPr>
        <w:pStyle w:val="Heading4"/>
      </w:pPr>
      <w:r>
        <w:t xml:space="preserve">10.23.1 Context and Motivation</w:t>
      </w:r>
    </w:p>
    <w:p>
      <w:pPr>
        <w:pStyle w:val="FirstParagraph"/>
      </w:pPr>
      <w:r>
        <w:t xml:space="preserve">The seven months from October 2025 through approximately May 2026 constituted the most intensive Human-in-the-Loop (HIL) phase of the DWS IQ 6 operating model. In June 2026, an observable phase transition occurred: the system reached a level of operational maturity where the operator’s primary role shifted from reviewing individual outputs to setting and maintaining the architectural policies that govern output generation. The gym returned to the daily schedule.</w:t>
      </w:r>
    </w:p>
    <w:p>
      <w:pPr>
        <w:pStyle w:val="BodyText"/>
      </w:pPr>
      <w:r>
        <w:t xml:space="preserve">This section documents the implementation evidence for what the PhD thesis (§14.25) frames theoretically as the three-capital accumulation model:</w:t>
      </w:r>
      <w:r>
        <w:t xml:space="preserve"> </w:t>
      </w:r>
      <w:r>
        <w:rPr>
          <w:bCs/>
          <w:b/>
        </w:rPr>
        <w:t xml:space="preserve">token capital</w:t>
      </w:r>
      <w:r>
        <w:t xml:space="preserve">,</w:t>
      </w:r>
      <w:r>
        <w:t xml:space="preserve"> </w:t>
      </w:r>
      <w:r>
        <w:rPr>
          <w:bCs/>
          <w:b/>
        </w:rPr>
        <w:t xml:space="preserve">human capital</w:t>
      </w:r>
      <w:r>
        <w:t xml:space="preserve">, and</w:t>
      </w:r>
      <w:r>
        <w:t xml:space="preserve"> </w:t>
      </w:r>
      <w:r>
        <w:rPr>
          <w:bCs/>
          <w:b/>
        </w:rPr>
        <w:t xml:space="preserve">Control Room capital</w:t>
      </w:r>
      <w:r>
        <w:t xml:space="preserve">. All three accumulated simultaneously during the HIL phase. This section covers the implementation facts; the market-signal framing (Satya Nadella’s Build 2026 vocabulary) and competitive analysis live in §14.25 per the §1.4 master-vs-PhD scope rule.</w:t>
      </w:r>
    </w:p>
    <w:bookmarkEnd w:id="300"/>
    <w:bookmarkStart w:id="301" w:name="X856be6b608e9493c830b859845254a22f7df7d2"/>
    <w:p>
      <w:pPr>
        <w:pStyle w:val="Heading4"/>
      </w:pPr>
      <w:r>
        <w:t xml:space="preserve">10.23.2 Token Capital — Measured Inventory (June 2026)</w:t>
      </w:r>
    </w:p>
    <w:p>
      <w:pPr>
        <w:pStyle w:val="FirstParagraph"/>
      </w:pPr>
      <w:r>
        <w:t xml:space="preserve">Token capital is the reusable organisational asset produced by sustained AI-assisted operations. It is not the tokens consumed; it is the durable output that survives session boundaries and persists in codified form.</w:t>
      </w:r>
    </w:p>
    <w:p>
      <w:pPr>
        <w:pStyle w:val="BodyText"/>
      </w:pPr>
      <w:r>
        <w:rPr>
          <w:bCs/>
          <w:b/>
        </w:rPr>
        <w:t xml:space="preserve">Measured inventory as of June 2026:</w:t>
      </w:r>
    </w:p>
    <w:tbl>
      <w:tblPr>
        <w:tblStyle w:val="Table"/>
        <w:tblW w:type="pct" w:w="5000"/>
        <w:tblLook w:firstRow="1" w:lastRow="0" w:firstColumn="0" w:lastColumn="0" w:noHBand="0" w:noVBand="0" w:val="0020"/>
        <w:jc w:val="start"/>
      </w:tblPr>
      <w:tblGrid>
        <w:gridCol w:w="1803"/>
        <w:gridCol w:w="627"/>
        <w:gridCol w:w="2587"/>
        <w:gridCol w:w="2901"/>
      </w:tblGrid>
      <w:tr>
        <w:trPr>
          <w:tblHeader w:val="true"/>
        </w:trPr>
        <w:tc>
          <w:tcPr/>
          <w:p>
            <w:pPr>
              <w:pStyle w:val="Compact"/>
              <w:jc w:val="left"/>
            </w:pPr>
            <w:r>
              <w:t xml:space="preserve">Asset class</w:t>
            </w:r>
          </w:p>
        </w:tc>
        <w:tc>
          <w:tcPr/>
          <w:p>
            <w:pPr>
              <w:pStyle w:val="Compact"/>
              <w:jc w:val="left"/>
            </w:pPr>
            <w:r>
              <w:t xml:space="preserve">Count</w:t>
            </w:r>
          </w:p>
        </w:tc>
        <w:tc>
          <w:tcPr/>
          <w:p>
            <w:pPr>
              <w:pStyle w:val="Compact"/>
              <w:jc w:val="left"/>
            </w:pPr>
            <w:r>
              <w:t xml:space="preserve">Location</w:t>
            </w:r>
          </w:p>
        </w:tc>
        <w:tc>
          <w:tcPr/>
          <w:p>
            <w:pPr>
              <w:pStyle w:val="Compact"/>
              <w:jc w:val="left"/>
            </w:pPr>
            <w:r>
              <w:t xml:space="preserve">Reuse mechanism</w:t>
            </w:r>
          </w:p>
        </w:tc>
      </w:tr>
      <w:tr>
        <w:tc>
          <w:tcPr/>
          <w:p>
            <w:pPr>
              <w:pStyle w:val="Compact"/>
              <w:jc w:val="left"/>
            </w:pPr>
            <w:r>
              <w:t xml:space="preserve">Skill files</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Slash-invocable from any session</w:t>
            </w:r>
          </w:p>
        </w:tc>
      </w:tr>
      <w:tr>
        <w:tc>
          <w:tcPr/>
          <w:p>
            <w:pPr>
              <w:pStyle w:val="Compact"/>
              <w:jc w:val="left"/>
            </w:pPr>
            <w:r>
              <w:t xml:space="preserve">Field notes</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Searchable institutional memory</w:t>
            </w:r>
          </w:p>
        </w:tc>
      </w:tr>
      <w:tr>
        <w:tc>
          <w:tcPr/>
          <w:p>
            <w:pPr>
              <w:pStyle w:val="Compact"/>
              <w:jc w:val="left"/>
            </w:pPr>
            <w:r>
              <w:t xml:space="preserve">Agent configurations</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with Article 12 logging</w:t>
            </w:r>
          </w:p>
        </w:tc>
      </w:tr>
      <w:tr>
        <w:tc>
          <w:tcPr/>
          <w:p>
            <w:pPr>
              <w:pStyle w:val="Compact"/>
              <w:jc w:val="left"/>
            </w:pPr>
            <w:r>
              <w:t xml:space="preserve">Standards documents</w:t>
            </w:r>
          </w:p>
        </w:tc>
        <w:tc>
          <w:tcPr/>
          <w:p>
            <w:pPr>
              <w:pStyle w:val="Compact"/>
              <w:jc w:val="left"/>
            </w:pPr>
            <w:r>
              <w:t xml:space="preserve">10+</w:t>
            </w:r>
          </w:p>
        </w:tc>
        <w:tc>
          <w:tcPr/>
          <w:p>
            <w:pPr>
              <w:pStyle w:val="Compact"/>
              <w:jc w:val="left"/>
            </w:pPr>
            <w:r>
              <w:t xml:space="preserve">Root-level</w:t>
            </w:r>
            <w:r>
              <w:t xml:space="preserve"> </w:t>
            </w:r>
            <w:r>
              <w:rPr>
                <w:rStyle w:val="VerbatimChar"/>
              </w:rPr>
              <w:t xml:space="preserve">DWS_*.md</w:t>
            </w:r>
          </w:p>
        </w:tc>
        <w:tc>
          <w:tcPr/>
          <w:p>
            <w:pPr>
              <w:pStyle w:val="Compact"/>
              <w:jc w:val="left"/>
            </w:pPr>
            <w:r>
              <w:t xml:space="preserve">Routing table in CLAUDE.md</w:t>
            </w:r>
          </w:p>
        </w:tc>
      </w:tr>
      <w:tr>
        <w:tc>
          <w:tcPr/>
          <w:p>
            <w:pPr>
              <w:pStyle w:val="Compact"/>
              <w:jc w:val="left"/>
            </w:pPr>
            <w:r>
              <w:t xml:space="preserve">Validated hooks</w:t>
            </w:r>
          </w:p>
        </w:tc>
        <w:tc>
          <w:tcPr/>
          <w:p>
            <w:pPr>
              <w:pStyle w:val="Compact"/>
              <w:jc w:val="left"/>
            </w:pPr>
            <w:r>
              <w:t xml:space="preserve">Multiple</w:t>
            </w:r>
          </w:p>
        </w:tc>
        <w:tc>
          <w:tcPr/>
          <w:p>
            <w:pPr>
              <w:pStyle w:val="Compact"/>
              <w:jc w:val="left"/>
            </w:pPr>
            <w:r>
              <w:rPr>
                <w:rStyle w:val="VerbatimChar"/>
              </w:rPr>
              <w:t xml:space="preserve">.claude/hooks/</w:t>
            </w:r>
          </w:p>
        </w:tc>
        <w:tc>
          <w:tcPr/>
          <w:p>
            <w:pPr>
              <w:pStyle w:val="Compact"/>
              <w:jc w:val="left"/>
            </w:pPr>
            <w:r>
              <w:t xml:space="preserve">Session-start, pre-commit, audit</w:t>
            </w:r>
          </w:p>
        </w:tc>
      </w:tr>
      <w:tr>
        <w:tc>
          <w:tcPr/>
          <w:p>
            <w:pPr>
              <w:pStyle w:val="Compact"/>
              <w:jc w:val="left"/>
            </w:pPr>
            <w:r>
              <w:t xml:space="preserve">Cron/automation entries</w:t>
            </w:r>
          </w:p>
        </w:tc>
        <w:tc>
          <w:tcPr/>
          <w:p>
            <w:pPr>
              <w:pStyle w:val="Compact"/>
              <w:jc w:val="left"/>
            </w:pPr>
            <w:r>
              <w:t xml:space="preserve">Multiple</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Scheduler-registered, runs unattended</w:t>
            </w:r>
          </w:p>
        </w:tc>
      </w:tr>
    </w:tbl>
    <w:p>
      <w:pPr>
        <w:pStyle w:val="BodyText"/>
      </w:pPr>
      <w:r>
        <w:t xml:space="preserve">The CLAUDE.md rule</w:t>
      </w:r>
      <w:r>
        <w:t xml:space="preserve"> </w:t>
      </w:r>
      <w:r>
        <w:t xml:space="preserve">“</w:t>
      </w:r>
      <w:r>
        <w:t xml:space="preserve">Asked Twice = Failure</w:t>
      </w:r>
      <w:r>
        <w:t xml:space="preserve">”</w:t>
      </w:r>
      <w:r>
        <w:t xml:space="preserve"> </w:t>
      </w:r>
      <w:r>
        <w:t xml:space="preserve">operationalises the accumulation mechanism: each manually-completed judgment that closes a skill loop removes that decision permanently from the operator’s recurring attention. The skills corpus is the primary measurable output of this ratchet.</w:t>
      </w:r>
    </w:p>
    <w:p>
      <w:pPr>
        <w:pStyle w:val="BodyText"/>
      </w:pPr>
      <w:r>
        <w:rPr>
          <w:bCs/>
          <w:b/>
        </w:rPr>
        <w:t xml:space="preserve">Key implementation pattern:</w:t>
      </w:r>
      <w:r>
        <w:t xml:space="preserve"> </w:t>
      </w:r>
      <w:r>
        <w:t xml:space="preserve">Skills are parameterised procedures, not domain scripts. A skill describes the process (</w:t>
      </w:r>
      <w:r>
        <w:rPr>
          <w:rStyle w:val="VerbatimChar"/>
        </w:rPr>
        <w:t xml:space="preserve">/compliance-check INDUSTRY=steel</w:t>
      </w:r>
      <w:r>
        <w:t xml:space="preserve">); the invocation supplies the context. This is what distinguishes token capital from stored conversation history — it is executable, not archival.</w:t>
      </w:r>
    </w:p>
    <w:bookmarkEnd w:id="301"/>
    <w:bookmarkStart w:id="302" w:name="X0b326ce0267766d71ab85b7fa1670509d70276c"/>
    <w:p>
      <w:pPr>
        <w:pStyle w:val="Heading4"/>
      </w:pPr>
      <w:r>
        <w:t xml:space="preserve">10.23.3 Human Capital — The HIL Phase as a Training Programme</w:t>
      </w:r>
    </w:p>
    <w:p>
      <w:pPr>
        <w:pStyle w:val="FirstParagraph"/>
      </w:pPr>
      <w:r>
        <w:t xml:space="preserve">The seven-month HIL phase functioned, in retrospect, as an intensive and domain-specific training programme. The operator was not replaced; the operator’s expertise profile changed substantially.</w:t>
      </w:r>
    </w:p>
    <w:p>
      <w:pPr>
        <w:pStyle w:val="BodyText"/>
      </w:pPr>
      <w:r>
        <w:rPr>
          <w:bCs/>
          <w:b/>
        </w:rPr>
        <w:t xml:space="preserve">Capabilities deepened during the HIL phase:</w:t>
      </w:r>
    </w:p>
    <w:p>
      <w:pPr>
        <w:numPr>
          <w:ilvl w:val="0"/>
          <w:numId w:val="1107"/>
        </w:numPr>
        <w:pStyle w:val="Compact"/>
      </w:pPr>
      <w:r>
        <w:rPr>
          <w:bCs/>
          <w:b/>
        </w:rPr>
        <w:t xml:space="preserve">Agent output pattern recognition</w:t>
      </w:r>
      <w:r>
        <w:t xml:space="preserve"> </w:t>
      </w:r>
      <w:r>
        <w:t xml:space="preserve">— ability to identify failure signatures (hallucination type, scope creep, standard routing errors) from the first paragraph of output without full review</w:t>
      </w:r>
    </w:p>
    <w:p>
      <w:pPr>
        <w:numPr>
          <w:ilvl w:val="0"/>
          <w:numId w:val="1107"/>
        </w:numPr>
        <w:pStyle w:val="Compact"/>
      </w:pPr>
      <w:r>
        <w:rPr>
          <w:bCs/>
          <w:b/>
        </w:rPr>
        <w:t xml:space="preserve">Prompt calibration intuition</w:t>
      </w:r>
      <w:r>
        <w:t xml:space="preserve"> </w:t>
      </w:r>
      <w:r>
        <w:t xml:space="preserve">— ability to diagnose system-prompt underspecification from output signature, rather than through trial-and-error iteration</w:t>
      </w:r>
    </w:p>
    <w:p>
      <w:pPr>
        <w:numPr>
          <w:ilvl w:val="0"/>
          <w:numId w:val="1107"/>
        </w:numPr>
        <w:pStyle w:val="Compact"/>
      </w:pPr>
      <w:r>
        <w:rPr>
          <w:bCs/>
          <w:b/>
        </w:rPr>
        <w:t xml:space="preserve">Architectural judgment on delegation</w:t>
      </w:r>
      <w:r>
        <w:t xml:space="preserve"> </w:t>
      </w:r>
      <w:r>
        <w:t xml:space="preserve">— ability to set evidence-based thresholds for which agent actions require review versus which can be trusted to run unattended</w:t>
      </w:r>
    </w:p>
    <w:p>
      <w:pPr>
        <w:numPr>
          <w:ilvl w:val="0"/>
          <w:numId w:val="1107"/>
        </w:numPr>
        <w:pStyle w:val="Compact"/>
      </w:pPr>
      <w:r>
        <w:rPr>
          <w:bCs/>
          <w:b/>
        </w:rPr>
        <w:t xml:space="preserve">Failure mode literacy</w:t>
      </w:r>
      <w:r>
        <w:t xml:space="preserve"> </w:t>
      </w:r>
      <w:r>
        <w:t xml:space="preserve">— domain-specific knowledge of which tasks carry which failure modes, enabling targeted review rather than uniform review</w:t>
      </w:r>
    </w:p>
    <w:p>
      <w:pPr>
        <w:numPr>
          <w:ilvl w:val="0"/>
          <w:numId w:val="1107"/>
        </w:numPr>
        <w:pStyle w:val="Compact"/>
      </w:pPr>
      <w:r>
        <w:rPr>
          <w:bCs/>
          <w:b/>
        </w:rPr>
        <w:t xml:space="preserve">Skills taxonomy fluency</w:t>
      </w:r>
      <w:r>
        <w:t xml:space="preserve"> </w:t>
      </w:r>
      <w:r>
        <w:t xml:space="preserve">— the ability to recognise, in real time, when a judgment task is recurring and therefore should be codified rather than repeated</w:t>
      </w:r>
    </w:p>
    <w:p>
      <w:pPr>
        <w:pStyle w:val="FirstParagraph"/>
      </w:pPr>
      <w:r>
        <w:t xml:space="preserve">This expertise is tacit and embodied. It cannot be replicated by hiring someone who did not participate in the HIL phase. It is human capital in the strict sense: it is attached to the operator, compounds through application, and does not depreciate with tool changes.</w:t>
      </w:r>
    </w:p>
    <w:bookmarkEnd w:id="302"/>
    <w:bookmarkStart w:id="303" w:name="X0584e3b7d4fc413be36ff9b26715f5e8fb020b2"/>
    <w:p>
      <w:pPr>
        <w:pStyle w:val="Heading4"/>
      </w:pPr>
      <w:r>
        <w:t xml:space="preserve">10.23.4 Control Room Capital — Deployed Infrastructure (June 2026)</w:t>
      </w:r>
    </w:p>
    <w:p>
      <w:pPr>
        <w:pStyle w:val="FirstParagraph"/>
      </w:pPr>
      <w:r>
        <w:t xml:space="preserve">The DWS Control Room architecture (as defined in</w:t>
      </w:r>
      <w:r>
        <w:t xml:space="preserve"> </w:t>
      </w:r>
      <w:r>
        <w:rPr>
          <w:rStyle w:val="VerbatimChar"/>
        </w:rPr>
        <w:t xml:space="preserve">docs/Lyhenteet.md</w:t>
      </w:r>
      <w:r>
        <w:t xml:space="preserve"> </w:t>
      </w:r>
      <w:r>
        <w:t xml:space="preserve">and</w:t>
      </w:r>
      <w:r>
        <w:t xml:space="preserve"> </w:t>
      </w:r>
      <w:r>
        <w:rPr>
          <w:rStyle w:val="VerbatimChar"/>
        </w:rPr>
        <w:t xml:space="preserve">docs/Deputy-Agents-Architecture.md §9</w:t>
      </w:r>
      <w:r>
        <w:t xml:space="preserve">) is the edge layer of the hybrid architecture:</w:t>
      </w:r>
    </w:p>
    <w:p>
      <w:pPr>
        <w:numPr>
          <w:ilvl w:val="0"/>
          <w:numId w:val="1108"/>
        </w:numPr>
        <w:pStyle w:val="Compact"/>
      </w:pPr>
      <w:r>
        <w:rPr>
          <w:bCs/>
          <w:b/>
        </w:rPr>
        <w:t xml:space="preserve">Control Room</w:t>
      </w:r>
      <w:r>
        <w:t xml:space="preserve"> </w:t>
      </w:r>
      <w:r>
        <w:t xml:space="preserve">— edge layer, real-time observations, HIL approval gates, interrupt/override, Article 12 audit trail, target latency &lt; 100 ms</w:t>
      </w:r>
    </w:p>
    <w:p>
      <w:pPr>
        <w:numPr>
          <w:ilvl w:val="0"/>
          <w:numId w:val="1108"/>
        </w:numPr>
        <w:pStyle w:val="Compact"/>
      </w:pPr>
      <w:r>
        <w:rPr>
          <w:bCs/>
          <w:b/>
        </w:rPr>
        <w:t xml:space="preserve">Situation Room</w:t>
      </w:r>
      <w:r>
        <w:t xml:space="preserve"> </w:t>
      </w:r>
      <w:r>
        <w:t xml:space="preserve">— cloud layer, strategic aggregation, deep analytics, ERP/BIM/IoT integration, compliance reporting</w:t>
      </w:r>
    </w:p>
    <w:p>
      <w:pPr>
        <w:pStyle w:val="FirstParagraph"/>
      </w:pPr>
      <w:r>
        <w:rPr>
          <w:bCs/>
          <w:b/>
        </w:rPr>
        <w:t xml:space="preserve">Control Room Capital accumulated during the HIL phase:</w:t>
      </w:r>
    </w:p>
    <w:tbl>
      <w:tblPr>
        <w:tblStyle w:val="Table"/>
        <w:tblW w:type="pct" w:w="5000"/>
        <w:tblLook w:firstRow="1" w:lastRow="0" w:firstColumn="0" w:lastColumn="0" w:noHBand="0" w:noVBand="0" w:val="0020"/>
        <w:jc w:val="start"/>
      </w:tblPr>
      <w:tblGrid>
        <w:gridCol w:w="2383"/>
        <w:gridCol w:w="1691"/>
        <w:gridCol w:w="3844"/>
      </w:tblGrid>
      <w:tr>
        <w:trPr>
          <w:tblHeader w:val="true"/>
        </w:trPr>
        <w:tc>
          <w:tcPr/>
          <w:p>
            <w:pPr>
              <w:pStyle w:val="Compact"/>
              <w:jc w:val="left"/>
            </w:pPr>
            <w:r>
              <w:t xml:space="preserve">Asset</w:t>
            </w:r>
          </w:p>
        </w:tc>
        <w:tc>
          <w:tcPr/>
          <w:p>
            <w:pPr>
              <w:pStyle w:val="Compact"/>
              <w:jc w:val="left"/>
            </w:pPr>
            <w:r>
              <w:t xml:space="preserve">Status (June 2026)</w:t>
            </w:r>
          </w:p>
        </w:tc>
        <w:tc>
          <w:tcPr/>
          <w:p>
            <w:pPr>
              <w:pStyle w:val="Compact"/>
              <w:jc w:val="left"/>
            </w:pPr>
            <w:r>
              <w:t xml:space="preserve">Evidence</w:t>
            </w:r>
          </w:p>
        </w:tc>
      </w:tr>
      <w:tr>
        <w:tc>
          <w:tcPr/>
          <w:p>
            <w:pPr>
              <w:pStyle w:val="Compact"/>
              <w:jc w:val="left"/>
            </w:pPr>
            <w:r>
              <w:t xml:space="preserve">Edge compute nodes</w:t>
            </w:r>
          </w:p>
        </w:tc>
        <w:tc>
          <w:tcPr/>
          <w:p>
            <w:pPr>
              <w:pStyle w:val="Compact"/>
              <w:jc w:val="left"/>
            </w:pPr>
            <w:r>
              <w:t xml:space="preserve">Deployed</w:t>
            </w:r>
          </w:p>
        </w:tc>
        <w:tc>
          <w:tcPr/>
          <w:p>
            <w:pPr>
              <w:pStyle w:val="Compact"/>
              <w:jc w:val="left"/>
            </w:pPr>
            <w:r>
              <w:t xml:space="preserve">Acer Veriton GN100, DGX Spark, NVIDIA Jetson tiers</w:t>
            </w:r>
          </w:p>
        </w:tc>
      </w:tr>
      <w:tr>
        <w:tc>
          <w:tcPr/>
          <w:p>
            <w:pPr>
              <w:pStyle w:val="Compact"/>
              <w:jc w:val="left"/>
            </w:pPr>
            <w:r>
              <w:t xml:space="preserve">Classification thresholds</w:t>
            </w:r>
          </w:p>
        </w:tc>
        <w:tc>
          <w:tcPr/>
          <w:p>
            <w:pPr>
              <w:pStyle w:val="Compact"/>
              <w:jc w:val="left"/>
            </w:pPr>
            <w:r>
              <w:t xml:space="preserve">Empirically calibrated</w:t>
            </w:r>
          </w:p>
        </w:tc>
        <w:tc>
          <w:tcPr/>
          <w:p>
            <w:pPr>
              <w:pStyle w:val="Compact"/>
              <w:jc w:val="left"/>
            </w:pPr>
            <w:r>
              <w:t xml:space="preserve">Field notes: 2026-03-01, 2026-03-13, 2026-03-29</w:t>
            </w:r>
          </w:p>
        </w:tc>
      </w:tr>
      <w:tr>
        <w:tc>
          <w:tcPr/>
          <w:p>
            <w:pPr>
              <w:pStyle w:val="Compact"/>
              <w:jc w:val="left"/>
            </w:pPr>
            <w:r>
              <w:t xml:space="preserve">HIL approval gate configuration</w:t>
            </w:r>
          </w:p>
        </w:tc>
        <w:tc>
          <w:tcPr/>
          <w:p>
            <w:pPr>
              <w:pStyle w:val="Compact"/>
              <w:jc w:val="left"/>
            </w:pPr>
            <w:r>
              <w:t xml:space="preserve">Tested in production</w:t>
            </w:r>
          </w:p>
        </w:tc>
        <w:tc>
          <w:tcPr/>
          <w:p>
            <w:pPr>
              <w:pStyle w:val="Compact"/>
              <w:jc w:val="left"/>
            </w:pPr>
            <w:r>
              <w:t xml:space="preserve">CLAUDE.md auto-mode hooks, hook audit logs</w:t>
            </w:r>
          </w:p>
        </w:tc>
      </w:tr>
      <w:tr>
        <w:tc>
          <w:tcPr/>
          <w:p>
            <w:pPr>
              <w:pStyle w:val="Compact"/>
              <w:jc w:val="left"/>
            </w:pPr>
            <w:r>
              <w:t xml:space="preserve">Article 12 audit trail</w:t>
            </w:r>
          </w:p>
        </w:tc>
        <w:tc>
          <w:tcPr/>
          <w:p>
            <w:pPr>
              <w:pStyle w:val="Compact"/>
              <w:jc w:val="left"/>
            </w:pPr>
            <w:r>
              <w:t xml:space="preserve">Populated</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table</w:t>
            </w:r>
          </w:p>
        </w:tc>
      </w:tr>
      <w:tr>
        <w:tc>
          <w:tcPr/>
          <w:p>
            <w:pPr>
              <w:pStyle w:val="Compact"/>
              <w:jc w:val="left"/>
            </w:pPr>
            <w:r>
              <w:t xml:space="preserve">Exception-pattern library</w:t>
            </w:r>
          </w:p>
        </w:tc>
        <w:tc>
          <w:tcPr/>
          <w:p>
            <w:pPr>
              <w:pStyle w:val="Compact"/>
              <w:jc w:val="left"/>
            </w:pPr>
            <w:r>
              <w:t xml:space="preserve">Documented</w:t>
            </w:r>
          </w:p>
        </w:tc>
        <w:tc>
          <w:tcPr/>
          <w:p>
            <w:pPr>
              <w:pStyle w:val="Compact"/>
              <w:jc w:val="left"/>
            </w:pPr>
            <w:r>
              <w:t xml:space="preserve">Field note corpus,</w:t>
            </w:r>
            <w:r>
              <w:t xml:space="preserve"> </w:t>
            </w:r>
            <w:r>
              <w:rPr>
                <w:rStyle w:val="VerbatimChar"/>
              </w:rPr>
              <w:t xml:space="preserve">.claude/hooks/README.md</w:t>
            </w:r>
          </w:p>
        </w:tc>
      </w:tr>
      <w:tr>
        <w:tc>
          <w:tcPr/>
          <w:p>
            <w:pPr>
              <w:pStyle w:val="Compact"/>
              <w:jc w:val="left"/>
            </w:pPr>
            <w:r>
              <w:t xml:space="preserve">Multi-provider routing</w:t>
            </w:r>
          </w:p>
        </w:tc>
        <w:tc>
          <w:tcPr/>
          <w:p>
            <w:pPr>
              <w:pStyle w:val="Compact"/>
              <w:jc w:val="left"/>
            </w:pPr>
            <w:r>
              <w:t xml:space="preserve">Validated</w:t>
            </w:r>
          </w:p>
        </w:tc>
        <w:tc>
          <w:tcPr/>
          <w:p>
            <w:pPr>
              <w:pStyle w:val="Compact"/>
              <w:jc w:val="left"/>
            </w:pPr>
            <w:r>
              <w:t xml:space="preserve">Groq / Baseten / OpenAI / Scaleway / DGX Spark</w:t>
            </w:r>
          </w:p>
        </w:tc>
      </w:tr>
    </w:tbl>
    <w:p>
      <w:pPr>
        <w:pStyle w:val="BodyText"/>
      </w:pPr>
      <w:r>
        <w:t xml:space="preserve">The distinction between Control Room capital and Control Room infrastructure: the infrastructure is the hardware and software (capex + opex). The capital is the calibrated operational knowledge embedded in that infrastructure — thresholds that have been empirically validated under production load, failure modes that have been observed and documented, HIL gates that have been tested for false-positive rate. This cannot be reproduced from documentation alone; it requires the operational history.</w:t>
      </w:r>
    </w:p>
    <w:bookmarkEnd w:id="303"/>
    <w:bookmarkStart w:id="304" w:name="X94c4b43006fd9a238020347a48f6c99f834f216"/>
    <w:p>
      <w:pPr>
        <w:pStyle w:val="Heading4"/>
      </w:pPr>
      <w:r>
        <w:t xml:space="preserve">10.23.5 The HIL → HIC Transition as an Engineering Milestone</w:t>
      </w:r>
    </w:p>
    <w:p>
      <w:pPr>
        <w:pStyle w:val="FirstParagraph"/>
      </w:pPr>
      <w:r>
        <w:t xml:space="preserve">The HIL → HIC transition is not a product management decision. It has specific engineering preconditions that can be verified:</w:t>
      </w:r>
    </w:p>
    <w:p>
      <w:pPr>
        <w:numPr>
          <w:ilvl w:val="0"/>
          <w:numId w:val="1109"/>
        </w:numPr>
      </w:pPr>
      <w:r>
        <w:rPr>
          <w:bCs/>
          <w:b/>
        </w:rPr>
        <w:t xml:space="preserve">Token capital threshold:</w:t>
      </w:r>
      <w:r>
        <w:t xml:space="preserve"> </w:t>
      </w:r>
      <w:r>
        <w:t xml:space="preserve">The skills corpus is sufficient that the majority of recurring judgment tasks are handled by skills without operator intervention. Measurable: ratio of skill-invoked decisions to ad-hoc decisions per week.</w:t>
      </w:r>
    </w:p>
    <w:p>
      <w:pPr>
        <w:numPr>
          <w:ilvl w:val="0"/>
          <w:numId w:val="1109"/>
        </w:numPr>
      </w:pPr>
      <w:r>
        <w:rPr>
          <w:bCs/>
          <w:b/>
        </w:rPr>
        <w:t xml:space="preserve">Human capital threshold:</w:t>
      </w:r>
      <w:r>
        <w:t xml:space="preserve"> </w:t>
      </w:r>
      <w:r>
        <w:t xml:space="preserve">The operator can identify failure signatures at the signature level — i.e., before a full review of the output. Measurable: average time-to-diagnosis for known failure modes.</w:t>
      </w:r>
    </w:p>
    <w:p>
      <w:pPr>
        <w:numPr>
          <w:ilvl w:val="0"/>
          <w:numId w:val="1109"/>
        </w:numPr>
      </w:pPr>
      <w:r>
        <w:rPr>
          <w:bCs/>
          <w:b/>
        </w:rPr>
        <w:t xml:space="preserve">Control Room capital threshold:</w:t>
      </w:r>
      <w:r>
        <w:t xml:space="preserve"> </w:t>
      </w:r>
      <w:r>
        <w:t xml:space="preserve">The automated system can be trusted to hold the production load for a working day without per-output review. Measurable: number of unreviewed automated decisions per day that required no subsequent correction.</w:t>
      </w:r>
    </w:p>
    <w:p>
      <w:pPr>
        <w:pStyle w:val="FirstParagraph"/>
      </w:pPr>
      <w:r>
        <w:t xml:space="preserve">The June 2026 observation — the gym returning to the schedule — is the operational manifestation of all three thresholds being crossed simultaneously across the majority of domains in the DWS IQ 6 system.</w:t>
      </w:r>
    </w:p>
    <w:p>
      <w:pPr>
        <w:pStyle w:val="BodyText"/>
      </w:pPr>
      <w:r>
        <w:rPr>
          <w:bCs/>
          <w:b/>
        </w:rPr>
        <w:t xml:space="preserve">Domains still in HIL (June 2026):</w:t>
      </w:r>
      <w:r>
        <w:t xml:space="preserve"> </w:t>
      </w:r>
      <w:r>
        <w:t xml:space="preserve">Security posture changes, supabase migration authoring, and any agent output touching financial or legal fields (consistent with the Varsavsky review-queue principle documented in</w:t>
      </w:r>
      <w:r>
        <w:t xml:space="preserve"> </w:t>
      </w:r>
      <w:r>
        <w:rPr>
          <w:rStyle w:val="VerbatimChar"/>
        </w:rPr>
        <w:t xml:space="preserve">docs/field-notes/2026-05-08-varsavsky-agent-accountability-intelligence-cheap.md</w:t>
      </w:r>
      <w:r>
        <w:t xml:space="preserve">).</w:t>
      </w:r>
    </w:p>
    <w:bookmarkEnd w:id="304"/>
    <w:bookmarkStart w:id="305" w:name="research-contribution-13"/>
    <w:p>
      <w:pPr>
        <w:pStyle w:val="Heading4"/>
      </w:pPr>
      <w:r>
        <w:t xml:space="preserve">10.23.6 Research Contribution</w:t>
      </w:r>
    </w:p>
    <w:p>
      <w:pPr>
        <w:pStyle w:val="FirstParagraph"/>
      </w:pPr>
      <w:r>
        <w:t xml:space="preserve">The three-capital model, grounded in seven months of production HIL operations, provides three implementation-level contributions:</w:t>
      </w:r>
    </w:p>
    <w:p>
      <w:pPr>
        <w:numPr>
          <w:ilvl w:val="0"/>
          <w:numId w:val="1110"/>
        </w:numPr>
      </w:pPr>
      <w:r>
        <w:rPr>
          <w:bCs/>
          <w:b/>
        </w:rPr>
        <w:t xml:space="preserve">A measurable definition of the HIL → HIC transition</w:t>
      </w:r>
      <w:r>
        <w:t xml:space="preserve"> </w:t>
      </w:r>
      <w:r>
        <w:t xml:space="preserve">— specific per-domain preconditions (token capital threshold, human capital threshold, Control Room capital threshold) that can be instrumented and tracked, giving the transition an engineering definition rather than a management intuition.</w:t>
      </w:r>
    </w:p>
    <w:p>
      <w:pPr>
        <w:numPr>
          <w:ilvl w:val="0"/>
          <w:numId w:val="1110"/>
        </w:numPr>
      </w:pPr>
      <w:r>
        <w:rPr>
          <w:bCs/>
          <w:b/>
        </w:rPr>
        <w:t xml:space="preserve">A skills corpus as the primary KPI of agentic operating-model maturity</w:t>
      </w:r>
      <w:r>
        <w:t xml:space="preserve"> </w:t>
      </w:r>
      <w:r>
        <w:t xml:space="preserve">— the size, coverage, and invocation rate of the</w:t>
      </w:r>
      <w:r>
        <w:t xml:space="preserve"> </w:t>
      </w:r>
      <w:r>
        <w:rPr>
          <w:rStyle w:val="VerbatimChar"/>
        </w:rPr>
        <w:t xml:space="preserve">skills/</w:t>
      </w:r>
      <w:r>
        <w:t xml:space="preserve"> </w:t>
      </w:r>
      <w:r>
        <w:t xml:space="preserve">corpus is a more operationally meaningful maturity indicator than agent count, model capability, or token spend.</w:t>
      </w:r>
    </w:p>
    <w:p>
      <w:pPr>
        <w:numPr>
          <w:ilvl w:val="0"/>
          <w:numId w:val="1110"/>
        </w:numPr>
      </w:pPr>
      <w:r>
        <w:rPr>
          <w:bCs/>
          <w:b/>
        </w:rPr>
        <w:t xml:space="preserve">The HIL phase as a planned capital formation programme</w:t>
      </w:r>
      <w:r>
        <w:t xml:space="preserve"> </w:t>
      </w:r>
      <w:r>
        <w:t xml:space="preserve">— reframing the seven-month HIL phase from a cost to an investment in three simultaneous capital forms changes how the phase should be resourced, measured, and communicated to stakeholders.</w:t>
      </w:r>
    </w:p>
    <w:p>
      <w:pPr>
        <w:pStyle w:val="FirstParagraph"/>
      </w:pPr>
      <w:r>
        <w:rPr>
          <w:bCs/>
          <w:b/>
        </w:rPr>
        <w:t xml:space="preserve">Key Contribution #32 — Three-Capital Accumulation Model: Implementation Evidence from Seven Months of Production HIL Operations:</w:t>
      </w:r>
      <w:r>
        <w:t xml:space="preserve"> </w:t>
      </w:r>
      <w:r>
        <w:t xml:space="preserve">The DWS IQ 6 production record (October 2025 – June 2026) provides the first empirical, multi-month implementation evidence for the theoretical three-capital model developed in §14.25. The token capital inventory (30+ skills, 150+ field notes, 50-agent foundry with Article 12 logging), the documented human capital deepening (pattern recognition, prompt calibration intuition, architectural judgment, failure mode literacy), and the Control Room capital (calibrated thresholds, validated HIL gates, populated Article 12 audit trail, tested multi-provider routing) together constitute a measurable baseline for what a production agentic operating model accumulates over a seven-month HIL phase. The contribution provides: (a) a set of per-capital measurable indicators that operationalise the theoretical model; (b) an engineering definition of the HIL → HIC transition with domain-specific preconditions; (c) the skills corpus as the primary KPI of agentic operating-model maturity. This contribution is positioned at the implementation horizon (current product scope) and is empirically grounded — the June 2026 transition event is a documented operational observable, not a projected milestone.</w:t>
      </w:r>
    </w:p>
    <w:p>
      <w:r>
        <w:pict>
          <v:rect style="width:0;height:1.5pt" o:hralign="center" o:hrstd="t" o:hr="t"/>
        </w:pict>
      </w:r>
    </w:p>
    <w:bookmarkEnd w:id="305"/>
    <w:bookmarkStart w:id="306" w:name="Xb7a89fe7de2b858f173b025ff8d5f6136b5a00b"/>
    <w:p>
      <w:pPr>
        <w:pStyle w:val="Heading4"/>
      </w:pPr>
      <w:r>
        <w:t xml:space="preserve">10.23.7 Mapping the Four Capital Classes to the Architecture</w:t>
      </w:r>
    </w:p>
    <w:p>
      <w:pPr>
        <w:pStyle w:val="FirstParagraph"/>
      </w:pPr>
      <w:r>
        <w:t xml:space="preserve">§14.26 in the PhD thesis (PHD_FIREHORSE_EN.md) formalised the 4P Capital Classes as the canonical extension of the §14.25 three-capital model: Prompt (formerly Token), People (formerly Human), Plant (formerly Control Room), and Perception (new — the governed world-model and closed control loop). This section maps each of the four classes to the DWS IQ 6 architecture components documented elsewhere in this master’s thesis.</w:t>
      </w:r>
    </w:p>
    <w:p>
      <w:pPr>
        <w:pStyle w:val="BodyText"/>
      </w:pPr>
      <w:r>
        <w:rPr>
          <w:bCs/>
          <w:b/>
        </w:rPr>
        <w:t xml:space="preserve">Architecture mapping table:</w:t>
      </w:r>
    </w:p>
    <w:tbl>
      <w:tblPr>
        <w:tblStyle w:val="Table"/>
        <w:tblW w:type="pct" w:w="5000"/>
        <w:tblLook w:firstRow="1" w:lastRow="0" w:firstColumn="0" w:lastColumn="0" w:noHBand="0" w:noVBand="0" w:val="0020"/>
        <w:jc w:val="start"/>
      </w:tblPr>
      <w:tblGrid>
        <w:gridCol w:w="354"/>
        <w:gridCol w:w="784"/>
        <w:gridCol w:w="5870"/>
        <w:gridCol w:w="910"/>
      </w:tblGrid>
      <w:tr>
        <w:trPr>
          <w:tblHeader w:val="true"/>
        </w:trPr>
        <w:tc>
          <w:tcPr/>
          <w:p>
            <w:pPr>
              <w:pStyle w:val="Compact"/>
              <w:jc w:val="left"/>
            </w:pPr>
            <w:r>
              <w:t xml:space="preserve">Capital Class</w:t>
            </w:r>
          </w:p>
        </w:tc>
        <w:tc>
          <w:tcPr/>
          <w:p>
            <w:pPr>
              <w:pStyle w:val="Compact"/>
              <w:jc w:val="left"/>
            </w:pPr>
            <w:r>
              <w:t xml:space="preserve">Brain-Memory-Body-Hands layer</w:t>
            </w:r>
          </w:p>
        </w:tc>
        <w:tc>
          <w:tcPr/>
          <w:p>
            <w:pPr>
              <w:pStyle w:val="Compact"/>
              <w:jc w:val="left"/>
            </w:pPr>
            <w:r>
              <w:t xml:space="preserve">DWS IQ 6 component</w:t>
            </w:r>
          </w:p>
        </w:tc>
        <w:tc>
          <w:tcPr/>
          <w:p>
            <w:pPr>
              <w:pStyle w:val="Compact"/>
              <w:jc w:val="left"/>
            </w:pPr>
            <w:r>
              <w:t xml:space="preserve">Thesis cross-reference</w:t>
            </w:r>
          </w:p>
        </w:tc>
      </w:tr>
      <w:tr>
        <w:tc>
          <w:tcPr/>
          <w:p>
            <w:pPr>
              <w:pStyle w:val="Compact"/>
              <w:jc w:val="left"/>
            </w:pPr>
            <w:r>
              <w:rPr>
                <w:bCs/>
                <w:b/>
              </w:rPr>
              <w:t xml:space="preserve">Prompt</w:t>
            </w:r>
          </w:p>
        </w:tc>
        <w:tc>
          <w:tcPr/>
          <w:p>
            <w:pPr>
              <w:pStyle w:val="Compact"/>
              <w:jc w:val="left"/>
            </w:pPr>
            <w:r>
              <w:t xml:space="preserve">Brain (intelligence)</w:t>
            </w:r>
          </w:p>
        </w:tc>
        <w:tc>
          <w:tcPr/>
          <w:p>
            <w:pPr>
              <w:pStyle w:val="Compact"/>
              <w:jc w:val="left"/>
            </w:pPr>
            <w:r>
              <w:t xml:space="preserve">SOUL.md, system prompts, validated skills corpus (</w:t>
            </w:r>
            <w:r>
              <w:rPr>
                <w:rStyle w:val="VerbatimChar"/>
              </w:rPr>
              <w:t xml:space="preserve">skills/</w:t>
            </w:r>
            <w:r>
              <w:t xml:space="preserve">), agent configs (</w:t>
            </w:r>
            <w:r>
              <w:rPr>
                <w:rStyle w:val="VerbatimChar"/>
              </w:rPr>
              <w:t xml:space="preserve">src/agents/</w:t>
            </w:r>
            <w:r>
              <w:t xml:space="preserve">), eval datasets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People</w:t>
            </w:r>
          </w:p>
        </w:tc>
        <w:tc>
          <w:tcPr/>
          <w:p>
            <w:pPr>
              <w:pStyle w:val="Compact"/>
              <w:jc w:val="left"/>
            </w:pPr>
            <w:r>
              <w:t xml:space="preserve">Memory (judgment)</w:t>
            </w:r>
          </w:p>
        </w:tc>
        <w:tc>
          <w:tcPr/>
          <w:p>
            <w:pPr>
              <w:pStyle w:val="Compact"/>
              <w:jc w:val="left"/>
            </w:pPr>
            <w:r>
              <w:t xml:space="preserve">Operator expertise deepened through HIL phase; skills taxonomy (§10.23.3); HIL → HIC transition observable</w:t>
            </w:r>
          </w:p>
        </w:tc>
        <w:tc>
          <w:tcPr/>
          <w:p>
            <w:pPr>
              <w:pStyle w:val="Compact"/>
              <w:jc w:val="left"/>
            </w:pPr>
            <w:r>
              <w:t xml:space="preserve">§10.23.3, §10.23.5</w:t>
            </w:r>
          </w:p>
        </w:tc>
      </w:tr>
      <w:tr>
        <w:tc>
          <w:tcPr/>
          <w:p>
            <w:pPr>
              <w:pStyle w:val="Compact"/>
              <w:jc w:val="left"/>
            </w:pPr>
            <w:r>
              <w:rPr>
                <w:bCs/>
                <w:b/>
              </w:rPr>
              <w:t xml:space="preserve">Plant</w:t>
            </w:r>
          </w:p>
        </w:tc>
        <w:tc>
          <w:tcPr/>
          <w:p>
            <w:pPr>
              <w:pStyle w:val="Compact"/>
              <w:jc w:val="left"/>
            </w:pPr>
            <w:r>
              <w:t xml:space="preserve">Body (infrastructure)</w:t>
            </w:r>
          </w:p>
        </w:tc>
        <w:tc>
          <w:tcPr/>
          <w:p>
            <w:pPr>
              <w:pStyle w:val="Compact"/>
              <w:jc w:val="left"/>
            </w:pPr>
            <w:r>
              <w:t xml:space="preserve">Control Room + Situation Room two-room stack — deployable at site</w:t>
            </w:r>
            <w:r>
              <w:t xml:space="preserve"> </w:t>
            </w:r>
            <w:r>
              <w:rPr>
                <w:bCs/>
                <w:b/>
              </w:rPr>
              <w:t xml:space="preserve">or inside a Lifetime Fleet vehicle</w:t>
            </w:r>
            <w:r>
              <w:t xml:space="preserve">; NVIDIA Jetson / Acer GN100 / DGX Spark edge compute; Article 12 logging pipeline; validated inference configs; tested failover</w:t>
            </w:r>
          </w:p>
        </w:tc>
        <w:tc>
          <w:tcPr/>
          <w:p>
            <w:pPr>
              <w:pStyle w:val="Compact"/>
              <w:jc w:val="left"/>
            </w:pPr>
            <w:r>
              <w:t xml:space="preserve">§10.10, §10.10.6.1, §10.15</w:t>
            </w:r>
          </w:p>
        </w:tc>
      </w:tr>
      <w:tr>
        <w:tc>
          <w:tcPr/>
          <w:p>
            <w:pPr>
              <w:pStyle w:val="Compact"/>
              <w:jc w:val="left"/>
            </w:pPr>
            <w:r>
              <w:rPr>
                <w:bCs/>
                <w:b/>
              </w:rPr>
              <w:t xml:space="preserve">Perception</w:t>
            </w:r>
          </w:p>
        </w:tc>
        <w:tc>
          <w:tcPr/>
          <w:p>
            <w:pPr>
              <w:pStyle w:val="Compact"/>
              <w:jc w:val="left"/>
            </w:pPr>
            <w:r>
              <w:t xml:space="preserve">Hands (actuation + world model)</w:t>
            </w:r>
          </w:p>
        </w:tc>
        <w:tc>
          <w:tcPr/>
          <w:p>
            <w:pPr>
              <w:pStyle w:val="Compact"/>
              <w:jc w:val="left"/>
            </w:pPr>
            <w:r>
              <w:t xml:space="preserve">Lifetime World Model (</w:t>
            </w:r>
            <w:r>
              <w:rPr>
                <w:rStyle w:val="VerbatimChar"/>
              </w:rPr>
              <w:t xml:space="preserve">ONTOLOGY.md</w:t>
            </w:r>
            <w:r>
              <w:t xml:space="preserve">); agent memory (§10.10.7); Article 12 lineage log; closed sense → decide → act loop with HIL/HIC gate</w:t>
            </w:r>
          </w:p>
        </w:tc>
        <w:tc>
          <w:tcPr/>
          <w:p>
            <w:pPr>
              <w:pStyle w:val="Compact"/>
              <w:jc w:val="left"/>
            </w:pPr>
            <w:r>
              <w:t xml:space="preserve">§10.18, §10.10.7</w:t>
            </w:r>
          </w:p>
        </w:tc>
      </w:tr>
    </w:tbl>
    <w:p>
      <w:pPr>
        <w:pStyle w:val="BodyText"/>
      </w:pPr>
      <w:r>
        <w:rPr>
          <w:bCs/>
          <w:b/>
        </w:rPr>
        <w:t xml:space="preserve">Renaming note:</w:t>
      </w:r>
      <w:r>
        <w:t xml:space="preserve"> </w:t>
      </w:r>
      <w:r>
        <w:t xml:space="preserve">The 4P canon deprecates the standalone</w:t>
      </w:r>
      <w:r>
        <w:t xml:space="preserve"> </w:t>
      </w:r>
      <w:r>
        <w:t xml:space="preserve">“</w:t>
      </w:r>
      <w:r>
        <w:t xml:space="preserve">Token / Human / Control Room Capital</w:t>
      </w:r>
      <w:r>
        <w:t xml:space="preserve">”</w:t>
      </w:r>
      <w:r>
        <w:t xml:space="preserve"> </w:t>
      </w:r>
      <w:r>
        <w:t xml:space="preserve">naming as primary terms in new copy. The §10.23.2 / §10.23.3 / §10.23.4 sections retain those names as the origin documentation; this section introduces the 4P aliases.</w:t>
      </w:r>
    </w:p>
    <w:p>
      <w:pPr>
        <w:pStyle w:val="BodyText"/>
      </w:pPr>
      <w:r>
        <w:rPr>
          <w:bCs/>
          <w:b/>
        </w:rPr>
        <w:t xml:space="preserve">GTM wedge — the land-and-expand pattern.</w:t>
      </w:r>
      <w:r>
        <w:t xml:space="preserve"> </w:t>
      </w:r>
      <w:r>
        <w:t xml:space="preserve">The architecture mapping has an operational implication for first-customer deployments. Because Perception Capital compounds only if the deployment footprint grows, the first DWS IQ deployment is deliberately</w:t>
      </w:r>
      <w:r>
        <w:t xml:space="preserve"> </w:t>
      </w:r>
      <w:r>
        <w:rPr>
          <w:bCs/>
          <w:b/>
        </w:rPr>
        <w:t xml:space="preserve">isolated and harmless</w:t>
      </w:r>
      <w:r>
        <w:t xml:space="preserve">: a single agent reading existing logs, one Control Room edge node at a sub-site the customer team has not previously had compute on, one report the team could not produce before. The first win earns the right to a second without requiring the customer team to reorganise around the new tool. This is the implementation-level answer to the industrial incumbent resistance documented in §14.26.4 of the PhD thesis.</w:t>
      </w:r>
    </w:p>
    <w:p>
      <w:pPr>
        <w:pStyle w:val="BodyText"/>
      </w:pPr>
      <w:r>
        <w:rPr>
          <w:bCs/>
          <w:b/>
        </w:rPr>
        <w:t xml:space="preserve">Key Contribution #33 — Four-Capital (4P) Architecture Mapping: Prompt, People, Plant, Perception in DWS IQ 6:</w:t>
      </w:r>
      <w:r>
        <w:t xml:space="preserve"> </w:t>
      </w:r>
      <w:r>
        <w:t xml:space="preserve">The mapping of the 4P canonical capital classes to the DWS IQ 6 Brain-Memory-Body-Hands architecture supplies the implementation-layer evidence that the theoretical extension in PhD §14.26 corresponds to existing, deployed components. Each capital class has a measurable architectural footprint: Prompt Capital is the</w:t>
      </w:r>
      <w:r>
        <w:t xml:space="preserve"> </w:t>
      </w:r>
      <w:r>
        <w:rPr>
          <w:rStyle w:val="VerbatimChar"/>
        </w:rPr>
        <w:t xml:space="preserve">skills/</w:t>
      </w:r>
      <w:r>
        <w:t xml:space="preserve"> </w:t>
      </w:r>
      <w:r>
        <w:t xml:space="preserve">corpus and eval datasets (§10.16); People Capital is the seven-month HIL record and the HIL → HIC transition observable (§10.23.3/§10.23.5); Plant Capital is the two-room edge stack, including mobile deployment inside a Lifetime Fleet vehicle (§10.10/§10.15); Perception Capital is the Lifetime World Model, agent memory pipeline, and Article 12 lineage log with the closed sense → decide → act loop (§10.18/§10.10.7). The GTM land-and-expand pattern follows directly from the Perception Capital accumulation mechanism: the first deployment is isolated and harmless, earns the next gate, and the governed world model that accumulates behind it is the moat. This contribution is positioned at the implementation horizon (current product scope), cross-referenced to PhD §14.26 (theory) and §14.27 (Kaukopää / Enso historical case). Companion artefacts:</w:t>
      </w:r>
      <w:r>
        <w:t xml:space="preserve"> </w:t>
      </w:r>
      <w:r>
        <w:rPr>
          <w:rStyle w:val="VerbatimChar"/>
        </w:rPr>
        <w:t xml:space="preserve">docs/field-notes/2026-06-19-token-capital-human-capital-control-room-capital.md</w:t>
      </w:r>
      <w:r>
        <w:t xml:space="preserve"> </w:t>
      </w:r>
      <w:r>
        <w:t xml:space="preserve">(v2.0, 4P canon),</w:t>
      </w:r>
      <w:r>
        <w:t xml:space="preserve"> </w:t>
      </w:r>
      <w:r>
        <w:rPr>
          <w:rStyle w:val="VerbatimChar"/>
        </w:rPr>
        <w:t xml:space="preserve">DWS_BRAND_STANDARD.md</w:t>
      </w:r>
      <w:r>
        <w:t xml:space="preserve"> </w:t>
      </w:r>
      <w:r>
        <w:t xml:space="preserve">§23.</w:t>
      </w:r>
    </w:p>
    <w:p>
      <w:r>
        <w:pict>
          <v:rect style="width:0;height:1.5pt" o:hralign="center" o:hrstd="t" o:hr="t"/>
        </w:pict>
      </w:r>
    </w:p>
    <w:bookmarkEnd w:id="306"/>
    <w:bookmarkEnd w:id="307"/>
    <w:bookmarkStart w:id="320" w:name="X035343df090b4320fc94df62c99c12c4e54431b"/>
    <w:p>
      <w:pPr>
        <w:pStyle w:val="Heading3"/>
      </w:pPr>
      <w:r>
        <w:t xml:space="preserve">10.24 Capability Ontology and Three-Pillar Consulting GTM — From Agent Taxonomy to Enterprise Delivery</w:t>
      </w:r>
    </w:p>
    <w:bookmarkStart w:id="308" w:name="motivation-5"/>
    <w:p>
      <w:pPr>
        <w:pStyle w:val="Heading4"/>
      </w:pPr>
      <w:r>
        <w:t xml:space="preserve">10.24.1 Motivation</w:t>
      </w:r>
    </w:p>
    <w:p>
      <w:pPr>
        <w:pStyle w:val="FirstParagraph"/>
      </w:pPr>
      <w:r>
        <w:t xml:space="preserve">By June 2026, the DWS IQ 6 agent population had grown to 58+ registered agents across multiple subsystems, with 18 additional capability areas identified during enterprise consulting engagement preparation. The flat agent inventory — while functionally complete — lacked a taxonomic structure that enterprise customers could navigate. Two product engineering challenges emerged simultaneously:</w:t>
      </w:r>
    </w:p>
    <w:p>
      <w:pPr>
        <w:numPr>
          <w:ilvl w:val="0"/>
          <w:numId w:val="1111"/>
        </w:numPr>
      </w:pPr>
      <w:r>
        <w:rPr>
          <w:bCs/>
          <w:b/>
        </w:rPr>
        <w:t xml:space="preserve">Ontological.</w:t>
      </w:r>
      <w:r>
        <w:t xml:space="preserve"> </w:t>
      </w:r>
      <w:r>
        <w:t xml:space="preserve">The 10 capability categories that had organically formed around agent clusters were not merely a grouping convenience — they mapped to the LWM knowledge graph classes. Exposing this structure explicitly would allow customers to reason about coverage gaps.</w:t>
      </w:r>
    </w:p>
    <w:p>
      <w:pPr>
        <w:numPr>
          <w:ilvl w:val="0"/>
          <w:numId w:val="1111"/>
        </w:numPr>
      </w:pPr>
      <w:r>
        <w:rPr>
          <w:bCs/>
          <w:b/>
        </w:rPr>
        <w:t xml:space="preserve">Political.</w:t>
      </w:r>
      <w:r>
        <w:t xml:space="preserve"> </w:t>
      </w:r>
      <w:r>
        <w:t xml:space="preserve">Enterprise customers had historically employed 72+ human consulting roles (Cloud Ready Teams, 2024 edition). Framing the 80+ agent capabilities as</w:t>
      </w:r>
      <w:r>
        <w:t xml:space="preserve"> </w:t>
      </w:r>
      <w:r>
        <w:t xml:space="preserve">“</w:t>
      </w:r>
      <w:r>
        <w:t xml:space="preserve">replacements for roles</w:t>
      </w:r>
      <w:r>
        <w:t xml:space="preserve">”</w:t>
      </w:r>
      <w:r>
        <w:t xml:space="preserve"> </w:t>
      </w:r>
      <w:r>
        <w:t xml:space="preserve">would trigger job-loss anxieties and procurement resistance. The engineering challenge was to present capability without threatening identity.</w:t>
      </w:r>
    </w:p>
    <w:bookmarkEnd w:id="308"/>
    <w:bookmarkStart w:id="309" w:name="Xf0116f03a4671a1d6b317f74ce1c4519c365155"/>
    <w:p>
      <w:pPr>
        <w:pStyle w:val="Heading4"/>
      </w:pPr>
      <w:r>
        <w:t xml:space="preserve">10.24.2 Capability Ontology — 10 LWM Knowledge Graph Classes</w:t>
      </w:r>
    </w:p>
    <w:p>
      <w:pPr>
        <w:pStyle w:val="FirstParagraph"/>
      </w:pPr>
      <w:r>
        <w:t xml:space="preserve">The 80+ agent capabilities were organised into 10 ontology classes derived from the Lifetime World Model’s knowledge graph structure:</w:t>
      </w:r>
    </w:p>
    <w:tbl>
      <w:tblPr>
        <w:tblStyle w:val="Table"/>
        <w:tblW w:type="pct" w:w="5000"/>
        <w:tblLook w:firstRow="1" w:lastRow="0" w:firstColumn="0" w:lastColumn="0" w:noHBand="0" w:noVBand="0" w:val="0020"/>
        <w:jc w:val="start"/>
      </w:tblPr>
      <w:tblGrid>
        <w:gridCol w:w="240"/>
        <w:gridCol w:w="1520"/>
        <w:gridCol w:w="1520"/>
        <w:gridCol w:w="4640"/>
      </w:tblGrid>
      <w:tr>
        <w:trPr>
          <w:tblHeader w:val="true"/>
        </w:trPr>
        <w:tc>
          <w:tcPr/>
          <w:p>
            <w:pPr>
              <w:pStyle w:val="Compact"/>
              <w:jc w:val="left"/>
            </w:pPr>
            <w:r>
              <w:t xml:space="preserve">#</w:t>
            </w:r>
          </w:p>
        </w:tc>
        <w:tc>
          <w:tcPr/>
          <w:p>
            <w:pPr>
              <w:pStyle w:val="Compact"/>
              <w:jc w:val="left"/>
            </w:pPr>
            <w:r>
              <w:t xml:space="preserve">Ontology Class (FI)</w:t>
            </w:r>
          </w:p>
        </w:tc>
        <w:tc>
          <w:tcPr/>
          <w:p>
            <w:pPr>
              <w:pStyle w:val="Compact"/>
              <w:jc w:val="left"/>
            </w:pPr>
            <w:r>
              <w:t xml:space="preserve">Ontology Class (EN)</w:t>
            </w:r>
          </w:p>
        </w:tc>
        <w:tc>
          <w:tcPr/>
          <w:p>
            <w:pPr>
              <w:pStyle w:val="Compact"/>
              <w:jc w:val="left"/>
            </w:pPr>
            <w:r>
              <w:t xml:space="preserve">Example Capabilities</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Consulting</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Regulation</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Industry</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Orchestration</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Field Operations</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Sales</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Management</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System</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Defence</w:t>
            </w:r>
          </w:p>
        </w:tc>
        <w:tc>
          <w:tcPr/>
          <w:p>
            <w:pPr>
              <w:pStyle w:val="Compact"/>
              <w:jc w:val="left"/>
            </w:pPr>
            <w:r>
              <w:t xml:space="preserve">Aegis Platform,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Transformation</w:t>
            </w:r>
          </w:p>
        </w:tc>
        <w:tc>
          <w:tcPr/>
          <w:p>
            <w:pPr>
              <w:pStyle w:val="Compact"/>
              <w:jc w:val="left"/>
            </w:pPr>
            <w:r>
              <w:t xml:space="preserve">Disruption Response, HR Systems, Service Desk</w:t>
            </w:r>
          </w:p>
        </w:tc>
      </w:tr>
    </w:tbl>
    <w:p>
      <w:pPr>
        <w:pStyle w:val="BodyText"/>
      </w:pPr>
      <w:r>
        <w:t xml:space="preserve">The ontology is not a flat list but a knowledge graph: each class has directed edges to the classes it depends on (e.g., Regulation → Data Management for evidence pipelines; Industry → Orchestration for multi-agent workflows). This graph structure is the same LWM topology that the Perception Capital (§10.23.7) accumulates — the ontology is the Perception Capital’s schema.</w:t>
      </w:r>
    </w:p>
    <w:bookmarkEnd w:id="309"/>
    <w:bookmarkStart w:id="310" w:name="capability-not-role-framing"/>
    <w:p>
      <w:pPr>
        <w:pStyle w:val="Heading4"/>
      </w:pPr>
      <w:r>
        <w:t xml:space="preserve">10.24.3 Capability-Not-Role Framing</w:t>
      </w:r>
    </w:p>
    <w:p>
      <w:pPr>
        <w:pStyle w:val="FirstParagraph"/>
      </w:pPr>
      <w:r>
        <w:t xml:space="preserve">The 62 existing agents plus 18 newly identified capability areas were explicitly framed as</w:t>
      </w:r>
      <w:r>
        <w:t xml:space="preserve"> </w:t>
      </w:r>
      <w:r>
        <w:rPr>
          <w:iCs/>
          <w:i/>
        </w:rPr>
        <w:t xml:space="preserve">capabilities</w:t>
      </w:r>
      <w:r>
        <w:t xml:space="preserve">, not job titles. The operating principle:</w:t>
      </w:r>
      <w:r>
        <w:t xml:space="preserve"> </w:t>
      </w:r>
      <w:r>
        <w:t xml:space="preserve">“</w:t>
      </w:r>
      <w:r>
        <w:t xml:space="preserve">DWS ei korvaa yrityksen henkilöstöä. DWS tuo kyvykkyyttä</w:t>
      </w:r>
      <w:r>
        <w:t xml:space="preserve">”</w:t>
      </w:r>
      <w:r>
        <w:t xml:space="preserve"> </w:t>
      </w:r>
      <w:r>
        <w:t xml:space="preserve">(DWS does not replace the customer’s staff. DWS brings capability). This framing decision has three engineering consequences:</w:t>
      </w:r>
    </w:p>
    <w:p>
      <w:pPr>
        <w:numPr>
          <w:ilvl w:val="0"/>
          <w:numId w:val="1112"/>
        </w:numPr>
        <w:pStyle w:val="Compact"/>
      </w:pPr>
      <w:r>
        <w:rPr>
          <w:bCs/>
          <w:b/>
        </w:rPr>
        <w:t xml:space="preserve">Procurement path.</w:t>
      </w:r>
      <w:r>
        <w:t xml:space="preserve"> </w:t>
      </w:r>
      <w:r>
        <w:t xml:space="preserve">Capability procurement does not trigger workforce consultation obligations under Finnish co-determination law (YT-laki).</w:t>
      </w:r>
    </w:p>
    <w:p>
      <w:pPr>
        <w:numPr>
          <w:ilvl w:val="0"/>
          <w:numId w:val="1112"/>
        </w:numPr>
        <w:pStyle w:val="Compact"/>
      </w:pPr>
      <w:r>
        <w:rPr>
          <w:bCs/>
          <w:b/>
        </w:rPr>
        <w:t xml:space="preserve">Adoption pattern.</w:t>
      </w:r>
      <w:r>
        <w:t xml:space="preserve"> </w:t>
      </w:r>
      <w:r>
        <w:t xml:space="preserve">A capability augments an existing role holder rather than displacing them — the GTM land-and-expand pattern (§10.23.7) applies at the individual contributor level.</w:t>
      </w:r>
    </w:p>
    <w:p>
      <w:pPr>
        <w:numPr>
          <w:ilvl w:val="0"/>
          <w:numId w:val="1112"/>
        </w:numPr>
        <w:pStyle w:val="Compact"/>
      </w:pPr>
      <w:r>
        <w:rPr>
          <w:bCs/>
          <w:b/>
        </w:rPr>
        <w:t xml:space="preserve">Catalogue structure.</w:t>
      </w:r>
      <w:r>
        <w:t xml:space="preserve"> </w:t>
      </w:r>
      <w:r>
        <w:t xml:space="preserve">The capability catalogue grows continuously rather than being versioned as a fixed headcount.</w:t>
      </w:r>
    </w:p>
    <w:bookmarkEnd w:id="310"/>
    <w:bookmarkStart w:id="311" w:name="three-pillar-consulting-model"/>
    <w:p>
      <w:pPr>
        <w:pStyle w:val="Heading4"/>
      </w:pPr>
      <w:r>
        <w:t xml:space="preserve">10.24.4 Three-Pillar Consulting Model</w:t>
      </w:r>
    </w:p>
    <w:p>
      <w:pPr>
        <w:pStyle w:val="FirstParagraph"/>
      </w:pPr>
      <w:r>
        <w:t xml:space="preserve">The capability ontology required a delivery framework. The consulting engagement model crystallised into three pillars:</w:t>
      </w:r>
    </w:p>
    <w:p>
      <w:pPr>
        <w:numPr>
          <w:ilvl w:val="0"/>
          <w:numId w:val="1113"/>
        </w:numPr>
        <w:pStyle w:val="Compact"/>
      </w:pPr>
      <w:r>
        <w:rPr>
          <w:bCs/>
          <w:b/>
        </w:rPr>
        <w:t xml:space="preserve">Pillar 1 — Capability Training.</w:t>
      </w:r>
      <w:r>
        <w:t xml:space="preserve"> </w:t>
      </w:r>
      <w:r>
        <w:t xml:space="preserve">Train the customer’s team to use the 80+ agent capabilities within their existing workflows.</w:t>
      </w:r>
    </w:p>
    <w:p>
      <w:pPr>
        <w:numPr>
          <w:ilvl w:val="0"/>
          <w:numId w:val="1113"/>
        </w:numPr>
        <w:pStyle w:val="Compact"/>
      </w:pPr>
      <w:r>
        <w:rPr>
          <w:bCs/>
          <w:b/>
        </w:rPr>
        <w:t xml:space="preserve">Pillar 2 — Industry-Specific Compliance Workflow Development.</w:t>
      </w:r>
      <w:r>
        <w:t xml:space="preserve"> </w:t>
      </w:r>
      <w:r>
        <w:t xml:space="preserve">Develop and deploy industry-specific intelligent compliance workflows to production. This pillar operationalises the LWM Sequencing Strategy (§10.18) at the customer level.</w:t>
      </w:r>
    </w:p>
    <w:p>
      <w:pPr>
        <w:numPr>
          <w:ilvl w:val="0"/>
          <w:numId w:val="1113"/>
        </w:numPr>
        <w:pStyle w:val="Compact"/>
      </w:pPr>
      <w:r>
        <w:rPr>
          <w:bCs/>
          <w:b/>
        </w:rPr>
        <w:t xml:space="preserve">Pillar 3 — Disruption-Free Project Continuity.</w:t>
      </w:r>
      <w:r>
        <w:t xml:space="preserve"> </w:t>
      </w:r>
      <w:r>
        <w:t xml:space="preserve">Ensure the project proceeds without interruptions, using the Keskeytyslaskuri (interruption cost calculator at lifetime.fi/laskuri/) to quantify context-rebuilding cost, momentum loss, and key-person risk.</w:t>
      </w:r>
    </w:p>
    <w:p>
      <w:pPr>
        <w:pStyle w:val="FirstParagraph"/>
      </w:pPr>
      <w:r>
        <w:t xml:space="preserve">The three pillars map directly to the 4P capital model (§10.23.7): Pillar 1 builds People Capital, Pillar 2 builds Prompt + Perception Capital, Pillar 3 protects Plant Capital continuity.</w:t>
      </w:r>
    </w:p>
    <w:bookmarkEnd w:id="311"/>
    <w:bookmarkStart w:id="312" w:name="aegis-defence-capability-correction"/>
    <w:p>
      <w:pPr>
        <w:pStyle w:val="Heading4"/>
      </w:pPr>
      <w:r>
        <w:t xml:space="preserve">10.24.5 Aegis Defence Capability Correction</w:t>
      </w:r>
    </w:p>
    <w:p>
      <w:pPr>
        <w:pStyle w:val="FirstParagraph"/>
      </w:pPr>
      <w:r>
        <w:t xml:space="preserve">During handbook preparation, investigation of ArgusAgent’s actual capabilities revealed that the previously claimed</w:t>
      </w:r>
      <w:r>
        <w:t xml:space="preserve"> </w:t>
      </w:r>
      <w:r>
        <w:t xml:space="preserve">“</w:t>
      </w:r>
      <w:r>
        <w:t xml:space="preserve">drone detection</w:t>
      </w:r>
      <w:r>
        <w:t xml:space="preserve">”</w:t>
      </w:r>
      <w:r>
        <w:t xml:space="preserve"> </w:t>
      </w:r>
      <w:r>
        <w:t xml:space="preserve">was not implemented. The honest capability profile is SAR (Synthetic Aperture Radar) orbital target detection via ICEYE partnership — change detection on satellite imagery, not real-time airborne surveillance. The Aegis Defence section was rewritten across all sales and consulting documents with 5 verified workflows:</w:t>
      </w:r>
    </w:p>
    <w:p>
      <w:pPr>
        <w:numPr>
          <w:ilvl w:val="0"/>
          <w:numId w:val="1114"/>
        </w:numPr>
        <w:pStyle w:val="Compact"/>
      </w:pPr>
      <w:r>
        <w:t xml:space="preserve">SAR orbital target detection + change detection</w:t>
      </w:r>
    </w:p>
    <w:p>
      <w:pPr>
        <w:numPr>
          <w:ilvl w:val="0"/>
          <w:numId w:val="1114"/>
        </w:numPr>
        <w:pStyle w:val="Compact"/>
      </w:pPr>
      <w:r>
        <w:t xml:space="preserve">NIS2 + CER + Cyber Resilience Act compliance monitoring</w:t>
      </w:r>
    </w:p>
    <w:p>
      <w:pPr>
        <w:numPr>
          <w:ilvl w:val="0"/>
          <w:numId w:val="1114"/>
        </w:numPr>
        <w:pStyle w:val="Compact"/>
      </w:pPr>
      <w:r>
        <w:t xml:space="preserve">Export control compliance (EU Regulation 2021/821 dual-use)</w:t>
      </w:r>
    </w:p>
    <w:p>
      <w:pPr>
        <w:numPr>
          <w:ilvl w:val="0"/>
          <w:numId w:val="1114"/>
        </w:numPr>
        <w:pStyle w:val="Compact"/>
      </w:pPr>
      <w:r>
        <w:t xml:space="preserve">Sovereign climate compatibility assessment for dual-use industries</w:t>
      </w:r>
    </w:p>
    <w:p>
      <w:pPr>
        <w:numPr>
          <w:ilvl w:val="0"/>
          <w:numId w:val="1114"/>
        </w:numPr>
        <w:pStyle w:val="Compact"/>
      </w:pPr>
      <w:r>
        <w:t xml:space="preserve">Critical supply chain monitoring (Critical Raw Materials Act, EU Chips Act)</w:t>
      </w:r>
    </w:p>
    <w:p>
      <w:pPr>
        <w:pStyle w:val="FirstParagraph"/>
      </w:pPr>
      <w:r>
        <w:t xml:space="preserve">This correction demonstrates the Rule 12 engineering discipline (</w:t>
      </w:r>
      <w:r>
        <w:t xml:space="preserve">“</w:t>
      </w:r>
      <w:r>
        <w:t xml:space="preserve">Fail loud</w:t>
      </w:r>
      <w:r>
        <w:t xml:space="preserve">”</w:t>
      </w:r>
      <w:r>
        <w:t xml:space="preserve">) applied to product marketing.</w:t>
      </w:r>
    </w:p>
    <w:bookmarkEnd w:id="312"/>
    <w:bookmarkStart w:id="313" w:name="X80442ef017dd2681f1e186e00109bfcf47cbd93"/>
    <w:p>
      <w:pPr>
        <w:pStyle w:val="Heading4"/>
      </w:pPr>
      <w:r>
        <w:t xml:space="preserve">10.24.6 Implementation Evidence — lifetime.fi Website Deployment</w:t>
      </w:r>
    </w:p>
    <w:p>
      <w:pPr>
        <w:pStyle w:val="FirstParagraph"/>
      </w:pPr>
      <w:r>
        <w:t xml:space="preserve">The three-pillar consulting model was deployed to the lifetime.fi production website, replacing the previous generic consulting services section. The implementation uses the existing</w:t>
      </w:r>
      <w:r>
        <w:t xml:space="preserve"> </w:t>
      </w:r>
      <w:r>
        <w:rPr>
          <w:rStyle w:val="VerbatimChar"/>
        </w:rPr>
        <w:t xml:space="preserve">.industry-agent-chip</w:t>
      </w:r>
      <w:r>
        <w:t xml:space="preserve"> </w:t>
      </w:r>
      <w:r>
        <w:t xml:space="preserve">CSS component library to render the 10 ontology classes as interactive chips, with three platform cards (gold/green/blue top borders) presenting each pillar. The deployment was dual-folder mirrored (lifetime.fi/ → landing-pages/lifetime-fi/) per DWS operational standard.</w:t>
      </w:r>
    </w:p>
    <w:bookmarkEnd w:id="313"/>
    <w:bookmarkStart w:id="319" w:name="research-contribution-14"/>
    <w:p>
      <w:pPr>
        <w:pStyle w:val="Heading4"/>
      </w:pPr>
      <w:r>
        <w:t xml:space="preserve">10.24.7 Research Contribution</w:t>
      </w:r>
    </w:p>
    <w:p>
      <w:pPr>
        <w:pStyle w:val="FirstParagraph"/>
      </w:pPr>
      <w:r>
        <w:rPr>
          <w:bCs/>
          <w:b/>
        </w:rPr>
        <w:t xml:space="preserve">Key Contribution #39 — Capability Ontology and Three-Pillar Consulting GTM:</w:t>
      </w:r>
      <w:r>
        <w:t xml:space="preserve"> </w:t>
      </w:r>
      <w:r>
        <w:t xml:space="preserve">The 10-class LWM-derived ontology organises 80+ agent capabilities into a knowledge graph structure that is simultaneously the product taxonomy, the GTM catalogue, and the Perception Capital schema. The three-pillar delivery model (train → develop → protect) maps to the 4P capital accumulation pathway (People → Prompt+Perception → Plant), providing the first implementation-level answer to how an agentic platform’s consulting arm should be structured for regulated-industry customers. The</w:t>
      </w:r>
      <w:r>
        <w:t xml:space="preserve"> </w:t>
      </w:r>
      <w:r>
        <w:t xml:space="preserve">“</w:t>
      </w:r>
      <w:r>
        <w:t xml:space="preserve">capability-not-role</w:t>
      </w:r>
      <w:r>
        <w:t xml:space="preserve">”</w:t>
      </w:r>
      <w:r>
        <w:t xml:space="preserve"> </w:t>
      </w:r>
      <w:r>
        <w:t xml:space="preserve">framing resolves the political tension between agent capability marketing and enterprise workforce sensitivities — a design pattern applicable to any B2B agentic platform selling into industries with co-determination obligations. Companion artefact:</w:t>
      </w:r>
      <w:r>
        <w:t xml:space="preserve"> </w:t>
      </w:r>
      <w:r>
        <w:rPr>
          <w:rStyle w:val="VerbatimChar"/>
        </w:rPr>
        <w:t xml:space="preserve">docs/KONSULTOINNIN_KASIKIRJA_2026.md</w:t>
      </w:r>
      <w:r>
        <w:t xml:space="preserve"> </w:t>
      </w:r>
      <w:r>
        <w:t xml:space="preserve">v1.5 (Consultant Handbook 2026, bilingual FI/EN).</w:t>
      </w:r>
    </w:p>
    <w:p>
      <w:r>
        <w:pict>
          <v:rect style="width:0;height:1.5pt" o:hralign="center" o:hrstd="t" o:hr="t"/>
        </w:pict>
      </w:r>
    </w:p>
    <w:p>
      <w:pPr>
        <w:pStyle w:val="FirstParagraph"/>
      </w:pPr>
      <w:r>
        <w:rPr>
          <w:bCs/>
          <w:b/>
        </w:rPr>
        <w:t xml:space="preserve">Document Information:</w:t>
      </w:r>
    </w:p>
    <w:p>
      <w:pPr>
        <w:pStyle w:val="BodyText"/>
      </w:pPr>
      <w:r>
        <w:rPr>
          <w:bCs/>
          <w:b/>
        </w:rPr>
        <w:t xml:space="preserve">Title:</w:t>
      </w:r>
      <w:r>
        <w:t xml:space="preserve"> </w:t>
      </w:r>
      <w:r>
        <w:t xml:space="preserve">Firehorse Product Manufacturing Operating Model: Hybrid AI-Edge Architecture for Climate-Intelligent Industrial Platforms</w:t>
      </w:r>
      <w:r>
        <w:t xml:space="preserve"> </w:t>
      </w:r>
      <w:r>
        <w:rPr>
          <w:bCs/>
          <w:b/>
        </w:rPr>
        <w:t xml:space="preserve">Author:</w:t>
      </w:r>
      <w:r>
        <w:t xml:space="preserve"> </w:t>
      </w:r>
      <w:r>
        <w:t xml:space="preserve">Risto Anton Päärni</w:t>
      </w:r>
      <w:r>
        <w:t xml:space="preserve"> </w:t>
      </w:r>
      <w:r>
        <w:rPr>
          <w:bCs/>
          <w:b/>
        </w:rPr>
        <w:t xml:space="preserve">Institution:</w:t>
      </w:r>
      <w:r>
        <w:t xml:space="preserve"> </w:t>
      </w:r>
      <w:r>
        <w:t xml:space="preserve">Metropolia University of Applied Sciences</w:t>
      </w:r>
      <w:r>
        <w:t xml:space="preserve"> </w:t>
      </w:r>
      <w:r>
        <w:rPr>
          <w:bCs/>
          <w:b/>
        </w:rPr>
        <w:t xml:space="preserve">Program:</w:t>
      </w:r>
      <w:r>
        <w:t xml:space="preserve"> </w:t>
      </w:r>
      <w:r>
        <w:t xml:space="preserve">Smart Factory, Master’s Degree (YAMK)</w:t>
      </w:r>
      <w:r>
        <w:t xml:space="preserve"> </w:t>
      </w:r>
      <w:r>
        <w:rPr>
          <w:bCs/>
          <w:b/>
        </w:rPr>
        <w:t xml:space="preserve">Supervisor:</w:t>
      </w:r>
      <w:r>
        <w:t xml:space="preserve"> </w:t>
      </w:r>
      <w:r>
        <w:t xml:space="preserve">Jarno Varteva (with Erkki Räsänen)</w:t>
      </w:r>
      <w:r>
        <w:t xml:space="preserve"> </w:t>
      </w:r>
      <w:r>
        <w:rPr>
          <w:bCs/>
          <w:b/>
        </w:rPr>
        <w:t xml:space="preserve">Company:</w:t>
      </w:r>
      <w:r>
        <w:t xml:space="preserve"> </w:t>
      </w:r>
      <w:r>
        <w:t xml:space="preserve">Lifetime Oy (Firehorse brand)</w:t>
      </w:r>
      <w:r>
        <w:t xml:space="preserve"> </w:t>
      </w:r>
      <w:r>
        <w:rPr>
          <w:bCs/>
          <w:b/>
        </w:rPr>
        <w:t xml:space="preserve">Status:</w:t>
      </w:r>
      <w:r>
        <w:t xml:space="preserve"> </w:t>
      </w:r>
      <w:r>
        <w:t xml:space="preserve">DRAFT - V3.72 (Capability Ontology and Three-Pillar Consulting GTM; Consultant Handbook 2026 as companion artefact)</w:t>
      </w:r>
      <w:r>
        <w:t xml:space="preserve"> </w:t>
      </w:r>
      <w:r>
        <w:rPr>
          <w:bCs/>
          <w:b/>
        </w:rPr>
        <w:t xml:space="preserve">Version:</w:t>
      </w:r>
      <w:r>
        <w:t xml:space="preserve"> </w:t>
      </w:r>
      <w:r>
        <w:t xml:space="preserve">3.72</w:t>
      </w:r>
      <w:r>
        <w:t xml:space="preserve"> </w:t>
      </w:r>
      <w:r>
        <w:rPr>
          <w:bCs/>
          <w:b/>
        </w:rPr>
        <w:t xml:space="preserve">Last Modified:</w:t>
      </w:r>
      <w:r>
        <w:t xml:space="preserve"> </w:t>
      </w:r>
      <w:r>
        <w:t xml:space="preserve">28.06.2026</w:t>
      </w:r>
      <w:r>
        <w:t xml:space="preserve"> </w:t>
      </w:r>
      <w:r>
        <w:rPr>
          <w:bCs/>
          <w:b/>
        </w:rPr>
        <w:t xml:space="preserve">V1.0 Release Target:</w:t>
      </w:r>
      <w:r>
        <w:t xml:space="preserve"> </w:t>
      </w:r>
      <w:r>
        <w:t xml:space="preserve">23 February 2026</w:t>
      </w:r>
    </w:p>
    <w:p>
      <w:pPr>
        <w:pStyle w:val="BodyText"/>
      </w:pPr>
      <w:r>
        <w:rPr>
          <w:bCs/>
          <w:b/>
        </w:rPr>
        <w:t xml:space="preserve">Languages:</w:t>
      </w:r>
      <w:r>
        <w:t xml:space="preserve"> </w:t>
      </w:r>
      <w:r>
        <w:t xml:space="preserve">English, Suomi</w:t>
      </w:r>
      <w:r>
        <w:t xml:space="preserve"> </w:t>
      </w:r>
      <w:r>
        <w:rPr>
          <w:bCs/>
          <w:b/>
        </w:rPr>
        <w:t xml:space="preserve">Related Documents:</w:t>
      </w:r>
    </w:p>
    <w:p>
      <w:pPr>
        <w:numPr>
          <w:ilvl w:val="0"/>
          <w:numId w:val="1115"/>
        </w:numPr>
        <w:pStyle w:val="Compact"/>
      </w:pPr>
      <w:hyperlink r:id="rId314">
        <w:r>
          <w:rPr>
            <w:rStyle w:val="Hyperlink"/>
          </w:rPr>
          <w:t xml:space="preserve">Finnish Version</w:t>
        </w:r>
      </w:hyperlink>
    </w:p>
    <w:p>
      <w:pPr>
        <w:numPr>
          <w:ilvl w:val="0"/>
          <w:numId w:val="1115"/>
        </w:numPr>
        <w:pStyle w:val="Compact"/>
      </w:pPr>
      <w:hyperlink r:id="rId315">
        <w:r>
          <w:rPr>
            <w:rStyle w:val="Hyperlink"/>
          </w:rPr>
          <w:t xml:space="preserve">Agent Signal Instructions</w:t>
        </w:r>
      </w:hyperlink>
    </w:p>
    <w:p>
      <w:pPr>
        <w:numPr>
          <w:ilvl w:val="0"/>
          <w:numId w:val="1115"/>
        </w:numPr>
        <w:pStyle w:val="Compact"/>
      </w:pPr>
      <w:hyperlink r:id="rId316">
        <w:r>
          <w:rPr>
            <w:rStyle w:val="Hyperlink"/>
          </w:rPr>
          <w:t xml:space="preserve">AgentFoundry Architecture</w:t>
        </w:r>
      </w:hyperlink>
    </w:p>
    <w:p>
      <w:pPr>
        <w:numPr>
          <w:ilvl w:val="0"/>
          <w:numId w:val="1115"/>
        </w:numPr>
        <w:pStyle w:val="Compact"/>
      </w:pPr>
      <w:hyperlink r:id="rId317">
        <w:r>
          <w:rPr>
            <w:rStyle w:val="Hyperlink"/>
          </w:rPr>
          <w:t xml:space="preserve">LWM Training Manual</w:t>
        </w:r>
      </w:hyperlink>
    </w:p>
    <w:p>
      <w:pPr>
        <w:numPr>
          <w:ilvl w:val="0"/>
          <w:numId w:val="1115"/>
        </w:numPr>
        <w:pStyle w:val="Compact"/>
      </w:pPr>
      <w:hyperlink r:id="rId318">
        <w:r>
          <w:rPr>
            <w:rStyle w:val="Hyperlink"/>
          </w:rPr>
          <w:t xml:space="preserve">System Administrator Manual</w:t>
        </w:r>
      </w:hyperlink>
    </w:p>
    <w:bookmarkEnd w:id="319"/>
    <w:bookmarkEnd w:id="320"/>
    <w:bookmarkStart w:id="321" w:name="X95b9ef3735812884c58a442b581b56a06aef0da"/>
    <w:p>
      <w:pPr>
        <w:pStyle w:val="Heading3"/>
      </w:pPr>
      <w:r>
        <w:t xml:space="preserve">10.26 Cryptographic Review of the Verified-Done Attestation Signing Path: Two Findings, and Falsification as a Test-Quality Gate</w:t>
      </w:r>
    </w:p>
    <w:p>
      <w:pPr>
        <w:pStyle w:val="FirstParagraph"/>
      </w:pPr>
      <w:r>
        <w:rPr>
          <w:bCs/>
          <w:b/>
        </w:rPr>
        <w:t xml:space="preserve">Implementation under review.</w:t>
      </w:r>
      <w:r>
        <w:t xml:space="preserve"> </w:t>
      </w:r>
      <w:r>
        <w:t xml:space="preserve">The verified-done attestation signing path (KYA §14.7.1) was implemented as</w:t>
      </w:r>
      <w:r>
        <w:t xml:space="preserve"> </w:t>
      </w:r>
      <w:r>
        <w:rPr>
          <w:rStyle w:val="VerbatimChar"/>
        </w:rPr>
        <w:t xml:space="preserve">src/identity/attestation-signing.ts</w:t>
      </w:r>
      <w:r>
        <w:t xml:space="preserve">, delivering EdDSA detached-JWS proofs over W3C Verifiable Credential attestations, with an accompanying store, issuance orchestration and evidence-chain writer. The suite carried 47 passing tests, a clean</w:t>
      </w:r>
      <w:r>
        <w:t xml:space="preserve"> </w:t>
      </w:r>
      <w:r>
        <w:rPr>
          <w:rStyle w:val="VerbatimChar"/>
        </w:rPr>
        <w:t xml:space="preserve">tsc --noEmit</w:t>
      </w:r>
      <w:r>
        <w:t xml:space="preserve">, and clean formatting. A deliberate dependency decision is recorded:</w:t>
      </w:r>
      <w:r>
        <w:t xml:space="preserve"> </w:t>
      </w:r>
      <w:r>
        <w:rPr>
          <w:bCs/>
          <w:b/>
        </w:rPr>
        <w:t xml:space="preserve">Ed25519 via Node’s built-in</w:t>
      </w:r>
      <w:r>
        <w:rPr>
          <w:bCs/>
          <w:b/>
        </w:rPr>
        <w:t xml:space="preserve"> </w:t>
      </w:r>
      <w:r>
        <w:rPr>
          <w:rStyle w:val="VerbatimChar"/>
          <w:bCs/>
          <w:b/>
        </w:rPr>
        <w:t xml:space="preserve">node:crypto</w:t>
      </w:r>
      <w:r>
        <w:rPr>
          <w:bCs/>
          <w:b/>
        </w:rPr>
        <w:t xml:space="preserve"> </w:t>
      </w:r>
      <w:r>
        <w:rPr>
          <w:bCs/>
          <w:b/>
        </w:rPr>
        <w:t xml:space="preserve">rather than the</w:t>
      </w:r>
      <w:r>
        <w:rPr>
          <w:bCs/>
          <w:b/>
        </w:rPr>
        <w:t xml:space="preserve"> </w:t>
      </w:r>
      <w:r>
        <w:rPr>
          <w:rStyle w:val="VerbatimChar"/>
          <w:bCs/>
          <w:b/>
        </w:rPr>
        <w:t xml:space="preserve">jose</w:t>
      </w:r>
      <w:r>
        <w:rPr>
          <w:bCs/>
          <w:b/>
        </w:rPr>
        <w:t xml:space="preserve"> </w:t>
      </w:r>
      <w:r>
        <w:rPr>
          <w:bCs/>
          <w:b/>
        </w:rPr>
        <w:t xml:space="preserve">library</w:t>
      </w:r>
      <w:r>
        <w:t xml:space="preserve">, on the reasoning that a product whose value proposition is a narrow trusted computing base should not widen that base with a third-party package in order to sign its own sovereignty claims.</w:t>
      </w:r>
    </w:p>
    <w:p>
      <w:pPr>
        <w:pStyle w:val="BodyText"/>
      </w:pPr>
      <w:r>
        <w:rPr>
          <w:bCs/>
          <w:b/>
        </w:rPr>
        <w:t xml:space="preserve">Finding F1 (HIGH) — the signature did not cover the proof options.</w:t>
      </w:r>
      <w:r>
        <w:t xml:space="preserve"> </w:t>
      </w:r>
      <w:r>
        <w:t xml:space="preserve">The signing-bytes function stripped the entire</w:t>
      </w:r>
      <w:r>
        <w:t xml:space="preserve"> </w:t>
      </w:r>
      <w:r>
        <w:rPr>
          <w:rStyle w:val="VerbatimChar"/>
        </w:rPr>
        <w:t xml:space="preserve">proof</w:t>
      </w:r>
      <w:r>
        <w:t xml:space="preserve"> </w:t>
      </w:r>
      <w:r>
        <w:t xml:space="preserve">block from the credential before signing. Consequently</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and</w:t>
      </w:r>
      <w:r>
        <w:t xml:space="preserve"> </w:t>
      </w:r>
      <w:r>
        <w:rPr>
          <w:rStyle w:val="VerbatimChar"/>
        </w:rPr>
        <w:t xml:space="preserve">proof.type</w:t>
      </w:r>
      <w:r>
        <w:t xml:space="preserve"> </w:t>
      </w:r>
      <w:r>
        <w:t xml:space="preserve">could each be modified after signing and the credential would still verify. Two consequences follow directly:</w:t>
      </w:r>
    </w:p>
    <w:p>
      <w:pPr>
        <w:numPr>
          <w:ilvl w:val="0"/>
          <w:numId w:val="1116"/>
        </w:numPr>
        <w:pStyle w:val="Compact"/>
      </w:pPr>
      <w:r>
        <w:rPr>
          <w:bCs/>
          <w:b/>
        </w:rPr>
        <w:t xml:space="preserve">The timestamp of an EU AI Act Article 12 evidence artifact was unprotected.</w:t>
      </w:r>
      <w:r>
        <w:t xml:space="preserve"> </w:t>
      </w:r>
      <w:r>
        <w:t xml:space="preserve">An evidence record whose date can be altered without detection does not function as evidence.</w:t>
      </w:r>
    </w:p>
    <w:p>
      <w:pPr>
        <w:numPr>
          <w:ilvl w:val="0"/>
          <w:numId w:val="1116"/>
        </w:numPr>
        <w:pStyle w:val="Compact"/>
      </w:pPr>
      <w:r>
        <w:rPr>
          <w:bCs/>
          <w:b/>
        </w:rPr>
        <w:t xml:space="preserve">Trust-anchor selection from unsigned data.</w:t>
      </w:r>
      <w:r>
        <w:t xml:space="preserve"> </w:t>
      </w:r>
      <w:r>
        <w:t xml:space="preserve">The design specifies resolving the issuer key from a</w:t>
      </w:r>
      <w:r>
        <w:t xml:space="preserve"> </w:t>
      </w:r>
      <w:r>
        <w:rPr>
          <w:rStyle w:val="VerbatimChar"/>
        </w:rPr>
        <w:t xml:space="preserve">did:web</w:t>
      </w:r>
      <w:r>
        <w:t xml:space="preserve"> </w:t>
      </w:r>
      <w:r>
        <w:t xml:space="preserve">verification method. A verifier implementing that flow would read</w:t>
      </w:r>
      <w:r>
        <w:t xml:space="preserve"> </w:t>
      </w:r>
      <w:r>
        <w:rPr>
          <w:rStyle w:val="VerbatimChar"/>
        </w:rPr>
        <w:t xml:space="preserve">proof.verificationMethod</w:t>
      </w:r>
      <w:r>
        <w:t xml:space="preserve"> </w:t>
      </w:r>
      <w:r>
        <w:t xml:space="preserve">— an unsigned, modifiable field — to decide which key to trust. The signed</w:t>
      </w:r>
      <w:r>
        <w:t xml:space="preserve"> </w:t>
      </w:r>
      <w:r>
        <w:rPr>
          <w:rStyle w:val="VerbatimChar"/>
        </w:rPr>
        <w:t xml:space="preserve">issuer</w:t>
      </w:r>
      <w:r>
        <w:t xml:space="preserve"> </w:t>
      </w:r>
      <w:r>
        <w:t xml:space="preserve">field provides the defence, but neither the code nor its documentation required binding one to the other.</w:t>
      </w:r>
    </w:p>
    <w:p>
      <w:pPr>
        <w:pStyle w:val="FirstParagraph"/>
      </w:pPr>
      <w:r>
        <w:rPr>
          <w:bCs/>
          <w:b/>
        </w:rPr>
        <w:t xml:space="preserve">Root cause in test design, not in cryptographic knowledge.</w:t>
      </w:r>
      <w:r>
        <w:t xml:space="preserve"> </w:t>
      </w:r>
      <w:r>
        <w:t xml:space="preserve">The eight existing signing tests included a tamper case — but it tampered the credential</w:t>
      </w:r>
      <w:r>
        <w:t xml:space="preserve"> </w:t>
      </w:r>
      <w:r>
        <w:rPr>
          <w:iCs/>
          <w:i/>
        </w:rPr>
        <w:t xml:space="preserve">subject</w:t>
      </w:r>
      <w:r>
        <w:t xml:space="preserve">, which is inside the signed payload and therefore correctly rejected. No test tampered the</w:t>
      </w:r>
      <w:r>
        <w:t xml:space="preserve"> </w:t>
      </w:r>
      <w:r>
        <w:rPr>
          <w:iCs/>
          <w:i/>
        </w:rPr>
        <w:t xml:space="preserve">proof block</w:t>
      </w:r>
      <w:r>
        <w:t xml:space="preserve">, because such a test would have passed verification and failed its own assertion. The suite was well-constructed for the properties it tested and structurally blind to the defect.</w:t>
      </w:r>
    </w:p>
    <w:p>
      <w:pPr>
        <w:pStyle w:val="BodyText"/>
      </w:pPr>
      <w:r>
        <w:rPr>
          <w:bCs/>
          <w:b/>
        </w:rPr>
        <w:t xml:space="preserve">Remediation.</w:t>
      </w:r>
      <w:r>
        <w:t xml:space="preserve"> </w:t>
      </w:r>
      <w:r>
        <w:t xml:space="preserve">The proof options — every proof field except</w:t>
      </w:r>
      <w:r>
        <w:t xml:space="preserve"> </w:t>
      </w:r>
      <w:r>
        <w:rPr>
          <w:rStyle w:val="VerbatimChar"/>
        </w:rPr>
        <w:t xml:space="preserve">proofValue</w:t>
      </w:r>
      <w:r>
        <w:t xml:space="preserve"> </w:t>
      </w:r>
      <w:r>
        <w:t xml:space="preserve">— are now bound into the canonical signing payload on both the signing and verifying paths, following the W3C Data Integrity pattern of canonicalising proof options together with the document. Any post-signing modification of the proof metadata now alters the payload and fails the signature.</w:t>
      </w:r>
    </w:p>
    <w:p>
      <w:pPr>
        <w:pStyle w:val="BodyText"/>
      </w:pPr>
      <w:r>
        <w:rPr>
          <w:bCs/>
          <w:b/>
        </w:rPr>
        <w:t xml:space="preserve">Finding F3 (MEDIUM) — key-type assertion.</w:t>
      </w:r>
      <w:r>
        <w:t xml:space="preserve"> </w:t>
      </w:r>
      <w:r>
        <w:t xml:space="preserve">The environment loader accepted any private key PEM; a non-Ed25519 key loaded successfully and failed later inside the signing call with an opaque error, while the JOSE header had already asserted</w:t>
      </w:r>
      <w:r>
        <w:t xml:space="preserve"> </w:t>
      </w:r>
      <w:r>
        <w:rPr>
          <w:rStyle w:val="VerbatimChar"/>
        </w:rPr>
        <w:t xml:space="preserve">alg: 'EdDSA'</w:t>
      </w:r>
      <w:r>
        <w:t xml:space="preserve">. The loader now asserts</w:t>
      </w:r>
      <w:r>
        <w:t xml:space="preserve"> </w:t>
      </w:r>
      <w:r>
        <w:rPr>
          <w:rStyle w:val="VerbatimChar"/>
        </w:rPr>
        <w:t xml:space="preserve">asymmetricKeyType === 'ed25519'</w:t>
      </w:r>
      <w:r>
        <w:t xml:space="preserve"> </w:t>
      </w:r>
      <w:r>
        <w:t xml:space="preserve">and throws. The asymmetry is deliberate and follows the fail-loud discipline: an</w:t>
      </w:r>
      <w:r>
        <w:t xml:space="preserve"> </w:t>
      </w:r>
      <w:r>
        <w:rPr>
          <w:bCs/>
          <w:b/>
        </w:rPr>
        <w:t xml:space="preserve">unconfigured</w:t>
      </w:r>
      <w:r>
        <w:t xml:space="preserve"> </w:t>
      </w:r>
      <w:r>
        <w:t xml:space="preserve">signer returns</w:t>
      </w:r>
      <w:r>
        <w:t xml:space="preserve"> </w:t>
      </w:r>
      <w:r>
        <w:rPr>
          <w:rStyle w:val="VerbatimChar"/>
        </w:rPr>
        <w:t xml:space="preserve">null</w:t>
      </w:r>
      <w:r>
        <w:t xml:space="preserve">, leaving the unsigned path valid, whereas a</w:t>
      </w:r>
      <w:r>
        <w:t xml:space="preserve"> </w:t>
      </w:r>
      <w:r>
        <w:rPr>
          <w:bCs/>
          <w:b/>
        </w:rPr>
        <w:t xml:space="preserve">misconfigured</w:t>
      </w:r>
      <w:r>
        <w:t xml:space="preserve"> </w:t>
      </w:r>
      <w:r>
        <w:t xml:space="preserve">signer raises. Configuration absence is a state; configuration error is a fault.</w:t>
      </w:r>
    </w:p>
    <w:p>
      <w:pPr>
        <w:pStyle w:val="BodyText"/>
      </w:pPr>
      <w:r>
        <w:rPr>
          <w:bCs/>
          <w:b/>
        </w:rPr>
        <w:t xml:space="preserve">Methodological contribution — falsification as a test-quality gate.</w:t>
      </w:r>
      <w:r>
        <w:t xml:space="preserve"> </w:t>
      </w:r>
      <w:r>
        <w:t xml:space="preserve">The four regression tests added with the fix were not accepted on the basis that they passed. The corrected source was reverted, the suite re-run, and the four new tests</w:t>
      </w:r>
      <w:r>
        <w:t xml:space="preserve"> </w:t>
      </w:r>
      <w:r>
        <w:rPr>
          <w:bCs/>
          <w:b/>
        </w:rPr>
        <w:t xml:space="preserve">confirmed to fail against the original defective implementation</w:t>
      </w:r>
      <w:r>
        <w:t xml:space="preserve"> </w:t>
      </w:r>
      <w:r>
        <w:t xml:space="preserve">before being accepted; the eight pre-existing signing tests passed in</w:t>
      </w:r>
      <w:r>
        <w:t xml:space="preserve"> </w:t>
      </w:r>
      <w:r>
        <w:rPr>
          <w:iCs/>
          <w:i/>
        </w:rPr>
        <w:t xml:space="preserve">both</w:t>
      </w:r>
      <w:r>
        <w:t xml:space="preserve"> </w:t>
      </w:r>
      <w:r>
        <w:t xml:space="preserve">states. This yields a generalisable engineering criterion:</w:t>
      </w:r>
      <w:r>
        <w:t xml:space="preserve"> </w:t>
      </w:r>
      <w:r>
        <w:rPr>
          <w:bCs/>
          <w:b/>
        </w:rPr>
        <w:t xml:space="preserve">a test that passes both before and after a fix carries no information about that fix.</w:t>
      </w:r>
      <w:r>
        <w:t xml:space="preserve"> </w:t>
      </w:r>
      <w:r>
        <w:t xml:space="preserve">Applied as a gate, it distinguishes regression tests from decorative ones, and in this case it supplied the empirical explanation for why a competent 47-test suite failed to detect a high-severity flaw. Final state: 51 tests passing, type-check and formatting clean.</w:t>
      </w:r>
    </w:p>
    <w:p>
      <w:pPr>
        <w:pStyle w:val="BodyText"/>
      </w:pPr>
      <w:r>
        <w:rPr>
          <w:bCs/>
          <w:b/>
        </w:rPr>
        <w:t xml:space="preserve">Related implementation finding.</w:t>
      </w:r>
      <w:r>
        <w:t xml:space="preserve"> </w:t>
      </w:r>
      <w:r>
        <w:t xml:space="preserve">Review of the attestation storage schema showed the credential record anchored to the accountable human with no tenant column, while the mandate evidence table carried a nullable organisation identifier. The portable record constituting an agent’s track record was therefore bound to an individual rather than to the organisation on whose authority and data it was earned, so trust history would not survive personnel departure. Because signing makes a record durable, correcting the anchor was sequenced as a</w:t>
      </w:r>
      <w:r>
        <w:t xml:space="preserve"> </w:t>
      </w:r>
      <w:r>
        <w:rPr>
          <w:bCs/>
          <w:b/>
        </w:rPr>
        <w:t xml:space="preserve">precondition to enabling signatures</w:t>
      </w:r>
      <w:r>
        <w:t xml:space="preserve"> </w:t>
      </w:r>
      <w:r>
        <w:t xml:space="preserve">rather than as parallel work: signing a mis-anchored attestation converts a repairable schema defect into a permanent one.</w:t>
      </w:r>
    </w:p>
    <w:bookmarkEnd w:id="321"/>
    <w:bookmarkStart w:id="326" w:name="Xf077a3ed1b2edc1670e32ae6cf6371fbb55281f"/>
    <w:p>
      <w:pPr>
        <w:pStyle w:val="Heading3"/>
      </w:pPr>
      <w:r>
        <w:t xml:space="preserve">10.27 The Artifact–Legitimacy Gap: Frontier-Model Velocity, the KYA Case, and the Design Principle It Yields for a Compliance-Intelligence Platform</w:t>
      </w:r>
    </w:p>
    <w:p>
      <w:pPr>
        <w:pStyle w:val="FirstParagraph"/>
      </w:pPr>
      <w:r>
        <w:rPr>
          <w:bCs/>
          <w:b/>
        </w:rPr>
        <w:t xml:space="preserve">The problem, stated once.</w:t>
      </w:r>
      <w:r>
        <w:t xml:space="preserve"> </w:t>
      </w:r>
      <w:r>
        <w:t xml:space="preserve">Building with frontier models through Claude Code compresses the production of a technically complete artifact from months to hours. It does not compress — and structurally cannot — the institutional processes that make that artifact</w:t>
      </w:r>
      <w:r>
        <w:t xml:space="preserve"> </w:t>
      </w:r>
      <w:r>
        <w:rPr>
          <w:iCs/>
          <w:i/>
        </w:rPr>
        <w:t xml:space="preserve">legitimate</w:t>
      </w:r>
      <w:r>
        <w:t xml:space="preserve">: adversarial review by parties with competing commercial interests, independent implementation, formal acceptance by a standards body, and legal review in each jurisdiction of operation.</w:t>
      </w:r>
      <w:r>
        <w:t xml:space="preserve"> </w:t>
      </w:r>
      <w:r>
        <w:rPr>
          <w:bCs/>
          <w:b/>
        </w:rPr>
        <w:t xml:space="preserve">The artifact is finished long before it is legitimate.</w:t>
      </w:r>
      <w:r>
        <w:t xml:space="preserve"> </w:t>
      </w:r>
      <w:r>
        <w:t xml:space="preserve">This is the single largest practical problem encountered in this engineering programme, and it is not a tooling defect. It is a consequence of the tooling working.</w:t>
      </w:r>
    </w:p>
    <w:p>
      <w:pPr>
        <w:pStyle w:val="BodyText"/>
      </w:pPr>
      <w:r>
        <w:rPr>
          <w:bCs/>
          <w:b/>
        </w:rPr>
        <w:t xml:space="preserve">The second-order effect is the dangerous one.</w:t>
      </w:r>
      <w:r>
        <w:t xml:space="preserve"> </w:t>
      </w:r>
      <w:r>
        <w:t xml:space="preserve">Historically, the</w:t>
      </w:r>
      <w:r>
        <w:t xml:space="preserve"> </w:t>
      </w:r>
      <w:r>
        <w:rPr>
          <w:iCs/>
          <w:i/>
        </w:rPr>
        <w:t xml:space="preserve">quality</w:t>
      </w:r>
      <w:r>
        <w:t xml:space="preserve"> </w:t>
      </w:r>
      <w:r>
        <w:t xml:space="preserve">of a specification was evidence of the</w:t>
      </w:r>
      <w:r>
        <w:t xml:space="preserve"> </w:t>
      </w:r>
      <w:r>
        <w:rPr>
          <w:iCs/>
          <w:i/>
        </w:rPr>
        <w:t xml:space="preserve">process</w:t>
      </w:r>
      <w:r>
        <w:t xml:space="preserve"> </w:t>
      </w:r>
      <w:r>
        <w:t xml:space="preserve">behind it. RFC 2119 conformance language, a version-and-history block, a conformance section, an IPR-aware licence — no individual produced these in an afternoon, so their presence reliably implied a working group, review rounds, and elapsed time.</w:t>
      </w:r>
      <w:r>
        <w:t xml:space="preserve"> </w:t>
      </w:r>
      <w:r>
        <w:rPr>
          <w:bCs/>
          <w:b/>
        </w:rPr>
        <w:t xml:space="preserve">Frontier models break that correlation.</w:t>
      </w:r>
      <w:r>
        <w:t xml:space="preserve"> </w:t>
      </w:r>
      <w:r>
        <w:t xml:space="preserve">Fluency is no longer evidence of process. Yet every reader — buyer, auditor, regulator, and the author themselves — still uses fluency as a proxy for legitimacy. The proxy is now invalid, and its failure mode is asymmetric:</w:t>
      </w:r>
      <w:r>
        <w:t xml:space="preserve"> </w:t>
      </w:r>
      <w:r>
        <w:rPr>
          <w:bCs/>
          <w:b/>
        </w:rPr>
        <w:t xml:space="preserve">the author over-claims without intending to</w:t>
      </w:r>
      <w:r>
        <w:t xml:space="preserve">, because the artifact silently asserts a provenance its production never had.</w:t>
      </w:r>
    </w:p>
    <w:bookmarkStart w:id="322" w:name="the-kya-case"/>
    <w:p>
      <w:pPr>
        <w:pStyle w:val="Heading4"/>
      </w:pPr>
      <w:r>
        <w:t xml:space="preserve">10.27.1 The KYA case</w:t>
      </w:r>
    </w:p>
    <w:p>
      <w:pPr>
        <w:pStyle w:val="FirstParagraph"/>
      </w:pPr>
      <w:r>
        <w:t xml:space="preserve">The programme’s own governance document is the worked example, and the sequence is documented rather than reconstructed.</w:t>
      </w:r>
    </w:p>
    <w:p>
      <w:pPr>
        <w:pStyle w:val="BodyText"/>
      </w:pPr>
      <w:r>
        <w:t xml:space="preserve">A specification was produced to publication quality and titled</w:t>
      </w:r>
      <w:r>
        <w:t xml:space="preserve"> </w:t>
      </w:r>
      <w:r>
        <w:rPr>
          <w:bCs/>
          <w:b/>
        </w:rPr>
        <w:t xml:space="preserve">“</w:t>
      </w:r>
      <w:r>
        <w:rPr>
          <w:bCs/>
          <w:b/>
        </w:rPr>
        <w:t xml:space="preserve">KYA Open Standard v1.5</w:t>
      </w:r>
      <w:r>
        <w:rPr>
          <w:bCs/>
          <w:b/>
        </w:rPr>
        <w:t xml:space="preserve">”</w:t>
      </w:r>
      <w:r>
        <w:t xml:space="preserve">. Assessed against four gates — two or more independent implementations; a conformance suite an implementation can fail; acceptance by a recognised body or genuine multi-party adoption; and change control outliving the authoring organisation — it met</w:t>
      </w:r>
      <w:r>
        <w:t xml:space="preserve"> </w:t>
      </w:r>
      <w:r>
        <w:rPr>
          <w:bCs/>
          <w:b/>
        </w:rPr>
        <w:t xml:space="preserve">zero of four</w:t>
      </w:r>
      <w:r>
        <w:t xml:space="preserve">. It was retitled</w:t>
      </w:r>
      <w:r>
        <w:t xml:space="preserve"> </w:t>
      </w:r>
      <w:r>
        <w:rPr>
          <w:bCs/>
          <w:b/>
        </w:rPr>
        <w:t xml:space="preserve">“</w:t>
      </w:r>
      <w:r>
        <w:rPr>
          <w:bCs/>
          <w:b/>
        </w:rPr>
        <w:t xml:space="preserve">KYA Specification v1.5</w:t>
      </w:r>
      <w:r>
        <w:rPr>
          <w:bCs/>
          <w:b/>
        </w:rPr>
        <w:t xml:space="preserve">”</w:t>
      </w:r>
      <w:r>
        <w:t xml:space="preserve"> </w:t>
      </w:r>
      <w:r>
        <w:t xml:space="preserve">on 24.07.2026 after the categorical question was put directly:</w:t>
      </w:r>
      <w:r>
        <w:t xml:space="preserve"> </w:t>
      </w:r>
      <w:r>
        <w:rPr>
          <w:iCs/>
          <w:i/>
        </w:rPr>
        <w:t xml:space="preserve">has any body processed this?</w:t>
      </w:r>
    </w:p>
    <w:p>
      <w:pPr>
        <w:pStyle w:val="BodyText"/>
      </w:pPr>
      <w:r>
        <w:t xml:space="preserve">Nothing about the document’s technical content was wrong. It was implementable, internally consistent, and honest in its individual claims. What was wrong was the</w:t>
      </w:r>
      <w:r>
        <w:t xml:space="preserve"> </w:t>
      </w:r>
      <w:r>
        <w:rPr>
          <w:bCs/>
          <w:b/>
        </w:rPr>
        <w:t xml:space="preserve">category</w:t>
      </w:r>
      <w:r>
        <w:t xml:space="preserve"> </w:t>
      </w:r>
      <w:r>
        <w:t xml:space="preserve">the title asserted, and the artifact’s fluency was precisely what made that assertion credible.</w:t>
      </w:r>
    </w:p>
    <w:p>
      <w:pPr>
        <w:pStyle w:val="BodyText"/>
      </w:pPr>
      <w:r>
        <w:t xml:space="preserve">The decisive observation follows:</w:t>
      </w:r>
    </w:p>
    <w:p>
      <w:pPr>
        <w:pStyle w:val="BlockText"/>
      </w:pPr>
      <w:r>
        <w:rPr>
          <w:bCs/>
          <w:b/>
        </w:rPr>
        <w:t xml:space="preserve">The same engineering capacity that produced v1.5 in a single session can produce v1.6, v2.0, and v3.0. The version number accelerates; the legitimacy does not move at all.</w:t>
      </w:r>
      <w:r>
        <w:t xml:space="preserve"> </w:t>
      </w:r>
      <w:r>
        <w:t xml:space="preserve">Technical iteration cannot convert a specification into a standard, because what is missing is not technical.</w:t>
      </w:r>
    </w:p>
    <w:p>
      <w:pPr>
        <w:pStyle w:val="FirstParagraph"/>
      </w:pPr>
      <w:r>
        <w:rPr>
          <w:bCs/>
          <w:b/>
        </w:rPr>
        <w:t xml:space="preserve">And the gap can widen rather than merely persist.</w:t>
      </w:r>
      <w:r>
        <w:t xml:space="preserve"> </w:t>
      </w:r>
      <w:r>
        <w:t xml:space="preserve">Stating that legitimacy</w:t>
      </w:r>
      <w:r>
        <w:t xml:space="preserve"> </w:t>
      </w:r>
      <w:r>
        <w:t xml:space="preserve">“</w:t>
      </w:r>
      <w:r>
        <w:t xml:space="preserve">does not move</w:t>
      </w:r>
      <w:r>
        <w:t xml:space="preserve">”</w:t>
      </w:r>
      <w:r>
        <w:t xml:space="preserve"> </w:t>
      </w:r>
      <w:r>
        <w:t xml:space="preserve">understates the risk. A standards body’s acceptance criteria are formed by consensus among parties with divergent commercial interests; a solo-authored artifact optimises instead for internal coherence, because internal coherence is the only constraint its author can feel. Each unreviewed iteration therefore improves the document against the wrong objective function, and may drift</w:t>
      </w:r>
      <w:r>
        <w:t xml:space="preserve"> </w:t>
      </w:r>
      <w:r>
        <w:rPr>
          <w:iCs/>
          <w:i/>
        </w:rPr>
        <w:t xml:space="preserve">further</w:t>
      </w:r>
      <w:r>
        <w:t xml:space="preserve"> </w:t>
      </w:r>
      <w:r>
        <w:t xml:space="preserve">from what a body would accept while appearing, by every internally visible measure, to improve.</w:t>
      </w:r>
      <w:r>
        <w:t xml:space="preserve"> </w:t>
      </w:r>
      <w:r>
        <w:rPr>
          <w:bCs/>
          <w:b/>
        </w:rPr>
        <w:t xml:space="preserve">Unreviewed iteration does not merely fail to accrue legitimacy; it can accumulate reconciliation debt.</w:t>
      </w:r>
      <w:r>
        <w:t xml:space="preserve"> </w:t>
      </w:r>
      <w:r>
        <w:t xml:space="preserve">The version that is technically best is not necessarily the version closest to adoptable, and nothing inside the authoring organisation distinguishes the two.</w:t>
      </w:r>
    </w:p>
    <w:bookmarkEnd w:id="322"/>
    <w:bookmarkStart w:id="323" w:name="Xd26d0e994e72d53ea14283e00e0de11f7b1f8ea"/>
    <w:p>
      <w:pPr>
        <w:pStyle w:val="Heading4"/>
      </w:pPr>
      <w:r>
        <w:t xml:space="preserve">10.27.2 Three jurisdictions make the gap measurable</w:t>
      </w:r>
    </w:p>
    <w:p>
      <w:pPr>
        <w:pStyle w:val="FirstParagraph"/>
      </w:pPr>
      <w:r>
        <w:t xml:space="preserve">Extending KYA across the EU, United States and Singapore sharpens the point from an observation into a constraint. Each jurisdiction runs a different, non-compressible clock, and one of them</w:t>
      </w:r>
      <w:r>
        <w:t xml:space="preserve"> </w:t>
      </w:r>
      <w:r>
        <w:rPr>
          <w:bCs/>
          <w:b/>
        </w:rPr>
        <w:t xml:space="preserve">cannot be entered on the author’s initiative at all</w:t>
      </w:r>
      <w:r>
        <w:t xml:space="preserve">: under EU AI Act Article 40, harmonised standards are produced by CEN/CENELEC in response to a standardisation request from the European Commission. No amount of engineering throughput opens that door.</w:t>
      </w:r>
    </w:p>
    <w:p>
      <w:pPr>
        <w:pStyle w:val="BodyText"/>
      </w:pPr>
      <w:r>
        <w:t xml:space="preserve">The architectural consequence — one jurisdiction-neutral core plus per-jurisdiction conformance</w:t>
      </w:r>
      <w:r>
        <w:t xml:space="preserve"> </w:t>
      </w:r>
      <w:r>
        <w:rPr>
          <w:bCs/>
          <w:b/>
        </w:rPr>
        <w:t xml:space="preserve">profiles</w:t>
      </w:r>
      <w:r>
        <w:t xml:space="preserve">, never three forked specifications — is documented at</w:t>
      </w:r>
      <w:r>
        <w:t xml:space="preserve"> </w:t>
      </w:r>
      <w:r>
        <w:rPr>
          <w:rStyle w:val="VerbatimChar"/>
        </w:rPr>
        <w:t xml:space="preserve">standards/kya-open/SPEC.md</w:t>
      </w:r>
      <w:r>
        <w:t xml:space="preserve"> </w:t>
      </w:r>
      <w:r>
        <w:t xml:space="preserve">§10. The epistemic consequence is the sentence this section exists to record:</w:t>
      </w:r>
    </w:p>
    <w:p>
      <w:pPr>
        <w:pStyle w:val="BlockText"/>
      </w:pPr>
      <w:r>
        <w:rPr>
          <w:bCs/>
          <w:b/>
        </w:rPr>
        <w:t xml:space="preserve">DWS can technically build better KYA versions indefinitely. In practice they remain specifications — and across three jurisdictions, three profiles of one specification.</w:t>
      </w:r>
      <w:r>
        <w:t xml:space="preserve"> </w:t>
      </w:r>
      <w:r>
        <w:t xml:space="preserve">The profiles cannot even be validated without in-jurisdiction legal review, which is a second process the engineering cannot absorb.</w:t>
      </w:r>
    </w:p>
    <w:bookmarkEnd w:id="323"/>
    <w:bookmarkStart w:id="324" w:name="the-implemented-countermeasure"/>
    <w:p>
      <w:pPr>
        <w:pStyle w:val="Heading4"/>
      </w:pPr>
      <w:r>
        <w:t xml:space="preserve">10.27.3 The implemented countermeasure</w:t>
      </w:r>
    </w:p>
    <w:p>
      <w:pPr>
        <w:pStyle w:val="FirstParagraph"/>
      </w:pPr>
      <w:r>
        <w:rPr>
          <w:rStyle w:val="VerbatimChar"/>
        </w:rPr>
        <w:t xml:space="preserve">DWS_LEARNING_STANDARD.md</w:t>
      </w:r>
      <w:r>
        <w:t xml:space="preserve"> </w:t>
      </w:r>
      <w:r>
        <w:t xml:space="preserve">is the mechanism, not a policy statement. Its §10 supplies what an accelerated engineering process lacks by default:</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Mechanism</w:t>
            </w:r>
          </w:p>
        </w:tc>
        <w:tc>
          <w:tcPr/>
          <w:p>
            <w:pPr>
              <w:pStyle w:val="Compact"/>
              <w:jc w:val="left"/>
            </w:pPr>
            <w:r>
              <w:t xml:space="preserve">What it constrains</w:t>
            </w:r>
          </w:p>
        </w:tc>
      </w:tr>
      <w:tr>
        <w:tc>
          <w:tcPr/>
          <w:p>
            <w:pPr>
              <w:pStyle w:val="Compact"/>
              <w:jc w:val="left"/>
            </w:pPr>
            <w:r>
              <w:t xml:space="preserve">§10.3 Reversibility classification</w:t>
            </w:r>
          </w:p>
        </w:tc>
        <w:tc>
          <w:tcPr/>
          <w:p>
            <w:pPr>
              <w:pStyle w:val="Compact"/>
              <w:jc w:val="left"/>
            </w:pPr>
            <w:r>
              <w:t xml:space="preserve">Separates two-way doors from ONE-WAY DOORS; sign / publish / send / delete / hand-to-counterparty are one-way by default</w:t>
            </w:r>
          </w:p>
        </w:tc>
      </w:tr>
      <w:tr>
        <w:tc>
          <w:tcPr/>
          <w:p>
            <w:pPr>
              <w:pStyle w:val="Compact"/>
              <w:jc w:val="left"/>
            </w:pPr>
            <w:r>
              <w:t xml:space="preserve">§10.3.1 The cooling gap</w:t>
            </w:r>
          </w:p>
        </w:tc>
        <w:tc>
          <w:tcPr/>
          <w:p>
            <w:pPr>
              <w:pStyle w:val="Compact"/>
              <w:jc w:val="left"/>
            </w:pPr>
            <w:r>
              <w:rPr>
                <w:bCs/>
                <w:b/>
              </w:rPr>
              <w:t xml:space="preserve">Nothing irreversible ships in the session that conceived it</w:t>
            </w:r>
            <w:r>
              <w:t xml:space="preserve"> </w:t>
            </w:r>
            <w:r>
              <w:t xml:space="preserve">— a deliberate gap between decision and act</w:t>
            </w:r>
          </w:p>
        </w:tc>
      </w:tr>
      <w:tr>
        <w:tc>
          <w:tcPr/>
          <w:p>
            <w:pPr>
              <w:pStyle w:val="Compact"/>
              <w:jc w:val="left"/>
            </w:pPr>
            <w:r>
              <w:t xml:space="preserve">§10.4 Verified vs propagated</w:t>
            </w:r>
          </w:p>
        </w:tc>
        <w:tc>
          <w:tcPr/>
          <w:p>
            <w:pPr>
              <w:pStyle w:val="Compact"/>
              <w:jc w:val="left"/>
            </w:pPr>
            <w:r>
              <w:t xml:space="preserve">Forces the evidentiary basis of a decision to be labelled at the point of decision, not in a footnote</w:t>
            </w:r>
          </w:p>
        </w:tc>
      </w:tr>
      <w:tr>
        <w:tc>
          <w:tcPr/>
          <w:p>
            <w:pPr>
              <w:pStyle w:val="Compact"/>
              <w:jc w:val="left"/>
            </w:pPr>
            <w:r>
              <w:t xml:space="preserve">§10.1 / §10.6</w:t>
            </w:r>
          </w:p>
        </w:tc>
        <w:tc>
          <w:tcPr/>
          <w:p>
            <w:pPr>
              <w:pStyle w:val="Compact"/>
              <w:jc w:val="left"/>
            </w:pPr>
            <w:r>
              <w:t xml:space="preserve">A six-field decision format with a mandatory recommendation, capped at four decisions per session</w:t>
            </w:r>
          </w:p>
        </w:tc>
      </w:tr>
      <w:tr>
        <w:tc>
          <w:tcPr/>
          <w:p>
            <w:pPr>
              <w:pStyle w:val="Compact"/>
              <w:jc w:val="left"/>
            </w:pPr>
            <w:r>
              <w:t xml:space="preserve">§4 Five-step HIC Learning Outcome</w:t>
            </w:r>
          </w:p>
        </w:tc>
        <w:tc>
          <w:tcPr/>
          <w:p>
            <w:pPr>
              <w:pStyle w:val="Compact"/>
              <w:jc w:val="left"/>
            </w:pPr>
            <w:r>
              <w:t xml:space="preserve">The EU AI Act Article 14 intervention point at session granularity</w:t>
            </w:r>
          </w:p>
        </w:tc>
      </w:tr>
    </w:tbl>
    <w:p>
      <w:pPr>
        <w:pStyle w:val="BodyText"/>
      </w:pPr>
      <w:r>
        <w:t xml:space="preserve">Read together, the Learning Standard functions as a</w:t>
      </w:r>
      <w:r>
        <w:t xml:space="preserve"> </w:t>
      </w:r>
      <w:r>
        <w:rPr>
          <w:bCs/>
          <w:b/>
        </w:rPr>
        <w:t xml:space="preserve">rate limiter on legitimacy claims</w:t>
      </w:r>
      <w:r>
        <w:t xml:space="preserve">, installed inside an engineering process that has none natively. Its necessity is itself evidence for the thesis of this section: had artifact production and artifact legitimation run at comparable speeds, no such mechanism would have been required.</w:t>
      </w:r>
    </w:p>
    <w:bookmarkEnd w:id="324"/>
    <w:bookmarkStart w:id="325" w:name="X202978e42c72db9104192bc57d2e21180172b37"/>
    <w:p>
      <w:pPr>
        <w:pStyle w:val="Heading4"/>
      </w:pPr>
      <w:r>
        <w:t xml:space="preserve">10.27.4 The design principle for the DWS product platform</w:t>
      </w:r>
    </w:p>
    <w:p>
      <w:pPr>
        <w:pStyle w:val="FirstParagraph"/>
      </w:pPr>
      <w:r>
        <w:t xml:space="preserve">The commercial conclusion follows directly, and it shapes what the platform sells to enterprises.</w:t>
      </w:r>
    </w:p>
    <w:p>
      <w:pPr>
        <w:numPr>
          <w:ilvl w:val="0"/>
          <w:numId w:val="1117"/>
        </w:numPr>
        <w:pStyle w:val="Compact"/>
      </w:pPr>
      <w:r>
        <w:rPr>
          <w:bCs/>
          <w:b/>
        </w:rPr>
        <w:t xml:space="preserve">Default to internal.</w:t>
      </w:r>
      <w:r>
        <w:t xml:space="preserve"> </w:t>
      </w:r>
      <w:r>
        <w:t xml:space="preserve">A specification is an</w:t>
      </w:r>
      <w:r>
        <w:t xml:space="preserve"> </w:t>
      </w:r>
      <w:r>
        <w:rPr>
          <w:bCs/>
          <w:b/>
        </w:rPr>
        <w:t xml:space="preserve">internal working artifact</w:t>
      </w:r>
      <w:r>
        <w:t xml:space="preserve"> </w:t>
      </w:r>
      <w:r>
        <w:t xml:space="preserve">until it earns external validation through the appropriate gate for the jurisdiction it targets. The platform’s posture is not to publish faster but to</w:t>
      </w:r>
      <w:r>
        <w:t xml:space="preserve"> </w:t>
      </w:r>
      <w:r>
        <w:rPr>
          <w:bCs/>
          <w:b/>
        </w:rPr>
        <w:t xml:space="preserve">earn adoption at the pace each body requires</w:t>
      </w:r>
      <w:r>
        <w:t xml:space="preserve"> </w:t>
      </w:r>
      <w:r>
        <w:t xml:space="preserve">— a pace the platform does not set and cannot compress. This is the governing default; the four principles below operate under it.</w:t>
      </w:r>
    </w:p>
    <w:p>
      <w:pPr>
        <w:numPr>
          <w:ilvl w:val="0"/>
          <w:numId w:val="1117"/>
        </w:numPr>
        <w:pStyle w:val="Compact"/>
      </w:pPr>
      <w:r>
        <w:rPr>
          <w:bCs/>
          <w:b/>
        </w:rPr>
        <w:t xml:space="preserve">Sell evidence, not verdicts.</w:t>
      </w:r>
      <w:r>
        <w:t xml:space="preserve"> </w:t>
      </w:r>
      <w:r>
        <w:t xml:space="preserve">Evidence artifacts are producible at machine speed; conformity</w:t>
      </w:r>
      <w:r>
        <w:t xml:space="preserve"> </w:t>
      </w:r>
      <w:r>
        <w:rPr>
          <w:iCs/>
          <w:i/>
        </w:rPr>
        <w:t xml:space="preserve">verdicts</w:t>
      </w:r>
      <w:r>
        <w:t xml:space="preserve"> </w:t>
      </w:r>
      <w:r>
        <w:t xml:space="preserve">require institutions that are not. Platform output should therefore be checkable material an auditor, regulator or counterparty evaluates — never an assertion that compliance obtains. This principle was applied concretely to public copy in the same period:</w:t>
      </w:r>
      <w:r>
        <w:t xml:space="preserve"> </w:t>
      </w:r>
      <w:r>
        <w:rPr>
          <w:iCs/>
          <w:i/>
        </w:rPr>
        <w:t xml:space="preserve">“</w:t>
      </w:r>
      <w:r>
        <w:rPr>
          <w:iCs/>
          <w:i/>
        </w:rPr>
        <w:t xml:space="preserve">court-defensible provenance</w:t>
      </w:r>
      <w:r>
        <w:rPr>
          <w:iCs/>
          <w:i/>
        </w:rPr>
        <w:t xml:space="preserve">”</w:t>
      </w:r>
      <w:r>
        <w:t xml:space="preserve"> </w:t>
      </w:r>
      <w:r>
        <w:t xml:space="preserve">became</w:t>
      </w:r>
      <w:r>
        <w:t xml:space="preserve"> </w:t>
      </w:r>
      <w:r>
        <w:rPr>
          <w:iCs/>
          <w:i/>
        </w:rPr>
        <w:t xml:space="preserve">“</w:t>
      </w:r>
      <w:r>
        <w:rPr>
          <w:iCs/>
          <w:i/>
        </w:rPr>
        <w:t xml:space="preserve">provenance designed against Article 12 record-keeping</w:t>
      </w:r>
      <w:r>
        <w:rPr>
          <w:iCs/>
          <w:i/>
        </w:rPr>
        <w:t xml:space="preserve">”</w:t>
      </w:r>
      <w:r>
        <w:t xml:space="preserve">, and</w:t>
      </w:r>
      <w:r>
        <w:t xml:space="preserve"> </w:t>
      </w:r>
      <w:r>
        <w:rPr>
          <w:iCs/>
          <w:i/>
        </w:rPr>
        <w:t xml:space="preserve">“</w:t>
      </w:r>
      <w:r>
        <w:rPr>
          <w:iCs/>
          <w:i/>
        </w:rPr>
        <w:t xml:space="preserve">KYA becomes the EU AI Act compliance layer</w:t>
      </w:r>
      <w:r>
        <w:rPr>
          <w:iCs/>
          <w:i/>
        </w:rPr>
        <w:t xml:space="preserve">”</w:t>
      </w:r>
      <w:r>
        <w:t xml:space="preserve"> </w:t>
      </w:r>
      <w:r>
        <w:t xml:space="preserve">gained the explicit statement that it does not by itself make a deployment compliant.</w:t>
      </w:r>
    </w:p>
    <w:p>
      <w:pPr>
        <w:numPr>
          <w:ilvl w:val="0"/>
          <w:numId w:val="1117"/>
        </w:numPr>
        <w:pStyle w:val="Compact"/>
      </w:pPr>
      <w:r>
        <w:rPr>
          <w:bCs/>
          <w:b/>
        </w:rPr>
        <w:t xml:space="preserve">Every claim carries its phase.</w:t>
      </w:r>
      <w:r>
        <w:t xml:space="preserve"> </w:t>
      </w:r>
      <w:r>
        <w:t xml:space="preserve">Maturity labelling travels</w:t>
      </w:r>
      <w:r>
        <w:t xml:space="preserve"> </w:t>
      </w:r>
      <w:r>
        <w:rPr>
          <w:bCs/>
          <w:b/>
        </w:rPr>
        <w:t xml:space="preserve">adjacent to the claim</w:t>
      </w:r>
      <w:r>
        <w:t xml:space="preserve"> </w:t>
      </w:r>
      <w:r>
        <w:t xml:space="preserve">— same sentence, same card — not on a separate status page. A phase label three scrolls away is the same over-claim with extra steps.</w:t>
      </w:r>
    </w:p>
    <w:p>
      <w:pPr>
        <w:numPr>
          <w:ilvl w:val="0"/>
          <w:numId w:val="1117"/>
        </w:numPr>
        <w:pStyle w:val="Compact"/>
      </w:pPr>
      <w:r>
        <w:rPr>
          <w:bCs/>
          <w:b/>
        </w:rPr>
        <w:t xml:space="preserve">Profiles, not forks.</w:t>
      </w:r>
      <w:r>
        <w:t xml:space="preserve"> </w:t>
      </w:r>
      <w:r>
        <w:t xml:space="preserve">Jurisdictional divergence is handled by parameterising one core, never by shipping three products. Three products drift; one core with three profiles preserves the portable credential that is the entire point.</w:t>
      </w:r>
    </w:p>
    <w:p>
      <w:pPr>
        <w:numPr>
          <w:ilvl w:val="0"/>
          <w:numId w:val="1117"/>
        </w:numPr>
        <w:pStyle w:val="Compact"/>
      </w:pPr>
      <w:r>
        <w:rPr>
          <w:bCs/>
          <w:b/>
        </w:rPr>
        <w:t xml:space="preserve">Build the rate limiter into the product, not only the process.</w:t>
      </w:r>
      <w:r>
        <w:t xml:space="preserve"> </w:t>
      </w:r>
      <w:r>
        <w:t xml:space="preserve">If this programme’s own engineering required a cooling gap, an enterprise assembling agentic compliance workflows requires one more urgently, having neither the context nor the authorship to notice the gap unaided. Making it structurally difficult to emit a compliance claim faster than its supporting evidence accrues is a</w:t>
      </w:r>
      <w:r>
        <w:t xml:space="preserve"> </w:t>
      </w:r>
      <w:r>
        <w:rPr>
          <w:bCs/>
          <w:b/>
        </w:rPr>
        <w:t xml:space="preserve">product feature</w:t>
      </w:r>
      <w:r>
        <w:t xml:space="preserve">, not an internal discipline.</w:t>
      </w:r>
    </w:p>
    <w:p>
      <w:pPr>
        <w:pStyle w:val="FirstParagraph"/>
      </w:pPr>
      <w:r>
        <w:rPr>
          <w:bCs/>
          <w:b/>
        </w:rPr>
        <w:t xml:space="preserve">Why this is a commercial position rather than a limitation.</w:t>
      </w:r>
      <w:r>
        <w:t xml:space="preserve"> </w:t>
      </w:r>
      <w:r>
        <w:t xml:space="preserve">Enterprises in regulated industries are the population the artifact–legitimacy gap damages most, because in their case an over-claim does not merely embarrass — it becomes a regulatory finding. Generative tooling has made a polished compliance document universally available; what has become scarce, in the same movement, is the ability to say</w:t>
      </w:r>
      <w:r>
        <w:t xml:space="preserve"> </w:t>
      </w:r>
      <w:r>
        <w:rPr>
          <w:bCs/>
          <w:b/>
        </w:rPr>
        <w:t xml:space="preserve">which parts of it are load-bearing</w:t>
      </w:r>
      <w:r>
        <w:t xml:space="preserve">. That discrimination — evidence separated from assertion, verified separated from propagated, phase stated with the claim — is precisely what compliance intelligence means as a product, and it is what DWS IQ offers enterprises.</w:t>
      </w:r>
    </w:p>
    <w:p>
      <w:pPr>
        <w:pStyle w:val="BodyText"/>
      </w:pPr>
      <w:r>
        <w:rPr>
          <w:bCs/>
          <w:b/>
        </w:rPr>
        <w:t xml:space="preserve">Key Contributions:</w:t>
      </w:r>
    </w:p>
    <w:p>
      <w:pPr>
        <w:numPr>
          <w:ilvl w:val="0"/>
          <w:numId w:val="1118"/>
        </w:numPr>
        <w:pStyle w:val="Compact"/>
      </w:pPr>
      <w:r>
        <w:t xml:space="preserve">Lifetime Scope Signals Protocol — Novel multi-agent coordination framework</w:t>
      </w:r>
    </w:p>
    <w:p>
      <w:pPr>
        <w:numPr>
          <w:ilvl w:val="0"/>
          <w:numId w:val="1118"/>
        </w:numPr>
        <w:pStyle w:val="Compact"/>
      </w:pPr>
      <w:r>
        <w:t xml:space="preserve">Solution Factory Model — Replicable industrial AI platform blueprint</w:t>
      </w:r>
    </w:p>
    <w:p>
      <w:pPr>
        <w:numPr>
          <w:ilvl w:val="0"/>
          <w:numId w:val="1118"/>
        </w:numPr>
        <w:pStyle w:val="Compact"/>
      </w:pPr>
      <w:r>
        <w:t xml:space="preserve">AI-Assisted Development — Cursor Pro and Claude Code Max enabling rapid 15-week MVP</w:t>
      </w:r>
    </w:p>
    <w:p>
      <w:pPr>
        <w:numPr>
          <w:ilvl w:val="0"/>
          <w:numId w:val="1118"/>
        </w:numPr>
        <w:pStyle w:val="Compact"/>
      </w:pPr>
      <w:r>
        <w:t xml:space="preserve">Phased Deployment Framework — Building trust for AI in regulated industries</w:t>
      </w:r>
    </w:p>
    <w:p>
      <w:pPr>
        <w:numPr>
          <w:ilvl w:val="0"/>
          <w:numId w:val="1118"/>
        </w:numPr>
        <w:pStyle w:val="Compact"/>
      </w:pPr>
      <w:r>
        <w:t xml:space="preserve">DWS10.com E-Commerce Validation — Google Merchant Center + Revolut Business</w:t>
      </w:r>
    </w:p>
    <w:p>
      <w:pPr>
        <w:numPr>
          <w:ilvl w:val="0"/>
          <w:numId w:val="1118"/>
        </w:numPr>
        <w:pStyle w:val="Compact"/>
      </w:pPr>
      <w:r>
        <w:t xml:space="preserve">HIL Learning Pipeline — Daily human-AI feedback loop</w:t>
      </w:r>
    </w:p>
    <w:p>
      <w:pPr>
        <w:numPr>
          <w:ilvl w:val="0"/>
          <w:numId w:val="1118"/>
        </w:numPr>
        <w:pStyle w:val="Compact"/>
      </w:pPr>
      <w:r>
        <w:t xml:space="preserve">Automated PR Workflow — Dual-model AI review replacing manual code review</w:t>
      </w:r>
    </w:p>
    <w:p>
      <w:pPr>
        <w:numPr>
          <w:ilvl w:val="0"/>
          <w:numId w:val="1118"/>
        </w:numPr>
        <w:pStyle w:val="Compact"/>
      </w:pPr>
      <w:r>
        <w:t xml:space="preserve">DWS7 Agent Modernization — Agentic loops, tool use, MCP server, Build for Agents principle</w:t>
      </w:r>
    </w:p>
    <w:p>
      <w:pPr>
        <w:numPr>
          <w:ilvl w:val="0"/>
          <w:numId w:val="1118"/>
        </w:numPr>
        <w:pStyle w:val="Compact"/>
      </w:pPr>
      <w:r>
        <w:t xml:space="preserve">OpenSandbox Edge Integration — Stage 1.5 agent sandboxing on Acer Veriton GN100; EMPO² agent memory alignment (arXiv:2602.23008)</w:t>
      </w:r>
    </w:p>
    <w:p>
      <w:pPr>
        <w:numPr>
          <w:ilvl w:val="0"/>
          <w:numId w:val="1118"/>
        </w:numPr>
        <w:pStyle w:val="Compact"/>
      </w:pPr>
      <w:r>
        <w:t xml:space="preserve">CEO Automation Agent Suite — Captain Briefing, LinkedIn Scheduler, EU Regulation Monitor; validates Solution Factory replicability for revenue-critical workflows</w:t>
      </w:r>
    </w:p>
    <w:p>
      <w:pPr>
        <w:numPr>
          <w:ilvl w:val="0"/>
          <w:numId w:val="1118"/>
        </w:numPr>
        <w:pStyle w:val="Compact"/>
      </w:pPr>
      <w:r>
        <w:t xml:space="preserve">Multi-Partner AI Ecosystem — NVIDIA, Siemens, ABB, xAI, Mistral; multi-LLM router resolving EU AI Act sovereignty tension in practice</w:t>
      </w:r>
    </w:p>
    <w:p>
      <w:pPr>
        <w:numPr>
          <w:ilvl w:val="0"/>
          <w:numId w:val="1118"/>
        </w:numPr>
        <w:pStyle w:val="Compact"/>
      </w:pPr>
      <w:r>
        <w:t xml:space="preserve">Climate IQ Pantheon — 13-agent Greek/Roman god system (6 orchestrators + 7 industry specialists) with SOUL.md identity pattern, prompt injection security, EU AI Act Article 12 logging, and marketing wedge personas</w:t>
      </w:r>
    </w:p>
    <w:p>
      <w:pPr>
        <w:numPr>
          <w:ilvl w:val="0"/>
          <w:numId w:val="1118"/>
        </w:numPr>
        <w:pStyle w:val="Compact"/>
      </w:pPr>
      <w:r>
        <w:t xml:space="preserve">Claude Code Engineering Structure — CLAUDE.md as project memory, Skills as reusable workflow components, Hooks for automated quality enforcement; demonstrates AI workflow design as software engineering discipline</w:t>
      </w:r>
    </w:p>
    <w:p>
      <w:pPr>
        <w:numPr>
          <w:ilvl w:val="0"/>
          <w:numId w:val="1118"/>
        </w:numPr>
        <w:pStyle w:val="Compact"/>
      </w:pPr>
      <w:r>
        <w:t xml:space="preserve">Learn Thinking — Reflective learning framework: thesis as living document, daily Learn/ folder reflection loop, extension of Build-Measure-Learn cycle for AI-assisted product development</w:t>
      </w:r>
    </w:p>
    <w:p>
      <w:pPr>
        <w:numPr>
          <w:ilvl w:val="0"/>
          <w:numId w:val="1118"/>
        </w:numPr>
        <w:pStyle w:val="Compact"/>
      </w:pPr>
      <w:r>
        <w:t xml:space="preserve">MCP Hub Orchestration + Three-Interface Rule — Four production workflow patterns (Fan-Out, Sequential, Reflection, Pipeline) with documented endpoints; Skills/CLI as mandatory agent interfaces ensuring every agent is accessible to humans, AI systems, and development workflows</w:t>
      </w:r>
    </w:p>
    <w:p>
      <w:pPr>
        <w:numPr>
          <w:ilvl w:val="0"/>
          <w:numId w:val="1118"/>
        </w:numPr>
        <w:pStyle w:val="Compact"/>
      </w:pPr>
      <w:r>
        <w:t xml:space="preserve">Customer-Facing MVP Features — Three production features transitioning DWS IQ from developer tooling to customer-ready SaaS: (a) Self-service API Key Management with SHA-256 hashing and scope-based access, (b) Usage Metering with 3-tier billing enforcement (Free/Pro/Enterprise) and dashboard progress bars, (c) Compliance Report Export with CSV/JSON download and recurring schedule support. Validates Solution Factory productization hypothesis — platform is market-ready for regulated EU industries</w:t>
      </w:r>
    </w:p>
    <w:p>
      <w:pPr>
        <w:numPr>
          <w:ilvl w:val="0"/>
          <w:numId w:val="1118"/>
        </w:numPr>
        <w:pStyle w:val="Compact"/>
      </w:pPr>
      <w:r>
        <w:t xml:space="preserve">Agent System Hardening — Production reliability restoration: 6 TypeScript compilation errors fixed across 5 subsystems, SandboxContext type alignment, MCP/HIL route wiring, locale-deterministic number formatting, dependency hygiene; demonstrates integration debt patterns in multi-agent systems</w:t>
      </w:r>
    </w:p>
    <w:p>
      <w:pPr>
        <w:numPr>
          <w:ilvl w:val="0"/>
          <w:numId w:val="1118"/>
        </w:numPr>
        <w:pStyle w:val="Compact"/>
      </w:pPr>
      <w:r>
        <w:t xml:space="preserve">PostgreSQL Columnar HTAP Architecture — Single-database HTAP via pg_duckdb + TimescaleDB on Aiven EU; DWS Data Standard creation governing storage engines, extension registry, retention policies, and EU regulatory compliance (GDPR, EU AI Act Art 12, NIS2, CSRD, EU Data Act); 4-phase rollout from table partitioning to lakehouse integration</w:t>
      </w:r>
    </w:p>
    <w:p>
      <w:pPr>
        <w:numPr>
          <w:ilvl w:val="0"/>
          <w:numId w:val="1118"/>
        </w:numPr>
        <w:pStyle w:val="Compact"/>
      </w:pPr>
      <w:r>
        <w:t xml:space="preserve">Two-Tier HTAP Architecture — Aiven-first mandate locks TimescaleDB 2.25.x Hypercore as approved standard for managed production (10-100× analytics, 98% compression); pg_duckdb (50-600× OLAP) relegated to edge device only due to Aiven whitelist; GN100 edge PostgreSQL deployed with full extension stack for ad-hoc analytics</w:t>
      </w:r>
    </w:p>
    <w:p>
      <w:pPr>
        <w:numPr>
          <w:ilvl w:val="0"/>
          <w:numId w:val="1118"/>
        </w:numPr>
        <w:pStyle w:val="Compact"/>
      </w:pPr>
      <w:r>
        <w:t xml:space="preserve">Harness Engineering — Analysis of OpenAI’s 8 harness engineering principles against DWS IQ 6 architecture; empirical finding that harness improvements alone yield 52.8%→66.5% benchmark gains (model unchanged); DWS’s L0-L6 six-layer architecture as formal harness framework; EU regulation requires fundamentally different harness (traceability + human-in-the-loop vs Silicon Valley speed optimization)</w:t>
      </w:r>
    </w:p>
    <w:p>
      <w:pPr>
        <w:numPr>
          <w:ilvl w:val="0"/>
          <w:numId w:val="1118"/>
        </w:numPr>
        <w:pStyle w:val="Compact"/>
      </w:pPr>
      <w:r>
        <w:t xml:space="preserve">Carbon Balance Sheet — Conclusion that EU climate compliance (ETS, CBAM, CSRD, Taxonomy) is structurally isomorphic to financial accounting; double-entry bookkeeping for CO2 with dual-unit entries (EUR + tCO2e); cross-regulation reconciliation via shared ledger entries; cross-vertical intelligence thesis (multi-industry ledger produces emergent data no single-vertical tool can replicate); DWS 7 Phase 2.6 implementation plan (8 PRs, persistent ledger, CFO dashboard, ERP GL sync, XBRL export)</w:t>
      </w:r>
    </w:p>
    <w:p>
      <w:pPr>
        <w:numPr>
          <w:ilvl w:val="0"/>
          <w:numId w:val="1118"/>
        </w:numPr>
        <w:pStyle w:val="Compact"/>
      </w:pPr>
      <w:r>
        <w:t xml:space="preserve">LWM Sequencing Strategy — Three-phase sequencing (compliance→fleet→Series A) resolving investor narrative contradictions; LeWorldModel (arXiv:2603.19312) external validation of JEPA world models; Phase 2 technical gap analysis identifying three unsolved problems (input modality, scale, regulatory-physical integration); compliance-first world model thesis (compliance data feeds physical planning, not the reverse); Persefoni/Sweep market comparables positioning EUR 3.8M cap below carbon SaaS benchmarks</w:t>
      </w:r>
    </w:p>
    <w:p>
      <w:pPr>
        <w:numPr>
          <w:ilvl w:val="0"/>
          <w:numId w:val="1118"/>
        </w:numPr>
        <w:pStyle w:val="Compact"/>
      </w:pPr>
      <w:r>
        <w:t xml:space="preserve">Domain-Specific vs Generic AI Harness — Competitive analysis against everything-claude-code (120k stars, 136 skills); six differentiators documented (domain specificity, six-layer architecture, hard gates, trust boundary zones, gstack workflow, agent-first product rule); token budget analysis demonstrating depth outperforms breadth for regulated domains; skills inventory growth from 6 to 21 production skills with 4 blocking discipline gates; validates harness engineering thesis (Section 10.16)</w:t>
      </w:r>
    </w:p>
    <w:p>
      <w:pPr>
        <w:numPr>
          <w:ilvl w:val="0"/>
          <w:numId w:val="1118"/>
        </w:numPr>
        <w:pStyle w:val="Compact"/>
      </w:pPr>
      <w:r>
        <w:t xml:space="preserve">Thesis Versioning Strategy — Dual-version architecture: v3.30.50 frozen 50-page Metropolia outgoing + 82-page living document continues; demonstrates practical solution for AI-assisted academic writing where research velocity exceeds submission format constraints; preserves full research lineage while meeting institutional requirements</w:t>
      </w:r>
    </w:p>
    <w:p>
      <w:pPr>
        <w:numPr>
          <w:ilvl w:val="0"/>
          <w:numId w:val="1118"/>
        </w:numPr>
        <w:pStyle w:val="Compact"/>
      </w:pPr>
      <w:r>
        <w:t xml:space="preserve">Skills Paradigm Validated by Industry Consensus — Anthropic’s 2026-04-16</w:t>
      </w:r>
      <w:r>
        <w:t xml:space="preserve"> </w:t>
      </w:r>
      <w:r>
        <w:t xml:space="preserve">“</w:t>
      </w:r>
      <w:r>
        <w:t xml:space="preserve">Stop Building Agents, Start Building Skills</w:t>
      </w:r>
      <w:r>
        <w:t xml:space="preserve">”</w:t>
      </w:r>
      <w:r>
        <w:t xml:space="preserve"> </w:t>
      </w:r>
      <w:r>
        <w:t xml:space="preserve">essay externally validates the skill-first architecture (§10.13) and the domain-specific-over-generic harness argument (§10.13.7); 24+ production skills with 4 discipline gates now represent industry consensus rather than a DWS-specific bet</w:t>
      </w:r>
    </w:p>
    <w:p>
      <w:pPr>
        <w:numPr>
          <w:ilvl w:val="0"/>
          <w:numId w:val="1118"/>
        </w:numPr>
        <w:pStyle w:val="Compact"/>
      </w:pPr>
      <w:r>
        <w:t xml:space="preserve">Lifetime Fleet Crystallization — Brain-Memory-Body-Hands stack is testable end-to-end: Finland Drone Strategy 2030 alignment + Baltic-first 12–16 week MVP graduate the</w:t>
      </w:r>
      <w:r>
        <w:t xml:space="preserve"> </w:t>
      </w:r>
      <w:r>
        <w:t xml:space="preserve">“</w:t>
      </w:r>
      <w:r>
        <w:t xml:space="preserve">Hands</w:t>
      </w:r>
      <w:r>
        <w:t xml:space="preserve">”</w:t>
      </w:r>
      <w:r>
        <w:t xml:space="preserve"> </w:t>
      </w:r>
      <w:r>
        <w:t xml:space="preserve">layer from specification to concrete hardware timeline with full reuse of KYA/Aegis/Firehorse governance; compliance-first world-model thesis (§10.18) becomes a near-term engineering milestone</w:t>
      </w:r>
    </w:p>
    <w:p>
      <w:pPr>
        <w:numPr>
          <w:ilvl w:val="0"/>
          <w:numId w:val="1118"/>
        </w:numPr>
        <w:pStyle w:val="Compact"/>
      </w:pPr>
      <w:r>
        <w:t xml:space="preserve">22nd Industry via Green Hydrogen Additionality — DWS IQ 7 Datacentre Compliance Agent applies RFNBO Delegated Regulation 2023/1184 (additionality, temporal correlation, geographical correlation) to Finnish datacentres; extends double-entry carbon ledger (§10.17) to data-intensive services and adds NIS2 + CER coverage alongside climate regulation — the first cross-domain extension of platform regulatory scope</w:t>
      </w:r>
    </w:p>
    <w:p>
      <w:pPr>
        <w:numPr>
          <w:ilvl w:val="0"/>
          <w:numId w:val="1118"/>
        </w:numPr>
        <w:pStyle w:val="Compact"/>
      </w:pPr>
      <w:r>
        <w:t xml:space="preserve">Founder→Team Transition as Platform Feature — SOLO_FOUNDER_STATEMENT v1.2 + Anthony Maurin CTO co-builder sequencing +</w:t>
      </w:r>
      <w:r>
        <w:t xml:space="preserve"> </w:t>
      </w:r>
      <w:r>
        <w:rPr>
          <w:rStyle w:val="VerbatimChar"/>
        </w:rPr>
        <w:t xml:space="preserve">/investor-outreach</w:t>
      </w:r>
      <w:r>
        <w:t xml:space="preserve"> </w:t>
      </w:r>
      <w:r>
        <w:t xml:space="preserve">skill (10+ INTRO notes drafted) make investor outreach a reproducible DWS IQ workflow rather than tacit founder knowledge; validates the platform’s own solution-factory claim</w:t>
      </w:r>
    </w:p>
    <w:p>
      <w:pPr>
        <w:numPr>
          <w:ilvl w:val="0"/>
          <w:numId w:val="1118"/>
        </w:numPr>
        <w:pStyle w:val="Compact"/>
      </w:pPr>
      <w:r>
        <w:t xml:space="preserve">KYA Agentic AI Foundation Targeting with Dual-Use Expansion — KYA is elevated toward a general foundational standard for agent trust/governance; DWS 7 is framed as the empirical environment unifying hydrogen-economy continuity (DWS 5 -&gt; DWS 7), sovereignty segmentation (Aegis/Sovereign Infra/Connect), Nokia Defence dual-use track, and Siemens/NVIDIA Connect collaboration anchors</w:t>
      </w:r>
    </w:p>
    <w:p>
      <w:pPr>
        <w:numPr>
          <w:ilvl w:val="0"/>
          <w:numId w:val="1118"/>
        </w:numPr>
        <w:pStyle w:val="Compact"/>
      </w:pPr>
      <w:r>
        <w:t xml:space="preserve">KYA Open-Source Standard Path with Article 1 Lock — explicit standardization route added (Agentic AI Foundation / Linux Foundation), NIST path status recorded (not submitted), and 2026-2029 publication phasing integrated with EIC Step 1 communication assets</w:t>
      </w:r>
    </w:p>
    <w:p>
      <w:pPr>
        <w:numPr>
          <w:ilvl w:val="0"/>
          <w:numId w:val="1118"/>
        </w:numPr>
        <w:pStyle w:val="Compact"/>
      </w:pPr>
      <w:r>
        <w:t xml:space="preserve">Three-Tier Skilled Taxonomy — brand / specification / UI taxonomy (Skilled / Industrial Specialist / Industry) as design pattern for EU-regulated agent platforms; monotone</w:t>
      </w:r>
      <w:r>
        <w:t xml:space="preserve"> </w:t>
      </w:r>
      <w:r>
        <w:rPr>
          <w:rStyle w:val="VerbatimChar"/>
        </w:rPr>
        <w:t xml:space="preserve">Skilled &lt;Axis&gt;</w:t>
      </w:r>
      <w:r>
        <w:t xml:space="preserve"> </w:t>
      </w:r>
      <w:r>
        <w:t xml:space="preserve">pattern across agents, workflows, jurisdictions</w:t>
      </w:r>
    </w:p>
    <w:p>
      <w:pPr>
        <w:numPr>
          <w:ilvl w:val="0"/>
          <w:numId w:val="1118"/>
        </w:numPr>
        <w:pStyle w:val="Compact"/>
      </w:pPr>
      <w:r>
        <w:t xml:space="preserve">Three-Capital Accumulation Model — Implementation evidence from 7-month HIL phase: token capital (30+ skills, 150+ field notes, 50-agent foundry), human capital (pattern recognition, calibration), Control Room capital (thresholds, Article 12 audit); defines HIL → HIC transition</w:t>
      </w:r>
    </w:p>
    <w:p>
      <w:pPr>
        <w:numPr>
          <w:ilvl w:val="0"/>
          <w:numId w:val="1118"/>
        </w:numPr>
        <w:pStyle w:val="Compact"/>
      </w:pPr>
      <w:r>
        <w:t xml:space="preserve">Four-Capital (4P) Architecture Mapping — Prompt, People, Plant, Perception mapped to DWS IQ 6 Brain-Memory-Body-Hands; GTM land-and-expand pattern from Perception Capital accumulation</w:t>
      </w:r>
    </w:p>
    <w:p>
      <w:pPr>
        <w:numPr>
          <w:ilvl w:val="0"/>
          <w:numId w:val="1118"/>
        </w:numPr>
        <w:pStyle w:val="Compact"/>
      </w:pPr>
      <w:r>
        <w:t xml:space="preserve">Capability Ontology and Three-Pillar Consulting GTM — 10 LWM knowledge graph classes organising 80+ agent capabilities; three-pillar delivery model (train → develop → protect) mapping to 4P capital pathway;</w:t>
      </w:r>
      <w:r>
        <w:t xml:space="preserve"> </w:t>
      </w:r>
      <w:r>
        <w:t xml:space="preserve">“</w:t>
      </w:r>
      <w:r>
        <w:t xml:space="preserve">capability-not-role</w:t>
      </w:r>
      <w:r>
        <w:t xml:space="preserve">”</w:t>
      </w:r>
      <w:r>
        <w:t xml:space="preserve"> </w:t>
      </w:r>
      <w:r>
        <w:t xml:space="preserve">framing for B2B agentic platforms; companion artefact:</w:t>
      </w:r>
      <w:r>
        <w:t xml:space="preserve"> </w:t>
      </w:r>
      <w:r>
        <w:rPr>
          <w:rStyle w:val="VerbatimChar"/>
        </w:rPr>
        <w:t xml:space="preserve">docs/KONSULTOINNIN_KASIKIRJA_2026.md</w:t>
      </w:r>
      <w:r>
        <w:t xml:space="preserve"> </w:t>
      </w:r>
      <w:r>
        <w:t xml:space="preserve">v1.5</w:t>
      </w:r>
    </w:p>
    <w:p>
      <w:pPr>
        <w:pStyle w:val="FirstParagraph"/>
      </w:pPr>
      <w:r>
        <w:rPr>
          <w:bCs/>
          <w:b/>
        </w:rPr>
        <w:t xml:space="preserve">License:</w:t>
      </w:r>
      <w:r>
        <w:t xml:space="preserve"> </w:t>
      </w:r>
      <w:r>
        <w:t xml:space="preserve">Proprietary - Lifetime Oy</w:t>
      </w:r>
      <w:r>
        <w:t xml:space="preserve"> </w:t>
      </w:r>
      <w:r>
        <w:rPr>
          <w:bCs/>
          <w:b/>
        </w:rPr>
        <w:t xml:space="preserve">Contact:</w:t>
      </w:r>
      <w:r>
        <w:t xml:space="preserve"> </w:t>
      </w:r>
      <w:r>
        <w:t xml:space="preserve">risto@lifetime.fi</w:t>
      </w:r>
    </w:p>
    <w:p>
      <w:r>
        <w:pict>
          <v:rect style="width:0;height:1.5pt" o:hralign="center" o:hrstd="t" o:hr="t"/>
        </w:pict>
      </w:r>
    </w:p>
    <w:bookmarkEnd w:id="325"/>
    <w:bookmarkEnd w:id="326"/>
    <w:bookmarkEnd w:id="327"/>
    <w:bookmarkStart w:id="362" w:name="X59a2e25a4123114666acfc8d83777fc16ea9645"/>
    <w:p>
      <w:pPr>
        <w:pStyle w:val="Heading2"/>
      </w:pPr>
      <w:r>
        <w:t xml:space="preserve">Bibliography (Oxford Notes-Bibliography Style) — v3.61</w:t>
      </w:r>
    </w:p>
    <w:p>
      <w:pPr>
        <w:pStyle w:val="FirstParagraph"/>
      </w:pPr>
      <w:r>
        <w:t xml:space="preserve">Added in v3.61 (28.05.2026) to enumerate the canonical sources cited by the chapters of this master’s thesis. Citation style is Oxford notes-bibliography: each footnote</w:t>
      </w:r>
      <w:r>
        <w:t xml:space="preserve"> </w:t>
      </w:r>
      <w:r>
        <w:rPr>
          <w:rStyle w:val="VerbatimChar"/>
        </w:rPr>
        <w:t xml:space="preserve">[^N]</w:t>
      </w:r>
      <w:r>
        <w:t xml:space="preserve"> </w:t>
      </w:r>
      <w:r>
        <w:t xml:space="preserve">denotes one source; the chapter index that follows the list shows which chapter relies on which footnote. Chapters not listed in the index do not cite these sources.</w:t>
      </w:r>
    </w:p>
    <w:bookmarkStart w:id="353" w:name="chapter-by-chapter-reference-index"/>
    <w:p>
      <w:pPr>
        <w:pStyle w:val="Heading3"/>
      </w:pPr>
      <w:r>
        <w:t xml:space="preserve">Chapter-by-chapter reference index</w:t>
      </w:r>
    </w:p>
    <w:p>
      <w:pPr>
        <w:pStyle w:val="BlockText"/>
      </w:pPr>
      <w:r>
        <w:rPr>
          <w:bCs/>
          <w:b/>
        </w:rPr>
        <w:t xml:space="preserve">Referenced sources by chapter.</w:t>
      </w:r>
      <w:r>
        <w:t xml:space="preserve"> </w:t>
      </w:r>
      <w:r>
        <w:t xml:space="preserve">Chapters relying on one or more of the footnotes below are listed here so the reader can resolve every in-text reference without scanning the full document.</w:t>
      </w:r>
    </w:p>
    <w:tbl>
      <w:tblPr>
        <w:tblStyle w:val="Table"/>
        <w:tblW w:type="pct" w:w="5000"/>
        <w:tblLook w:firstRow="1" w:lastRow="0" w:firstColumn="0" w:lastColumn="0" w:noHBand="0" w:noVBand="0" w:val="0020"/>
        <w:jc w:val="start"/>
      </w:tblPr>
      <w:tblGrid>
        <w:gridCol w:w="4889"/>
        <w:gridCol w:w="3030"/>
      </w:tblGrid>
      <w:tr>
        <w:trPr>
          <w:tblHeader w:val="true"/>
        </w:trPr>
        <w:tc>
          <w:tcPr/>
          <w:p>
            <w:pPr>
              <w:pStyle w:val="Compact"/>
              <w:jc w:val="left"/>
            </w:pPr>
            <w:r>
              <w:t xml:space="preserve">Chapter</w:t>
            </w:r>
          </w:p>
        </w:tc>
        <w:tc>
          <w:tcPr/>
          <w:p>
            <w:pPr>
              <w:pStyle w:val="Compact"/>
              <w:jc w:val="left"/>
            </w:pPr>
            <w:r>
              <w:t xml:space="preserve">Footnotes cited</w:t>
            </w:r>
          </w:p>
        </w:tc>
      </w:tr>
      <w:tr>
        <w:tc>
          <w:tcPr/>
          <w:p>
            <w:pPr>
              <w:pStyle w:val="Compact"/>
              <w:jc w:val="left"/>
            </w:pPr>
            <w:r>
              <w:t xml:space="preserve">Sovereignty segmentation discussion (Aegis / Sovereign Infra / Connect)</w:t>
            </w:r>
          </w:p>
        </w:tc>
        <w:tc>
          <w:tcPr/>
          <w:p>
            <w:pPr>
              <w:pStyle w:val="Compact"/>
              <w:jc w:val="left"/>
            </w:pPr>
            <w:r>
              <w:rPr>
                <w:rStyle w:val="FootnoteReference"/>
              </w:rPr>
              <w:footnoteReference w:id="328"/>
            </w:r>
            <w:r>
              <w:t xml:space="preserve">,</w:t>
            </w:r>
            <w:r>
              <w:t xml:space="preserve"> </w:t>
            </w:r>
            <w:r>
              <w:rPr>
                <w:rStyle w:val="FootnoteReference"/>
              </w:rPr>
              <w:footnoteReference w:id="329"/>
            </w:r>
            <w:r>
              <w:t xml:space="preserve">,</w:t>
            </w:r>
            <w:r>
              <w:t xml:space="preserve"> </w:t>
            </w:r>
            <w:r>
              <w:rPr>
                <w:rStyle w:val="FootnoteReference"/>
              </w:rPr>
              <w:footnoteReference w:id="330"/>
            </w:r>
            <w:r>
              <w:t xml:space="preserve">,</w:t>
            </w:r>
            <w:r>
              <w:t xml:space="preserve"> </w:t>
            </w:r>
            <w:r>
              <w:rPr>
                <w:rStyle w:val="FootnoteReference"/>
              </w:rPr>
              <w:footnoteReference w:id="332"/>
            </w:r>
            <w:r>
              <w:t xml:space="preserve">,</w:t>
            </w:r>
            <w:r>
              <w:t xml:space="preserve"> </w:t>
            </w:r>
            <w:r>
              <w:rPr>
                <w:rStyle w:val="FootnoteReference"/>
              </w:rPr>
              <w:footnoteReference w:id="333"/>
            </w:r>
            <w:r>
              <w:t xml:space="preserve">,</w:t>
            </w:r>
            <w:r>
              <w:t xml:space="preserve"> </w:t>
            </w: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KYA Partner Ecosystem (Appendix H equivalent) and trust-stack chapter</w:t>
            </w:r>
          </w:p>
        </w:tc>
        <w:tc>
          <w:tcPr/>
          <w:p>
            <w:pPr>
              <w:pStyle w:val="Compact"/>
              <w:jc w:val="left"/>
            </w:pPr>
            <w:r>
              <w:rPr>
                <w:rStyle w:val="FootnoteReference"/>
              </w:rPr>
              <w:footnoteReference w:id="337"/>
            </w:r>
            <w:r>
              <w:t xml:space="preserve">,</w:t>
            </w:r>
            <w:r>
              <w:t xml:space="preserve"> </w:t>
            </w:r>
            <w:r>
              <w:rPr>
                <w:rStyle w:val="FootnoteReference"/>
              </w:rPr>
              <w:footnoteReference w:id="338"/>
            </w:r>
          </w:p>
        </w:tc>
      </w:tr>
      <w:tr>
        <w:tc>
          <w:tcPr/>
          <w:p>
            <w:pPr>
              <w:pStyle w:val="Compact"/>
              <w:jc w:val="left"/>
            </w:pPr>
            <w:r>
              <w:t xml:space="preserve">Pilot / case-study chapter (Outokumpu Tier-1)</w:t>
            </w:r>
          </w:p>
        </w:tc>
        <w:tc>
          <w:tcPr/>
          <w:p>
            <w:pPr>
              <w:pStyle w:val="Compact"/>
              <w:jc w:val="left"/>
            </w:pPr>
            <w:r>
              <w:rPr>
                <w:rStyle w:val="FootnoteReference"/>
              </w:rPr>
              <w:footnoteReference w:id="339"/>
            </w:r>
          </w:p>
        </w:tc>
      </w:tr>
      <w:tr>
        <w:tc>
          <w:tcPr/>
          <w:p>
            <w:pPr>
              <w:pStyle w:val="Compact"/>
              <w:jc w:val="left"/>
            </w:pPr>
            <w:r>
              <w:t xml:space="preserve">Domain compliance chapter (construction multi-jurisdiction)</w:t>
            </w:r>
          </w:p>
        </w:tc>
        <w:tc>
          <w:tcPr/>
          <w:p>
            <w:pPr>
              <w:pStyle w:val="Compact"/>
              <w:jc w:val="left"/>
            </w:pPr>
            <w:r>
              <w:rPr>
                <w:rStyle w:val="FootnoteReference"/>
              </w:rPr>
              <w:footnoteReference w:id="340"/>
            </w:r>
          </w:p>
        </w:tc>
      </w:tr>
      <w:tr>
        <w:tc>
          <w:tcPr/>
          <w:p>
            <w:pPr>
              <w:pStyle w:val="Compact"/>
              <w:jc w:val="left"/>
            </w:pPr>
            <w:r>
              <w:t xml:space="preserve">Partnerships chapter (xAI etc.)</w:t>
            </w:r>
          </w:p>
        </w:tc>
        <w:tc>
          <w:tcPr/>
          <w:p>
            <w:pPr>
              <w:pStyle w:val="Compact"/>
              <w:jc w:val="left"/>
            </w:pPr>
            <w:r>
              <w:rPr>
                <w:rStyle w:val="FootnoteReference"/>
              </w:rPr>
              <w:footnoteReference w:id="341"/>
            </w:r>
            <w:r>
              <w:t xml:space="preserve">,</w:t>
            </w:r>
            <w:r>
              <w:t xml:space="preserve"> </w:t>
            </w:r>
            <w:r>
              <w:rPr>
                <w:rStyle w:val="FootnoteReference"/>
              </w:rPr>
              <w:footnoteReference w:id="342"/>
            </w:r>
          </w:p>
        </w:tc>
      </w:tr>
      <w:tr>
        <w:tc>
          <w:tcPr/>
          <w:p>
            <w:pPr>
              <w:pStyle w:val="Compact"/>
              <w:jc w:val="left"/>
            </w:pPr>
            <w:r>
              <w:t xml:space="preserve">Quantum / cryptography chapter</w:t>
            </w:r>
          </w:p>
        </w:tc>
        <w:tc>
          <w:tcPr/>
          <w:p>
            <w:pPr>
              <w:pStyle w:val="Compact"/>
              <w:jc w:val="left"/>
            </w:pPr>
            <w:r>
              <w:rPr>
                <w:rStyle w:val="FootnoteReference"/>
              </w:rPr>
              <w:footnoteReference w:id="343"/>
            </w:r>
            <w:r>
              <w:t xml:space="preserve">,</w:t>
            </w:r>
            <w:r>
              <w:t xml:space="preserve"> </w:t>
            </w:r>
            <w:r>
              <w:rPr>
                <w:rStyle w:val="FootnoteReference"/>
              </w:rPr>
              <w:footnoteReference w:id="344"/>
            </w:r>
            <w:r>
              <w:t xml:space="preserve">,</w:t>
            </w:r>
            <w:r>
              <w:t xml:space="preserve"> </w:t>
            </w:r>
            <w:r>
              <w:rPr>
                <w:rStyle w:val="FootnoteReference"/>
              </w:rPr>
              <w:footnoteReference w:id="346"/>
            </w:r>
            <w:r>
              <w:t xml:space="preserve">,</w:t>
            </w:r>
            <w:r>
              <w:t xml:space="preserve"> </w:t>
            </w:r>
            <w:r>
              <w:rPr>
                <w:rStyle w:val="FootnoteReference"/>
              </w:rPr>
              <w:footnoteReference w:id="348"/>
            </w:r>
          </w:p>
        </w:tc>
      </w:tr>
      <w:tr>
        <w:tc>
          <w:tcPr/>
          <w:p>
            <w:pPr>
              <w:pStyle w:val="Compact"/>
              <w:jc w:val="left"/>
            </w:pPr>
            <w:r>
              <w:t xml:space="preserve">Regulatory chapter (EU AI Act, eIDAS 2.0, EU Data Act)</w:t>
            </w:r>
          </w:p>
        </w:tc>
        <w:tc>
          <w:tcPr/>
          <w:p>
            <w:pPr>
              <w:pStyle w:val="Compact"/>
              <w:jc w:val="left"/>
            </w:pPr>
            <w:r>
              <w:rPr>
                <w:rStyle w:val="FootnoteReference"/>
              </w:rPr>
              <w:footnoteReference w:id="350"/>
            </w:r>
            <w:r>
              <w:t xml:space="preserve">,</w:t>
            </w:r>
            <w:r>
              <w:t xml:space="preserve"> </w:t>
            </w:r>
            <w:r>
              <w:rPr>
                <w:rStyle w:val="FootnoteReference"/>
              </w:rPr>
              <w:footnoteReference w:id="351"/>
            </w:r>
            <w:r>
              <w:t xml:space="preserve">,</w:t>
            </w:r>
            <w:r>
              <w:t xml:space="preserve"> </w:t>
            </w:r>
            <w:r>
              <w:rPr>
                <w:rStyle w:val="FootnoteReference"/>
              </w:rPr>
              <w:footnoteReference w:id="352"/>
            </w:r>
          </w:p>
        </w:tc>
      </w:tr>
    </w:tbl>
    <w:bookmarkEnd w:id="353"/>
    <w:bookmarkStart w:id="354" w:name="footnote-bibliography"/>
    <w:p>
      <w:pPr>
        <w:pStyle w:val="Heading3"/>
      </w:pPr>
      <w:r>
        <w:t xml:space="preserve">Footnote bibliography</w:t>
      </w:r>
    </w:p>
    <w:bookmarkEnd w:id="354"/>
    <w:bookmarkStart w:id="361" w:name="Xbb829561309baa2ae1ac17cca571f56b8a58cc9"/>
    <w:p>
      <w:pPr>
        <w:pStyle w:val="Heading3"/>
      </w:pPr>
      <w:r>
        <w:t xml:space="preserve">10.25 Polyglot Observability in Production: Aspire Dashboard Adoption and the Silent-Telemetry Incident</w:t>
      </w:r>
    </w:p>
    <w:bookmarkStart w:id="355" w:name="context-and-decision-path"/>
    <w:p>
      <w:pPr>
        <w:pStyle w:val="Heading4"/>
      </w:pPr>
      <w:r>
        <w:t xml:space="preserve">10.25.1 Context and Decision Path</w:t>
      </w:r>
    </w:p>
    <w:p>
      <w:pPr>
        <w:pStyle w:val="FirstParagraph"/>
      </w:pPr>
      <w:r>
        <w:t xml:space="preserve">The April 2026 tooling analysis (</w:t>
      </w:r>
      <w:r>
        <w:rPr>
          <w:rStyle w:val="VerbatimChar"/>
        </w:rPr>
        <w:t xml:space="preserve">docs/field-notes/2026-04-10-aspire-13-2-isolated-mode.md</w:t>
      </w:r>
      <w:r>
        <w:t xml:space="preserve">) evaluated three adoption options for Microsoft’s Aspire observability stack on the DGX Spark sovereign-edge device: (1) dashboard-only — run the standalone Aspire Dashboard container as a language-agnostic OTLP receiver; (2) full AppHost + ServiceDefaults orchestration; (3) defer. Option 1 was selected and deployed:</w:t>
      </w:r>
      <w:r>
        <w:t xml:space="preserve"> </w:t>
      </w:r>
      <w:r>
        <w:rPr>
          <w:rStyle w:val="VerbatimChar"/>
        </w:rPr>
        <w:t xml:space="preserve">mcr.microsoft.com/dotnet/aspire-dashboard:13.3.5</w:t>
      </w:r>
      <w:r>
        <w:t xml:space="preserve"> </w:t>
      </w:r>
      <w:r>
        <w:t xml:space="preserve">(version-pinned, never</w:t>
      </w:r>
      <w:r>
        <w:t xml:space="preserve"> </w:t>
      </w:r>
      <w:r>
        <w:rPr>
          <w:rStyle w:val="VerbatimChar"/>
        </w:rPr>
        <w:t xml:space="preserve">:latest</w:t>
      </w:r>
      <w:r>
        <w:t xml:space="preserve">) in</w:t>
      </w:r>
      <w:r>
        <w:t xml:space="preserve"> </w:t>
      </w:r>
      <w:r>
        <w:rPr>
          <w:rStyle w:val="VerbatimChar"/>
        </w:rPr>
        <w:t xml:space="preserve">infrastructure/dgx-spark/docker-compose.yml</w:t>
      </w:r>
      <w:r>
        <w:t xml:space="preserve">. The determining factors were that the dashboard accepts standard OTLP telemetry from any language — the DWS IQ 6 stack is TypeScript (backend, agents) and Python (Firehorse) — and that dashboard-only adoption requires no .NET toolchain on the edge device.</w:t>
      </w:r>
    </w:p>
    <w:bookmarkEnd w:id="355"/>
    <w:bookmarkStart w:id="356" w:name="implementation-inventory"/>
    <w:p>
      <w:pPr>
        <w:pStyle w:val="Heading4"/>
      </w:pPr>
      <w:r>
        <w:t xml:space="preserve">10.25.2 Implementation Inventory</w:t>
      </w:r>
    </w:p>
    <w:p>
      <w:pPr>
        <w:pStyle w:val="FirstParagraph"/>
      </w:pPr>
      <w:r>
        <w:t xml:space="preserve">The observability layer as deployed consists of:</w:t>
      </w:r>
    </w:p>
    <w:p>
      <w:pPr>
        <w:numPr>
          <w:ilvl w:val="0"/>
          <w:numId w:val="1119"/>
        </w:numPr>
        <w:pStyle w:val="Compact"/>
      </w:pPr>
      <w:r>
        <w:rPr>
          <w:rStyle w:val="VerbatimChar"/>
          <w:bCs/>
          <w:b/>
        </w:rPr>
        <w:t xml:space="preserve">src/observability/otel.ts</w:t>
      </w:r>
      <w:r>
        <w:t xml:space="preserve"> </w:t>
      </w:r>
      <w:r>
        <w:t xml:space="preserve">— opt-in OpenTelemetry SDK initialization. If</w:t>
      </w:r>
      <w:r>
        <w:t xml:space="preserve"> </w:t>
      </w:r>
      <w:r>
        <w:rPr>
          <w:rStyle w:val="VerbatimChar"/>
        </w:rPr>
        <w:t xml:space="preserve">OTEL_EXPORTER_OTLP_ENDPOINT</w:t>
      </w:r>
      <w:r>
        <w:t xml:space="preserve"> </w:t>
      </w:r>
      <w:r>
        <w:t xml:space="preserve">is unset, no provider registers and every tracing helper degrades to a no-op; nothing leaves the host until the operator sets the endpoint (sovereignty-by-default). Graceful flush on SIGTERM/SIGINT.</w:t>
      </w:r>
    </w:p>
    <w:p>
      <w:pPr>
        <w:numPr>
          <w:ilvl w:val="0"/>
          <w:numId w:val="1119"/>
        </w:numPr>
        <w:pStyle w:val="Compact"/>
      </w:pPr>
      <w:r>
        <w:rPr>
          <w:rStyle w:val="VerbatimChar"/>
          <w:bCs/>
          <w:b/>
        </w:rPr>
        <w:t xml:space="preserve">src/observability/tracing.ts</w:t>
      </w:r>
      <w:r>
        <w:t xml:space="preserve"> </w:t>
      </w:r>
      <w:r>
        <w:t xml:space="preserve">— span helpers at the four points that matter for postmortems:</w:t>
      </w:r>
      <w:r>
        <w:t xml:space="preserve"> </w:t>
      </w:r>
      <w:r>
        <w:rPr>
          <w:rStyle w:val="VerbatimChar"/>
        </w:rPr>
        <w:t xml:space="preserve">withAgentSpan</w:t>
      </w:r>
      <w:r>
        <w:t xml:space="preserve"> </w:t>
      </w:r>
      <w:r>
        <w:t xml:space="preserve">(one root span per agent execution),</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 call, emitting OpenTelemetry</w:t>
      </w:r>
      <w:r>
        <w:t xml:space="preserve"> </w:t>
      </w:r>
      <w:r>
        <w:rPr>
          <w:bCs/>
          <w:b/>
        </w:rPr>
        <w:t xml:space="preserve">GenAI semantic-convention</w:t>
      </w:r>
      <w:r>
        <w:t xml:space="preserve"> </w:t>
      </w:r>
      <w:r>
        <w:t xml:space="preserve">attributes:</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finish reasons), and</w:t>
      </w:r>
      <w:r>
        <w:t xml:space="preserve"> </w:t>
      </w:r>
      <w:r>
        <w:rPr>
          <w:rStyle w:val="VerbatimChar"/>
        </w:rPr>
        <w:t xml:space="preserve">withToolSpan</w:t>
      </w:r>
      <w:r>
        <w:t xml:space="preserve"> </w:t>
      </w:r>
      <w:r>
        <w:t xml:space="preserve">(per tool invocation, with chain position/length).</w:t>
      </w:r>
    </w:p>
    <w:p>
      <w:pPr>
        <w:numPr>
          <w:ilvl w:val="0"/>
          <w:numId w:val="1119"/>
        </w:numPr>
        <w:pStyle w:val="Compact"/>
      </w:pPr>
      <w:r>
        <w:rPr>
          <w:rStyle w:val="VerbatimChar"/>
          <w:bCs/>
          <w:b/>
        </w:rPr>
        <w:t xml:space="preserve">src/agents/telemetry.types.ts</w:t>
      </w:r>
      <w:r>
        <w:rPr>
          <w:bCs/>
          <w:b/>
        </w:rPr>
        <w:t xml:space="preserve"> </w:t>
      </w:r>
      <w:r>
        <w:rPr>
          <w:bCs/>
          <w:b/>
        </w:rPr>
        <w:t xml:space="preserve">+ migration</w:t>
      </w:r>
      <w:r>
        <w:rPr>
          <w:bCs/>
          <w:b/>
        </w:rPr>
        <w:t xml:space="preserve"> </w:t>
      </w:r>
      <w:r>
        <w:rPr>
          <w:rStyle w:val="VerbatimChar"/>
          <w:bCs/>
          <w:b/>
        </w:rPr>
        <w:t xml:space="preserve">066_tool_telemetry_genai.sql</w:t>
      </w:r>
      <w:r>
        <w:t xml:space="preserve"> </w:t>
      </w:r>
      <w:r>
        <w:t xml:space="preserve">— the same</w:t>
      </w:r>
      <w:r>
        <w:t xml:space="preserve"> </w:t>
      </w:r>
      <w:r>
        <w:rPr>
          <w:rStyle w:val="VerbatimChar"/>
        </w:rPr>
        <w:t xml:space="preserve">gen_ai.*</w:t>
      </w:r>
      <w:r>
        <w:t xml:space="preserve"> </w:t>
      </w:r>
      <w:r>
        <w:t xml:space="preserve">vocabulary persisted to the Supabase</w:t>
      </w:r>
      <w:r>
        <w:t xml:space="preserve"> </w:t>
      </w:r>
      <w:r>
        <w:rPr>
          <w:rStyle w:val="VerbatimChar"/>
        </w:rPr>
        <w:t xml:space="preserve">tool_telemetry</w:t>
      </w:r>
      <w:r>
        <w:t xml:space="preserve"> </w:t>
      </w:r>
      <w:r>
        <w:t xml:space="preserve">table, cross-referenced to OTel traces by</w:t>
      </w:r>
      <w:r>
        <w:t xml:space="preserve"> </w:t>
      </w:r>
      <w:r>
        <w:rPr>
          <w:rStyle w:val="VerbatimChar"/>
        </w:rPr>
        <w:t xml:space="preserve">trace_id</w:t>
      </w:r>
      <w:r>
        <w:t xml:space="preserve">/</w:t>
      </w:r>
      <w:r>
        <w:rPr>
          <w:rStyle w:val="VerbatimChar"/>
        </w:rPr>
        <w:t xml:space="preserve">span_id</w:t>
      </w:r>
      <w:r>
        <w:t xml:space="preserve">. This gives the EU AI Act Article 12 audit trail and the developer-facing trace UI a shared vocabulary rather than two disjoint logging schemes.</w:t>
      </w:r>
    </w:p>
    <w:p>
      <w:pPr>
        <w:numPr>
          <w:ilvl w:val="0"/>
          <w:numId w:val="1119"/>
        </w:numPr>
        <w:pStyle w:val="Compact"/>
      </w:pPr>
      <w:r>
        <w:rPr>
          <w:bCs/>
          <w:b/>
        </w:rPr>
        <w:t xml:space="preserve">Three OTLP producers</w:t>
      </w:r>
      <w:r>
        <w:t xml:space="preserve"> </w:t>
      </w:r>
      <w:r>
        <w:t xml:space="preserve">on the DGX Spark compose network:</w:t>
      </w:r>
      <w:r>
        <w:t xml:space="preserve"> </w:t>
      </w:r>
      <w:r>
        <w:rPr>
          <w:rStyle w:val="VerbatimChar"/>
        </w:rPr>
        <w:t xml:space="preserve">dws-backend</w:t>
      </w:r>
      <w:r>
        <w:t xml:space="preserve">,</w:t>
      </w:r>
      <w:r>
        <w:t xml:space="preserve"> </w:t>
      </w:r>
      <w:r>
        <w:rPr>
          <w:rStyle w:val="VerbatimChar"/>
        </w:rPr>
        <w:t xml:space="preserve">dws-cron</w:t>
      </w:r>
      <w:r>
        <w:t xml:space="preserve">, and the</w:t>
      </w:r>
      <w:r>
        <w:t xml:space="preserve"> </w:t>
      </w:r>
      <w:r>
        <w:rPr>
          <w:rStyle w:val="VerbatimChar"/>
        </w:rPr>
        <w:t xml:space="preserve">bumblebee-collector</w:t>
      </w:r>
      <w:r>
        <w:t xml:space="preserve"> </w:t>
      </w:r>
      <w:r>
        <w:t xml:space="preserve">supply-chain scanner.</w:t>
      </w:r>
    </w:p>
    <w:bookmarkEnd w:id="356"/>
    <w:bookmarkStart w:id="357" w:name="the-silent-telemetry-incident-july-2026"/>
    <w:p>
      <w:pPr>
        <w:pStyle w:val="Heading4"/>
      </w:pPr>
      <w:r>
        <w:t xml:space="preserve">10.25.3 The Silent-Telemetry Incident (July 2026)</w:t>
      </w:r>
    </w:p>
    <w:p>
      <w:pPr>
        <w:pStyle w:val="FirstParagraph"/>
      </w:pPr>
      <w:r>
        <w:t xml:space="preserve">A primary-source verification pass against the Aspire dashboard configuration reference (aspire.dev, fetched 2026-07-07) established that the standalone dashboard serves three distinct endpoints: the browser UI on port 18888, OTLP/gRPC on 18889, and OTLP/HTTP on 18890. All three DWS producers were configured to push</w:t>
      </w:r>
      <w:r>
        <w:t xml:space="preserve"> </w:t>
      </w:r>
      <w:r>
        <w:rPr>
          <w:rStyle w:val="VerbatimChar"/>
        </w:rPr>
        <w:t xml:space="preserve">http/protobuf</w:t>
      </w:r>
      <w:r>
        <w:t xml:space="preserve"> </w:t>
      </w:r>
      <w:r>
        <w:t xml:space="preserve">telemetry to</w:t>
      </w:r>
      <w:r>
        <w:t xml:space="preserve"> </w:t>
      </w:r>
      <w:r>
        <w:rPr>
          <w:bCs/>
          <w:b/>
        </w:rPr>
        <w:t xml:space="preserve">port 18888 — the UI endpoint</w:t>
      </w:r>
      <w:r>
        <w:t xml:space="preserve">. Every span, metric, and log emitted since deployment had been silently dropped.</w:t>
      </w:r>
    </w:p>
    <w:p>
      <w:pPr>
        <w:pStyle w:val="BodyText"/>
      </w:pPr>
      <w:r>
        <w:t xml:space="preserve">The change history makes the incident instructive rather than merely embarrassing. The misconfiguration was introduced by a</w:t>
      </w:r>
      <w:r>
        <w:t xml:space="preserve"> </w:t>
      </w:r>
      <w:r>
        <w:rPr>
          <w:iCs/>
          <w:i/>
        </w:rPr>
        <w:t xml:space="preserve">fix</w:t>
      </w:r>
      <w:r>
        <w:t xml:space="preserve">: compose v1.2.0 had</w:t>
      </w:r>
      <w:r>
        <w:t xml:space="preserve"> </w:t>
      </w:r>
      <w:r>
        <w:t xml:space="preserve">“</w:t>
      </w:r>
      <w:r>
        <w:t xml:space="preserve">corrected</w:t>
      </w:r>
      <w:r>
        <w:t xml:space="preserve">”</w:t>
      </w:r>
      <w:r>
        <w:t xml:space="preserve"> </w:t>
      </w:r>
      <w:r>
        <w:t xml:space="preserve">the OTel wiring by moving the endpoint from 18889 (the gRPC port — wrong protocol for an HTTP exporter) to 18888 (right protocol, wrong endpoint). Both configurations pass every liveness check: the ports accept TCP connections, the container reports healthy, the heartbeat service’s</w:t>
      </w:r>
      <w:r>
        <w:t xml:space="preserve"> </w:t>
      </w:r>
      <w:r>
        <w:rPr>
          <w:rStyle w:val="VerbatimChar"/>
        </w:rPr>
        <w:t xml:space="preserve">CHECK_ASPIRE</w:t>
      </w:r>
      <w:r>
        <w:t xml:space="preserve"> </w:t>
      </w:r>
      <w:r>
        <w:t xml:space="preserve">probe succeeds. The OTel</w:t>
      </w:r>
      <w:r>
        <w:t xml:space="preserve"> </w:t>
      </w:r>
      <w:r>
        <w:rPr>
          <w:rStyle w:val="VerbatimChar"/>
        </w:rPr>
        <w:t xml:space="preserve">BatchSpanProcessor</w:t>
      </w:r>
      <w:r>
        <w:t xml:space="preserve"> </w:t>
      </w:r>
      <w:r>
        <w:t xml:space="preserve">swallows export failures by design, so no error surfaced in any log. The system looked fully instrumented and was completely blind. The correction shipped as compose v1.3.1 (all three producers → 18890).</w:t>
      </w:r>
    </w:p>
    <w:bookmarkEnd w:id="357"/>
    <w:bookmarkStart w:id="358" w:name="engineering-lessons"/>
    <w:p>
      <w:pPr>
        <w:pStyle w:val="Heading4"/>
      </w:pPr>
      <w:r>
        <w:t xml:space="preserve">10.25.4 Engineering Lessons</w:t>
      </w:r>
    </w:p>
    <w:p>
      <w:pPr>
        <w:numPr>
          <w:ilvl w:val="0"/>
          <w:numId w:val="1120"/>
        </w:numPr>
        <w:pStyle w:val="Compact"/>
      </w:pPr>
      <w:r>
        <w:rPr>
          <w:bCs/>
          <w:b/>
        </w:rPr>
        <w:t xml:space="preserve">Verification must include observed behavior, not just artifact presence.</w:t>
      </w:r>
      <w:r>
        <w:t xml:space="preserve"> </w:t>
      </w:r>
      <w:r>
        <w:t xml:space="preserve">The April field note’s gap-detection rule —</w:t>
      </w:r>
      <w:r>
        <w:t xml:space="preserve"> </w:t>
      </w:r>
      <w:r>
        <w:t xml:space="preserve">“</w:t>
      </w:r>
      <w:r>
        <w:t xml:space="preserve">when the narrative layer mentions a version number, verify it against the actual deployed artifact</w:t>
      </w:r>
      <w:r>
        <w:t xml:space="preserve">”</w:t>
      </w:r>
      <w:r>
        <w:t xml:space="preserve"> </w:t>
      </w:r>
      <w:r>
        <w:t xml:space="preserve">— proved insufficient. Here the artifact existed and the narrative had lagged in the</w:t>
      </w:r>
      <w:r>
        <w:t xml:space="preserve"> </w:t>
      </w:r>
      <w:r>
        <w:rPr>
          <w:iCs/>
          <w:i/>
        </w:rPr>
        <w:t xml:space="preserve">pessimistic</w:t>
      </w:r>
      <w:r>
        <w:t xml:space="preserve"> </w:t>
      </w:r>
      <w:r>
        <w:t xml:space="preserve">direction (later documents still described the dashboard as</w:t>
      </w:r>
      <w:r>
        <w:t xml:space="preserve"> </w:t>
      </w:r>
      <w:r>
        <w:t xml:space="preserve">“</w:t>
      </w:r>
      <w:r>
        <w:t xml:space="preserve">not deployed</w:t>
      </w:r>
      <w:r>
        <w:t xml:space="preserve">”</w:t>
      </w:r>
      <w:r>
        <w:t xml:space="preserve">), while the deployed artifact was itself broken. The strengthened rule: verify against the deployed artifact</w:t>
      </w:r>
      <w:r>
        <w:t xml:space="preserve"> </w:t>
      </w:r>
      <w:r>
        <w:rPr>
          <w:iCs/>
          <w:i/>
        </w:rPr>
        <w:t xml:space="preserve">and its observed behavior</w:t>
      </w:r>
      <w:r>
        <w:t xml:space="preserve">. A dashboard receiving zero telemetry is indistinguishable from a dashboard nobody wired up.</w:t>
      </w:r>
    </w:p>
    <w:p>
      <w:pPr>
        <w:numPr>
          <w:ilvl w:val="0"/>
          <w:numId w:val="1120"/>
        </w:numPr>
        <w:pStyle w:val="Compact"/>
      </w:pPr>
      <w:r>
        <w:rPr>
          <w:bCs/>
          <w:b/>
        </w:rPr>
        <w:t xml:space="preserve">Fail-silent subsystems inside a fail-loud architecture need compensating controls.</w:t>
      </w:r>
      <w:r>
        <w:t xml:space="preserve"> </w:t>
      </w:r>
      <w:r>
        <w:t xml:space="preserve">Engineering Discipline Rule 12 (</w:t>
      </w:r>
      <w:r>
        <w:t xml:space="preserve">“</w:t>
      </w:r>
      <w:r>
        <w:t xml:space="preserve">fail loud</w:t>
      </w:r>
      <w:r>
        <w:t xml:space="preserve">”</w:t>
      </w:r>
      <w:r>
        <w:t xml:space="preserve">) is implemented across the DWS agent layer, but the OTel export pipeline is fail-silent by upstream design. The compensating control is an end-to-end assertion — a periodic check that traces</w:t>
      </w:r>
      <w:r>
        <w:t xml:space="preserve"> </w:t>
      </w:r>
      <w:r>
        <w:rPr>
          <w:iCs/>
          <w:i/>
        </w:rPr>
        <w:t xml:space="preserve">arrive</w:t>
      </w:r>
      <w:r>
        <w:t xml:space="preserve">, not merely that the receiving port is open. This is queued as a heartbeat extension.</w:t>
      </w:r>
    </w:p>
    <w:p>
      <w:pPr>
        <w:numPr>
          <w:ilvl w:val="0"/>
          <w:numId w:val="1120"/>
        </w:numPr>
        <w:pStyle w:val="Compact"/>
      </w:pPr>
      <w:r>
        <w:rPr>
          <w:bCs/>
          <w:b/>
        </w:rPr>
        <w:t xml:space="preserve">Adjacent-port misconfiguration is a distinct failure class.</w:t>
      </w:r>
      <w:r>
        <w:t xml:space="preserve"> </w:t>
      </w:r>
      <w:r>
        <w:t xml:space="preserve">Three functionally different endpoints on consecutive ports (18888/18889/18890), all accepting connections, convert a one-character configuration error into a silent data-loss event. Infrastructure comments now document all three ports at the service definition.</w:t>
      </w:r>
    </w:p>
    <w:bookmarkEnd w:id="358"/>
    <w:bookmarkStart w:id="359" w:name="Xe3c9a6f672385b85febd0fa74d8f9d0791426e6"/>
    <w:p>
      <w:pPr>
        <w:pStyle w:val="Heading4"/>
      </w:pPr>
      <w:r>
        <w:t xml:space="preserve">10.25.5 Open Decision: GenAI Message-Content Capture</w:t>
      </w:r>
    </w:p>
    <w:p>
      <w:pPr>
        <w:pStyle w:val="FirstParagraph"/>
      </w:pPr>
      <w:r>
        <w:t xml:space="preserve">The dashboard’s GenAI visualizer (introduced in Aspire 9.5, improved in 13.2) renders LLM spans as a chat log — system prompt, messages, tool calls, token counts — when message content is recorded onto spans. The DWS</w:t>
      </w:r>
      <w:r>
        <w:t xml:space="preserve"> </w:t>
      </w:r>
      <w:r>
        <w:rPr>
          <w:rStyle w:val="VerbatimChar"/>
        </w:rPr>
        <w:t xml:space="preserve">withLLMSpan</w:t>
      </w:r>
      <w:r>
        <w:t xml:space="preserve"> </w:t>
      </w:r>
      <w:r>
        <w:t xml:space="preserve">helper deliberately records</w:t>
      </w:r>
      <w:r>
        <w:t xml:space="preserve"> </w:t>
      </w:r>
      <w:r>
        <w:rPr>
          <w:bCs/>
          <w:b/>
        </w:rPr>
        <w:t xml:space="preserve">metadata only</w:t>
      </w:r>
      <w:r>
        <w:t xml:space="preserve"> </w:t>
      </w:r>
      <w:r>
        <w:t xml:space="preserve">(model identifiers, token counts, finish reasons), not prompt or completion bodies. Enabling content capture would place customer-derived text into dashboard memory; that is a data-protection decision (GDPR scope, customer confidentiality), not a tooling decision, and it remains with the human operator. Default: off.</w:t>
      </w:r>
    </w:p>
    <w:p>
      <w:pPr>
        <w:pStyle w:val="BodyText"/>
      </w:pPr>
      <w:r>
        <w:rPr>
          <w:iCs/>
          <w:i/>
        </w:rPr>
        <w:t xml:space="preserve">Companion artefacts:</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Market-signal and standardisation framing: PHD_FIREHORSE §14.37 per the thesis content-scope rule.</w:t>
      </w:r>
    </w:p>
    <w:bookmarkEnd w:id="359"/>
    <w:bookmarkStart w:id="360" w:name="Xbac07d35bec19a05bb0fd6dead9aa24c23e3f80"/>
    <w:p>
      <w:pPr>
        <w:pStyle w:val="Heading4"/>
      </w:pPr>
      <w:r>
        <w:t xml:space="preserve">10.25.6 Amendment (v3.79): The Span-Stamped Authorization Verdict</w:t>
      </w:r>
    </w:p>
    <w:p>
      <w:pPr>
        <w:pStyle w:val="FirstParagraph"/>
      </w:pPr>
      <w:r>
        <w:t xml:space="preserve">External critique (Hakimi, 07.07.2026) identified the structural limit of this section as originally shipped:</w:t>
      </w:r>
      <w:r>
        <w:t xml:space="preserve"> </w:t>
      </w:r>
      <w:r>
        <w:rPr>
          <w:iCs/>
          <w:i/>
        </w:rPr>
        <w:t xml:space="preserve">“</w:t>
      </w:r>
      <w:r>
        <w:rPr>
          <w:iCs/>
          <w:i/>
        </w:rPr>
        <w:t xml:space="preserve">every LLM call it lights up is a record of what already fired. The trace shows the agent reached prod. It never shows whether it should have been able to.</w:t>
      </w:r>
      <w:r>
        <w:rPr>
          <w:iCs/>
          <w:i/>
        </w:rPr>
        <w:t xml:space="preserve">”</w:t>
      </w:r>
      <w:r>
        <w:t xml:space="preserve"> </w:t>
      </w:r>
      <w:r>
        <w:t xml:space="preserve">Verified against the code, the critique was accurate — the LLM client’s only authorization concept was the provider</w:t>
      </w:r>
      <w:r>
        <w:t xml:space="preserve"> </w:t>
      </w:r>
      <w:r>
        <w:rPr>
          <w:rStyle w:val="VerbatimChar"/>
        </w:rPr>
        <w:t xml:space="preserve">Bearer</w:t>
      </w:r>
      <w:r>
        <w:t xml:space="preserve"> </w:t>
      </w:r>
      <w:r>
        <w:t xml:space="preserve">header, and KYA trust-score enforcement lived solely at the sandbox boundary (</w:t>
      </w:r>
      <w:r>
        <w:rPr>
          <w:rStyle w:val="VerbatimChar"/>
        </w:rPr>
        <w:t xml:space="preserve">nemoclaw-sandbox.ts</w:t>
      </w:r>
      <w:r>
        <w:t xml:space="preserve">,</w:t>
      </w:r>
      <w:r>
        <w:t xml:space="preserve"> </w:t>
      </w:r>
      <w:r>
        <w:rPr>
          <w:rStyle w:val="VerbatimChar"/>
        </w:rPr>
        <w:t xml:space="preserve">nemoclaw-bridge.ts</w:t>
      </w:r>
      <w:r>
        <w:t xml:space="preserve">), on a code path disconnected from telemetry.</w:t>
      </w:r>
    </w:p>
    <w:p>
      <w:pPr>
        <w:pStyle w:val="BodyText"/>
      </w:pPr>
      <w:r>
        <w:t xml:space="preserve">The same-day answer extends the span vocabulary rather than adding a parallel system:</w:t>
      </w:r>
      <w:r>
        <w:t xml:space="preserve"> </w:t>
      </w:r>
      <w:r>
        <w:rPr>
          <w:rStyle w:val="VerbatimChar"/>
        </w:rPr>
        <w:t xml:space="preserve">withAgentSpan</w:t>
      </w:r>
      <w:r>
        <w:t xml:space="preserve"> </w:t>
      </w:r>
      <w:r>
        <w:t xml:space="preserve">and</w:t>
      </w:r>
      <w:r>
        <w:t xml:space="preserve"> </w:t>
      </w:r>
      <w:r>
        <w:rPr>
          <w:rStyle w:val="VerbatimChar"/>
        </w:rPr>
        <w:t xml:space="preserve">withLLMSpan</w:t>
      </w:r>
      <w:r>
        <w:t xml:space="preserve"> </w:t>
      </w:r>
      <w:r>
        <w:t xml:space="preserve">now accept a</w:t>
      </w:r>
      <w:r>
        <w:t xml:space="preserve"> </w:t>
      </w:r>
      <w:r>
        <w:rPr>
          <w:rStyle w:val="VerbatimChar"/>
        </w:rPr>
        <w:t xml:space="preserve">KYAVerdict</w:t>
      </w:r>
      <w:r>
        <w:t xml:space="preserve"> </w:t>
      </w:r>
      <w:r>
        <w:t xml:space="preserve">(</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and stamp</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t xml:space="preserve">alongside the</w:t>
      </w:r>
      <w:r>
        <w:t xml:space="preserve"> </w:t>
      </w:r>
      <w:r>
        <w:rPr>
          <w:rStyle w:val="VerbatimChar"/>
        </w:rPr>
        <w:t xml:space="preserve">gen_ai.*</w:t>
      </w:r>
      <w:r>
        <w:t xml:space="preserve"> </w:t>
      </w:r>
      <w:r>
        <w:t xml:space="preserve">attributes, so one trace answers both questions — what fired, and under what authority it was allowed to fire. The load-bearing design decision is the default: a span with no verdict is stamped</w:t>
      </w:r>
      <w:r>
        <w:t xml:space="preserve"> </w:t>
      </w:r>
      <w:r>
        <w:rPr>
          <w:rStyle w:val="VerbatimChar"/>
        </w:rPr>
        <w:t xml:space="preserve">dws.kya.verdict: "ungated"</w:t>
      </w:r>
      <w:r>
        <w:t xml:space="preserve">, never left blank. Absence becomes a queryable finding — filtering the trace UI on</w:t>
      </w:r>
      <w:r>
        <w:t xml:space="preserve"> </w:t>
      </w:r>
      <w:r>
        <w:rPr>
          <w:rStyle w:val="VerbatimChar"/>
        </w:rPr>
        <w:t xml:space="preserve">ungated</w:t>
      </w:r>
      <w:r>
        <w:t xml:space="preserve"> </w:t>
      </w:r>
      <w:r>
        <w:t xml:space="preserve">enumerates every execution path no gate cleared — instead of being indistinguishable from gated execution (Engineering Discipline Rule 12 applied to authorization coverage).</w:t>
      </w:r>
    </w:p>
    <w:p>
      <w:pPr>
        <w:pStyle w:val="BodyText"/>
      </w:pPr>
      <w:r>
        <w:t xml:space="preserve">The honest baseline this makes visible: as of v3.79 every production span reads</w:t>
      </w:r>
      <w:r>
        <w:t xml:space="preserve"> </w:t>
      </w:r>
      <w:r>
        <w:rPr>
          <w:rStyle w:val="VerbatimChar"/>
        </w:rPr>
        <w:t xml:space="preserve">ungated</w:t>
      </w:r>
      <w:r>
        <w:t xml:space="preserve">, because no call site yet threads the sandbox verdict through. The count of ungated spans</w:t>
      </w:r>
      <w:r>
        <w:t xml:space="preserve"> </w:t>
      </w:r>
      <w:r>
        <w:rPr>
          <w:iCs/>
          <w:i/>
        </w:rPr>
        <w:t xml:space="preserve">is</w:t>
      </w:r>
      <w:r>
        <w:t xml:space="preserve"> </w:t>
      </w:r>
      <w:r>
        <w:t xml:space="preserve">the authorization-coverage gap metric; driving it to zero (verdict emission at the sandbox gate, threading through the agent runner and LLM client) is the named follow-up. Unit tests cover both the stamped-verdict and ungated-default paths.</w:t>
      </w:r>
      <w:r>
        <w:t xml:space="preserve"> </w:t>
      </w:r>
      <w:r>
        <w:rPr>
          <w:iCs/>
          <w:i/>
        </w:rPr>
        <w:t xml:space="preserve">Field note:</w:t>
      </w:r>
      <w:r>
        <w:rPr>
          <w:iCs/>
          <w:i/>
        </w:rPr>
        <w:t xml:space="preserve"> </w:t>
      </w:r>
      <w:r>
        <w:rPr>
          <w:rStyle w:val="VerbatimChar"/>
          <w:iCs/>
          <w:i/>
        </w:rPr>
        <w:t xml:space="preserve">docs/field-notes/2026-07-07-hakimi-observability-vs-authorization.md</w:t>
      </w:r>
      <w:r>
        <w:rPr>
          <w:iCs/>
          <w:i/>
        </w:rPr>
        <w:t xml:space="preserve">; scientific restatement: PHD_FIREHORSE §14.37.4.</w:t>
      </w:r>
    </w:p>
    <w:bookmarkEnd w:id="360"/>
    <w:bookmarkEnd w:id="361"/>
    <w:bookmarkEnd w:id="362"/>
    <w:bookmarkEnd w:id="3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8">
    <w:p>
      <w:pPr>
        <w:pStyle w:val="FootnoteText"/>
      </w:pPr>
      <w:r>
        <w:rPr>
          <w:rStyle w:val="FootnoteReference"/>
        </w:rPr>
        <w:footnoteRef/>
      </w:r>
      <w:r>
        <w:t xml:space="preserve"> </w:t>
      </w:r>
      <w:r>
        <w:t xml:space="preserve">Päärni, R. A. (2026).</w:t>
      </w:r>
      <w:r>
        <w:t xml:space="preserve"> </w:t>
      </w:r>
      <w:r>
        <w:rPr>
          <w:iCs/>
          <w:i/>
        </w:rPr>
        <w:t xml:space="preserve">PHD_FIREHORSE_EN.md §14.23 — Three-Pillar Sovereignty Taxonomy and Jurisdiction-Dependent Dynamics in Global Enterprises.</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29">
    <w:p>
      <w:pPr>
        <w:pStyle w:val="FootnoteText"/>
      </w:pPr>
      <w:r>
        <w:rPr>
          <w:rStyle w:val="FootnoteReference"/>
        </w:rPr>
        <w:footnoteRef/>
      </w:r>
      <w:r>
        <w:t xml:space="preserve"> </w:t>
      </w:r>
      <w:r>
        <w:t xml:space="preserve">Päärni, R. A. (2026).</w:t>
      </w:r>
      <w:r>
        <w:t xml:space="preserve"> </w:t>
      </w:r>
      <w:r>
        <w:rPr>
          <w:iCs/>
          <w:i/>
        </w:rPr>
        <w:t xml:space="preserve">Field Note: EU Tech-Stack Sovereignty Positioning (Field Note #1).</w:t>
      </w:r>
      <w:r>
        <w:t xml:space="preserve"> </w:t>
      </w:r>
      <w:r>
        <w:t xml:space="preserve">Lifetime Oy. Local repository path:</w:t>
      </w:r>
      <w:r>
        <w:t xml:space="preserve"> </w:t>
      </w:r>
      <w:r>
        <w:rPr>
          <w:rStyle w:val="VerbatimChar"/>
        </w:rPr>
        <w:t xml:space="preserve">docs/field-notes/2026-01-28-eu-tech-stack-sovereignty-positioning.md</w:t>
      </w:r>
      <w:r>
        <w:t xml:space="preserve">. Dated 28 January 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Sovereignty Field Note #2 — The Three Pillars Every Global Enterprise Needs.</w:t>
      </w:r>
      <w:r>
        <w:t xml:space="preserve"> </w:t>
      </w:r>
      <w:r>
        <w:t xml:space="preserve">Lifetime Oy. Local repository path:</w:t>
      </w:r>
      <w:r>
        <w:t xml:space="preserve"> </w:t>
      </w:r>
      <w:r>
        <w:rPr>
          <w:rStyle w:val="VerbatimChar"/>
        </w:rPr>
        <w:t xml:space="preserve">docs/field-notes/2026-05-28-three-pillars-sovereignty-global.md</w:t>
      </w:r>
      <w:r>
        <w:t xml:space="preserve">. Published HTML:</w:t>
      </w:r>
      <w:r>
        <w:t xml:space="preserve"> </w:t>
      </w:r>
      <w:hyperlink r:id="rId331">
        <w:r>
          <w:rPr>
            <w:rStyle w:val="Hyperlink"/>
          </w:rPr>
          <w:t xml:space="preserve">https://onelifetime.world/posts/sovereignty-field-note-2-three-pillars.html</w:t>
        </w:r>
      </w:hyperlink>
      <w:r>
        <w:t xml:space="preserve">. Dated 28 May 2026.</w:t>
      </w:r>
    </w:p>
  </w:footnote>
  <w:footnote w:id="332">
    <w:p>
      <w:pPr>
        <w:pStyle w:val="FootnoteText"/>
      </w:pPr>
      <w:r>
        <w:rPr>
          <w:rStyle w:val="FootnoteReference"/>
        </w:rPr>
        <w:footnoteRef/>
      </w:r>
      <w:r>
        <w:t xml:space="preserve"> </w:t>
      </w:r>
      <w:r>
        <w:t xml:space="preserve">Lifetime Oy. (2026).</w:t>
      </w:r>
      <w:r>
        <w:t xml:space="preserve"> </w:t>
      </w:r>
      <w:r>
        <w:rPr>
          <w:iCs/>
          <w:i/>
        </w:rPr>
        <w:t xml:space="preserve">DWS_DEPLOYMENT_STANDARD.md lines 165–172 — DWS IQ Connect / Sovereign Infra / Aegis product tier definitions.</w:t>
      </w:r>
      <w:r>
        <w:t xml:space="preserve"> </w:t>
      </w:r>
      <w:r>
        <w:t xml:space="preserve">Internal canonical standard. Local repository path:</w:t>
      </w:r>
      <w:r>
        <w:t xml:space="preserve"> </w:t>
      </w:r>
      <w:r>
        <w:rPr>
          <w:rStyle w:val="VerbatimChar"/>
        </w:rPr>
        <w:t xml:space="preserve">DWS_DEPLOYMENT_STANDARD.md</w:t>
      </w:r>
      <w:r>
        <w:t xml:space="preserve">. Accessed 28 May 2026.</w:t>
      </w:r>
    </w:p>
  </w:footnote>
  <w:footnote w:id="333">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framing.</w:t>
      </w:r>
      <w:r>
        <w:t xml:space="preserve"> </w:t>
      </w:r>
      <w:r>
        <w:t xml:space="preserve">Internal canonical standard. Local repository path:</w:t>
      </w:r>
      <w:r>
        <w:t xml:space="preserve"> </w:t>
      </w:r>
      <w:r>
        <w:rPr>
          <w:rStyle w:val="VerbatimChar"/>
        </w:rPr>
        <w:t xml:space="preserve">DWS_SOVEREIGNTY_STANDARD.md</w:t>
      </w:r>
      <w:r>
        <w:t xml:space="preserve">. Accessed 28 May 2026.</w:t>
      </w:r>
    </w:p>
  </w:footnote>
  <w:footnote w:id="334">
    <w:p>
      <w:pPr>
        <w:pStyle w:val="FootnoteText"/>
      </w:pPr>
      <w:r>
        <w:rPr>
          <w:rStyle w:val="FootnoteReference"/>
        </w:rPr>
        <w:footnoteRef/>
      </w:r>
      <w:r>
        <w:t xml:space="preserve"> </w:t>
      </w:r>
      <w:r>
        <w:t xml:space="preserve">Lifetime Oy. (2026).</w:t>
      </w:r>
      <w:r>
        <w:t xml:space="preserve"> </w:t>
      </w:r>
      <w:r>
        <w:rPr>
          <w:iCs/>
          <w:i/>
        </w:rPr>
        <w:t xml:space="preserve">DWS_STANDARDS_LIBRARY.md §3.6 — Sovereignty Tier Map (vendor classification T1/T2/T3).</w:t>
      </w:r>
      <w:r>
        <w:t xml:space="preserve"> </w:t>
      </w:r>
      <w:r>
        <w:t xml:space="preserve">Internal canonical standard. Local repository path:</w:t>
      </w:r>
      <w:r>
        <w:t xml:space="preserve"> </w:t>
      </w:r>
      <w:r>
        <w:rPr>
          <w:rStyle w:val="VerbatimChar"/>
        </w:rPr>
        <w:t xml:space="preserve">DWS_STANDARDS_LIBRARY.md</w:t>
      </w:r>
      <w:r>
        <w:t xml:space="preserve">. Accessed 28 May 2026.</w:t>
      </w:r>
    </w:p>
  </w:footnote>
  <w:footnote w:id="335">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6">
        <w:r>
          <w:rPr>
            <w:rStyle w:val="Hyperlink"/>
          </w:rPr>
          <w:t xml:space="preserve">https://www.rightful.fi/</w:t>
        </w:r>
      </w:hyperlink>
      <w:r>
        <w:t xml:space="preserve">. Five-stage methodology: Identify → Assess → Plan → Implement → Monitor. Accessed 28 May 2026.</w:t>
      </w:r>
    </w:p>
  </w:footnote>
  <w:footnote w:id="337">
    <w:p>
      <w:pPr>
        <w:pStyle w:val="FootnoteText"/>
      </w:pPr>
      <w:r>
        <w:rPr>
          <w:rStyle w:val="FootnoteReference"/>
        </w:rPr>
        <w:footnoteRef/>
      </w:r>
      <w:r>
        <w:t xml:space="preserve"> </w:t>
      </w:r>
      <w:r>
        <w:t xml:space="preserve">Päärni, R. A. (2026).</w:t>
      </w:r>
      <w:r>
        <w:t xml:space="preserve"> </w:t>
      </w:r>
      <w:r>
        <w:rPr>
          <w:iCs/>
          <w:i/>
        </w:rPr>
        <w:t xml:space="preserve">PHD_FIREHORSE_EN.md §14.21 — KYA Substrate-Integrity Conformance (SIB-track).</w:t>
      </w:r>
      <w:r>
        <w:t xml:space="preserve"> </w:t>
      </w:r>
      <w:r>
        <w:t xml:space="preserve">Lifetime Oy / LUT University. Local repository path:</w:t>
      </w:r>
      <w:r>
        <w:t xml:space="preserve"> </w:t>
      </w:r>
      <w:r>
        <w:rPr>
          <w:rStyle w:val="VerbatimChar"/>
        </w:rPr>
        <w:t xml:space="preserve">docs/PHD_FIREHORSE_EN.md</w:t>
      </w:r>
      <w:r>
        <w:t xml:space="preserve">. Accessed 28 May 2026.</w:t>
      </w:r>
    </w:p>
  </w:footnote>
  <w:footnote w:id="338">
    <w:p>
      <w:pPr>
        <w:pStyle w:val="FootnoteText"/>
      </w:pPr>
      <w:r>
        <w:rPr>
          <w:rStyle w:val="FootnoteReference"/>
        </w:rPr>
        <w:footnoteRef/>
      </w:r>
      <w:r>
        <w:t xml:space="preserve"> </w:t>
      </w:r>
      <w:r>
        <w:t xml:space="preserve">Päärni, R. A. (2026).</w:t>
      </w:r>
      <w:r>
        <w:t xml:space="preserve"> </w:t>
      </w:r>
      <w:r>
        <w:rPr>
          <w:iCs/>
          <w:i/>
        </w:rPr>
        <w:t xml:space="preserve">Shufti KYA Whitepaper — IDV Provider Certification under the KYA Standard.</w:t>
      </w:r>
      <w:r>
        <w:t xml:space="preserve"> </w:t>
      </w:r>
      <w:r>
        <w:t xml:space="preserve">Lifetime Oy. Local repository path:</w:t>
      </w:r>
      <w:r>
        <w:t xml:space="preserve"> </w:t>
      </w:r>
      <w:r>
        <w:rPr>
          <w:rStyle w:val="VerbatimChar"/>
        </w:rPr>
        <w:t xml:space="preserve">docs/field-notes/2026-03-17-shufti-kya-whitepaper.md</w:t>
      </w:r>
      <w:r>
        <w:t xml:space="preserve">. Version 2.0 dated 13 April 2026.</w:t>
      </w:r>
    </w:p>
  </w:footnote>
  <w:footnote w:id="339">
    <w:p>
      <w:pPr>
        <w:pStyle w:val="FootnoteText"/>
      </w:pPr>
      <w:r>
        <w:rPr>
          <w:rStyle w:val="FootnoteReference"/>
        </w:rPr>
        <w:footnoteRef/>
      </w:r>
      <w:r>
        <w:t xml:space="preserve"> </w:t>
      </w:r>
      <w:r>
        <w:t xml:space="preserve">Päärni, R. A. (2026).</w:t>
      </w:r>
      <w:r>
        <w:t xml:space="preserve"> </w:t>
      </w:r>
      <w:r>
        <w:rPr>
          <w:iCs/>
          <w:i/>
        </w:rPr>
        <w:t xml:space="preserve">Field Note: Tier-1 Sovereignty Pilot for Outokumpu — robotics stack intel + DGX / Jetson T5000 sovereignty assessment.</w:t>
      </w:r>
      <w:r>
        <w:t xml:space="preserve"> </w:t>
      </w:r>
      <w:r>
        <w:t xml:space="preserve">Lifetime Oy. Local repository path:</w:t>
      </w:r>
      <w:r>
        <w:t xml:space="preserve"> </w:t>
      </w:r>
      <w:r>
        <w:rPr>
          <w:rStyle w:val="VerbatimChar"/>
        </w:rPr>
        <w:t xml:space="preserve">docs/field-notes/2026-05-25-tier1-sovereignty-pilot-outokumpu-dgx-t5000.md</w:t>
      </w:r>
      <w:r>
        <w:t xml:space="preserve">. Dated 25 May 2026.</w:t>
      </w:r>
    </w:p>
  </w:footnote>
  <w:footnote w:id="340">
    <w:p>
      <w:pPr>
        <w:pStyle w:val="FootnoteText"/>
      </w:pPr>
      <w:r>
        <w:rPr>
          <w:rStyle w:val="FootnoteReference"/>
        </w:rPr>
        <w:footnoteRef/>
      </w:r>
      <w:r>
        <w:t xml:space="preserve"> </w:t>
      </w:r>
      <w:r>
        <w:t xml:space="preserve">Päärni, R. A. (2026).</w:t>
      </w:r>
      <w:r>
        <w:t xml:space="preserve"> </w:t>
      </w:r>
      <w:r>
        <w:rPr>
          <w:iCs/>
          <w:i/>
        </w:rPr>
        <w:t xml:space="preserve">Construction Compliance Multi-Jurisdiction Brief.</w:t>
      </w:r>
      <w:r>
        <w:t xml:space="preserve"> </w:t>
      </w:r>
      <w:r>
        <w:t xml:space="preserve">Lifetime Oy. Local repository path:</w:t>
      </w:r>
      <w:r>
        <w:t xml:space="preserve"> </w:t>
      </w:r>
      <w:r>
        <w:rPr>
          <w:rStyle w:val="VerbatimChar"/>
        </w:rPr>
        <w:t xml:space="preserve">docs/briefs/construction-compliance-brief.md</w:t>
      </w:r>
      <w:r>
        <w:t xml:space="preserve">. Dated 22 May 2026.</w:t>
      </w:r>
    </w:p>
  </w:footnote>
  <w:footnote w:id="341">
    <w:p>
      <w:pPr>
        <w:pStyle w:val="FootnoteText"/>
      </w:pPr>
      <w:r>
        <w:rPr>
          <w:rStyle w:val="FootnoteReference"/>
        </w:rPr>
        <w:footnoteRef/>
      </w:r>
      <w:r>
        <w:t xml:space="preserve"> </w:t>
      </w:r>
      <w:r>
        <w:t xml:space="preserve">Päärni, R. A. (2026).</w:t>
      </w:r>
      <w:r>
        <w:t xml:space="preserve"> </w:t>
      </w:r>
      <w:r>
        <w:rPr>
          <w:iCs/>
          <w:i/>
        </w:rPr>
        <w:t xml:space="preserve">xAI Grok Partnership Proposal v1.0.</w:t>
      </w:r>
      <w:r>
        <w:t xml:space="preserve"> </w:t>
      </w:r>
      <w:r>
        <w:t xml:space="preserve">Lifetime Oy. Local repository path:</w:t>
      </w:r>
      <w:r>
        <w:t xml:space="preserve"> </w:t>
      </w:r>
      <w:r>
        <w:rPr>
          <w:rStyle w:val="VerbatimChar"/>
        </w:rPr>
        <w:t xml:space="preserve">docs/2026-02-26-xai-grok-partnership-proposal.md</w:t>
      </w:r>
      <w:r>
        <w:t xml:space="preserve">. Dated 26 February 2026.</w:t>
      </w:r>
    </w:p>
  </w:footnote>
  <w:footnote w:id="342">
    <w:p>
      <w:pPr>
        <w:pStyle w:val="FootnoteText"/>
      </w:pPr>
      <w:r>
        <w:rPr>
          <w:rStyle w:val="FootnoteReference"/>
        </w:rPr>
        <w:footnoteRef/>
      </w:r>
      <w:r>
        <w:t xml:space="preserve"> </w:t>
      </w:r>
      <w:r>
        <w:t xml:space="preserve">Päärni, R. A. (2026).</w:t>
      </w:r>
      <w:r>
        <w:t xml:space="preserve"> </w:t>
      </w:r>
      <w:r>
        <w:rPr>
          <w:iCs/>
          <w:i/>
        </w:rPr>
        <w:t xml:space="preserve">xAI Optimus Partnership Proposal v2.0.</w:t>
      </w:r>
      <w:r>
        <w:t xml:space="preserve"> </w:t>
      </w:r>
      <w:r>
        <w:t xml:space="preserve">Lifetime Oy. Local repository path:</w:t>
      </w:r>
      <w:r>
        <w:t xml:space="preserve"> </w:t>
      </w:r>
      <w:r>
        <w:rPr>
          <w:rStyle w:val="VerbatimChar"/>
        </w:rPr>
        <w:t xml:space="preserve">docs/sales/xAI-Optimus-Partnership-Proposal-v2.0.md</w:t>
      </w:r>
      <w:r>
        <w:t xml:space="preserve">. Dated 22 May 2026.</w:t>
      </w:r>
    </w:p>
  </w:footnote>
  <w:footnote w:id="343">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Partner artefact received 28 May 2026 (infographic) and described at</w:t>
      </w:r>
      <w:r>
        <w:t xml:space="preserve"> </w:t>
      </w:r>
      <w:hyperlink r:id="rId336">
        <w:r>
          <w:rPr>
            <w:rStyle w:val="Hyperlink"/>
          </w:rPr>
          <w:t xml:space="preserve">https://www.rightful.fi/</w:t>
        </w:r>
      </w:hyperlink>
      <w:r>
        <w:t xml:space="preserve">. Five-stage methodology: Identify → Assess → Plan → Implement → Monitor. Accessed 28 May 2026.</w:t>
      </w:r>
    </w:p>
  </w:footnote>
  <w:footnote w:id="344">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45">
        <w:r>
          <w:rPr>
            <w:rStyle w:val="Hyperlink"/>
          </w:rPr>
          <w:t xml:space="preserve">https://csrc.nist.gov/pubs/fips/203/final</w:t>
        </w:r>
      </w:hyperlink>
      <w:r>
        <w:t xml:space="preserve">.</w:t>
      </w:r>
    </w:p>
  </w:footnote>
  <w:footnote w:id="346">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7">
        <w:r>
          <w:rPr>
            <w:rStyle w:val="Hyperlink"/>
          </w:rPr>
          <w:t xml:space="preserve">https://csrc.nist.gov/pubs/fips/204/final</w:t>
        </w:r>
      </w:hyperlink>
      <w:r>
        <w:t xml:space="preserve">.</w:t>
      </w:r>
    </w:p>
  </w:footnote>
  <w:footnote w:id="348">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9">
        <w:r>
          <w:rPr>
            <w:rStyle w:val="Hyperlink"/>
          </w:rPr>
          <w:t xml:space="preserve">https://csrc.nist.gov/pubs/fips/205/final</w:t>
        </w:r>
      </w:hyperlink>
      <w:r>
        <w:t xml:space="preserve">.</w:t>
      </w:r>
    </w:p>
  </w:footnote>
  <w:footnote w:id="350">
    <w:p>
      <w:pPr>
        <w:pStyle w:val="FootnoteText"/>
      </w:pPr>
      <w:r>
        <w:rPr>
          <w:rStyle w:val="FootnoteReference"/>
        </w:rPr>
        <w:footnoteRef/>
      </w:r>
      <w:r>
        <w:t xml:space="preserve"> </w:t>
      </w:r>
      <w:r>
        <w:t xml:space="preserve">European Parliament and Council. (2024).</w:t>
      </w:r>
      <w:r>
        <w:t xml:space="preserve"> </w:t>
      </w:r>
      <w:r>
        <w:rPr>
          <w:iCs/>
          <w:i/>
        </w:rPr>
        <w:t xml:space="preserve">Regulation (EU) 2024/1689 of 13 June 2024 laying down harmonised rules on artificial intelligence (EU AI Act).</w:t>
      </w:r>
      <w:r>
        <w:t xml:space="preserve"> </w:t>
      </w:r>
      <w:r>
        <w:t xml:space="preserve">Articles 9, 12, 13, 14 cited.</w:t>
      </w:r>
    </w:p>
  </w:footnote>
  <w:footnote w:id="351">
    <w:p>
      <w:pPr>
        <w:pStyle w:val="FootnoteText"/>
      </w:pPr>
      <w:r>
        <w:rPr>
          <w:rStyle w:val="FootnoteReference"/>
        </w:rPr>
        <w:footnoteRef/>
      </w:r>
      <w:r>
        <w:t xml:space="preserve"> </w:t>
      </w:r>
      <w:r>
        <w:t xml:space="preserve">European Parliament and Council. (2024).</w:t>
      </w:r>
      <w:r>
        <w:t xml:space="preserve"> </w:t>
      </w:r>
      <w:r>
        <w:rPr>
          <w:iCs/>
          <w:i/>
        </w:rPr>
        <w:t xml:space="preserve">Regulation (EU) 2024/1183 amending Regulation (EU) No 910/2014 as regards establishing the European Digital Identity Framework (eIDAS 2.0).</w:t>
      </w:r>
    </w:p>
  </w:footnote>
  <w:footnote w:id="352">
    <w:p>
      <w:pPr>
        <w:pStyle w:val="FootnoteText"/>
      </w:pPr>
      <w:r>
        <w:rPr>
          <w:rStyle w:val="FootnoteReference"/>
        </w:rPr>
        <w:footnoteRef/>
      </w:r>
      <w:r>
        <w:t xml:space="preserve"> </w:t>
      </w:r>
      <w:r>
        <w:t xml:space="preserve">European Parliament and Council. (2023).</w:t>
      </w:r>
      <w:r>
        <w:t xml:space="preserve"> </w:t>
      </w:r>
      <w:r>
        <w:rPr>
          <w:iCs/>
          <w:i/>
        </w:rPr>
        <w:t xml:space="preserve">Regulation (EU) 2023/2854 on harmonised rules on fair access to and use of data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7">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8">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5" Target="https://csrc.nist.gov/pubs/fips/203/final" TargetMode="External" /><Relationship Type="http://schemas.openxmlformats.org/officeDocument/2006/relationships/hyperlink" Id="rId347" Target="https://csrc.nist.gov/pubs/fips/204/final" TargetMode="External" /><Relationship Type="http://schemas.openxmlformats.org/officeDocument/2006/relationships/hyperlink" Id="rId349"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1" Target="https://onelifetime.world/posts/sovereignty-field-note-2-three-pillars.html" TargetMode="External" /><Relationship Type="http://schemas.openxmlformats.org/officeDocument/2006/relationships/hyperlink" Id="rId336"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5" Target="../../../.workflows/agents/AGENT_SIGNAL_INSTRUCTIONS.md" TargetMode="External" /><Relationship Type="http://schemas.openxmlformats.org/officeDocument/2006/relationships/hyperlink" Id="rId318" Target="../../../Admin/ADMIN_MANUAL.md" TargetMode="External" /><Relationship Type="http://schemas.openxmlformats.org/officeDocument/2006/relationships/hyperlink" Id="rId316" Target="../../../AgentFoundry/AGENT_FOUNDRY_ARCHITECTURE_STANDARD.md" TargetMode="External" /><Relationship Type="http://schemas.openxmlformats.org/officeDocument/2006/relationships/hyperlink" Id="rId317" Target="../../../product-catalog/LWM/training-manual.md" TargetMode="External" /><Relationship Type="http://schemas.openxmlformats.org/officeDocument/2006/relationships/hyperlink" Id="rId314" Target="../fi/V3Thesis_FI.md" TargetMode="External" /><Relationship Type="http://schemas.openxmlformats.org/officeDocument/2006/relationships/hyperlink" Id="rId345" Target="https://csrc.nist.gov/pubs/fips/203/final" TargetMode="External" /><Relationship Type="http://schemas.openxmlformats.org/officeDocument/2006/relationships/hyperlink" Id="rId347" Target="https://csrc.nist.gov/pubs/fips/204/final" TargetMode="External" /><Relationship Type="http://schemas.openxmlformats.org/officeDocument/2006/relationships/hyperlink" Id="rId349"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31" Target="https://onelifetime.world/posts/sovereignty-field-note-2-three-pillars.html" TargetMode="External" /><Relationship Type="http://schemas.openxmlformats.org/officeDocument/2006/relationships/hyperlink" Id="rId336"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2026-07-25T04:33:50Z</dcterms:created>
  <dcterms:modified xsi:type="dcterms:W3CDTF">2026-07-25T04:33:50Z</dcterms:modified>
</cp:coreProperties>
</file>

<file path=docProps/custom.xml><?xml version="1.0" encoding="utf-8"?>
<Properties xmlns="http://schemas.openxmlformats.org/officeDocument/2006/custom-properties" xmlns:vt="http://schemas.openxmlformats.org/officeDocument/2006/docPropsVTypes"/>
</file>