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3.98</w:t>
      </w:r>
      <w:r>
        <w:t xml:space="preserve"> </w:t>
      </w:r>
      <w:r>
        <w:t xml:space="preserve">Sessions &amp; Modifications:</w:t>
      </w:r>
    </w:p>
    <w:p>
      <w:pPr>
        <w:numPr>
          <w:ilvl w:val="0"/>
          <w:numId w:val="1001"/>
        </w:numPr>
      </w:pPr>
      <w:r>
        <w:t xml:space="preserve">Version: 3.98 | Tool: Claude Code (Sonnet 5) | Session: claude/arvonluonnin-ajurit-research-hpiipo | Date: 06.08.2026 | Changes: Added §10.17 (Extending Article 50(4) Labelling to AI-Drafted and Machine-Translated Text). Implementation evidence per the Thesis Content Scope Rule; the scientific/market-signal counterpart is PHD_FIREHORSE §14.48 / Key Contribution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Lockstep version bump 3.93 -&gt; 3.94 per the CLAUDE.md Thesis Rule. No content change here: the v3.94 correction (marginal token cost on owned hardware is bounded, not zero; and the six-metric requirement before the depth argument may be used as a commercial claim) is market-signal and scientific framing, and lives in PHD_FIREHORSE §14.45.</w:t>
      </w:r>
    </w:p>
    <w:p>
      <w:pPr>
        <w:numPr>
          <w:ilvl w:val="0"/>
          <w:numId w:val="1001"/>
        </w:numPr>
      </w:pPr>
      <w:r>
        <w:t xml:space="preserve">Version: 3.93 | Tool: Claude Code | Session: claude/enterprise-ai-harness-0anl7s | Date: 30.07.2026 | Changes: Lockstep version bump 3.92 -&gt; 3.93 per the CLAUDE.md Thesis Rule. No content change here: the v3.93 addition (the two-operational-profile split, the dimensionable-knee argument, and the compute-plus-jurisdiction coupling) is market-signal and scientific framing, and lives in PHD_FIREHORSE §14.45 Finding 5 / Key Contribution #50.</w:t>
      </w:r>
    </w:p>
    <w:p>
      <w:pPr>
        <w:numPr>
          <w:ilvl w:val="0"/>
          <w:numId w:val="1001"/>
        </w:numPr>
      </w:pPr>
      <w:r>
        <w:t xml:space="preserve">Version: 3.92 | Tool: Claude Code | Session: claude/enterprise-ai-harness-0anl7s | Date: 30.07.2026 | Changes: Lockstep version bump 3.91 -&gt; 3.92 per the CLAUDE.md Thesis Rule. No content change here: the v3.92 addition (the harness-paywall / depth-arbitrage dialectic and its capacity-planning boundary condition) is market-signal and scientific framing, and lives in PHD_FIREHORSE §14.45 / Key Contribution #50.</w:t>
      </w:r>
    </w:p>
    <w:p>
      <w:pPr>
        <w:numPr>
          <w:ilvl w:val="0"/>
          <w:numId w:val="1001"/>
        </w:numPr>
      </w:pPr>
      <w:r>
        <w:t xml:space="preserve">Version: 3.91 | Tool: Claude Code | Session: claude/ollama-orchestration-merge-047pj7 | Date: 26.07.2026 | Changes: Lockstep version bump 3.90 → 3.91 per the CLAUDE.md Thesis Rule. No content change here: the v3.91 addition (a supply-concentration mitigation — non-NVIDIA fallback compute layer at testbed scale converting lock-in into a governed managed dependency) is market-signal/scientific framing and lives in PHD_FIREHORSE §14.44 Finding 3.</w:t>
      </w:r>
    </w:p>
    <w:p>
      <w:pPr>
        <w:numPr>
          <w:ilvl w:val="0"/>
          <w:numId w:val="1001"/>
        </w:numPr>
      </w:pPr>
      <w:r>
        <w:t xml:space="preserve">Version: 3.90 | Tool: Claude Code | Session: claude/ollama-orchestration-merge-047pj7 | Date: 26.07.2026 | Changes: Lockstep version bump 3.89 → 3.90 per the CLAUDE.md Thesis Rule. No content change here: the v3.90 change (Cosmos 3 Edge / DeepSeek-V4-Pro specs VERIFIED against primary sources 26.07.2026; §14.44 caveat upgraded + family-tier/physical-AI refinement + a FI-file placement fix) is market-signal/scientific framing and lives in PHD_FIREHORSE §14.44.</w:t>
      </w:r>
    </w:p>
    <w:p>
      <w:pPr>
        <w:numPr>
          <w:ilvl w:val="0"/>
          <w:numId w:val="1001"/>
        </w:numPr>
      </w:pPr>
      <w:r>
        <w:t xml:space="preserve">Version: 3.89 | Tool: Claude Code | Session: claude/ollama-orchestration-merge-047pj7 | Date: 26.07.2026 | Changes: Lockstep version bump 3.88 → 3.89 across all 4 thesis files per the CLAUDE.md Thesis Rule. No content change in this master’s thesis file: the v3.89 addition (NVIDIA Cosmos 3 Edge on-device world model as the build→adopt inflection for the Lifetime World Model, and the data-sovereign vs supply-concentrated tension) is a market-signal / scientific-framing contribution and per the §1.4 scope rule lives in PHD_FIREHORSE_EN.md §14.44 and Key Contribution #49. When/if Cosmos 3 Edge is actually wired into the stack, the implementation evidence will be added to this file’s Appendix E. Specs are external/unverified (user-reported NVIDIA announcements, July 2026). Companion: docs/field-notes/2026-07-26-cosmos-3-edge-lwm-build-adopt-inflection.md.</w:t>
      </w:r>
    </w:p>
    <w:p>
      <w:pPr>
        <w:numPr>
          <w:ilvl w:val="0"/>
          <w:numId w:val="1001"/>
        </w:numPr>
      </w:pPr>
      <w:r>
        <w:t xml:space="preserve">Version: 3.88 | Tool: Claude Code | Session: claude/ollama-orchestration-merge-047pj7 | Date: 26.07.2026 | Changes: Amended Appendix E (LWM Training Infrastructure) with a verified training-hardware reality subsection (implementation evidence per the §1.4 master-vs-PhD scope rule; the existing QLoRA pipeline text is preserved per Rule 12). Confirms the GN-100 is an edge INFERENCE / development node — feasible for QLoRA fine-tuning of small (~7–13B) models, NOT for full ~55B LWM pretraining (training footprint ~8–16× inference → hundreds of GB–TB vs 128 GB unified). Records the PR #1720 verification demoting the separate on-prem</w:t>
      </w:r>
      <w:r>
        <w:t xml:space="preserve"> </w:t>
      </w:r>
      <w:r>
        <w:t xml:space="preserve">“</w:t>
      </w:r>
      <w:r>
        <w:t xml:space="preserve">Acer Node</w:t>
      </w:r>
      <w:r>
        <w:t xml:space="preserve">”</w:t>
      </w:r>
      <w:r>
        <w:t xml:space="preserve"> </w:t>
      </w:r>
      <w:r>
        <w:t xml:space="preserve">training claim to Pending Hardware (no pipeline code, no such x86/2×RTX-4090 node, no go-live); cloud (GCP A3 Mega) is the only available full-training route. States the realistic pipeline (cloud pretrain/fine-tune → NVFP4 quantise for Blackwell → GN-100 edge inference) and the token-capital framing (moat = learning loop + private evals on owned fleet data, not a from-scratch 55B). Companion: docs/lab-notes/2026-07-26-lwm-training-hardware-reality.md. Lockstep 3.87→3.88 across all 4 thesis files; PHD files receive a lockstep-only entry; Learn/ HTML regeneration PENDING (Pandoc build).</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sectors-affected-by-fit-for-55"/>
    <w:p>
      <w:pPr>
        <w:pStyle w:val="Heading3"/>
      </w:pPr>
      <w:r>
        <w:t xml:space="preserve">3.1.1 The 16 Sectors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DB Schenker, DHL, and Nordic freight operators. (Uber, Bolt, Kela and Taksi Helsinki are</w:t>
      </w:r>
      <w:r>
        <w:t xml:space="preserve"> </w:t>
      </w:r>
      <w:r>
        <w:rPr>
          <w:bCs/>
          <w:b/>
        </w:rPr>
        <w:t xml:space="preserve">dispatch operators</w:t>
      </w:r>
      <w:r>
        <w:t xml:space="preserve"> </w:t>
      </w:r>
      <w:r>
        <w:t xml:space="preserve">of Lifetime Oy’s licensed transport operation in the role defined by Traficom — commercial counterparties, not software customers, and not part of this target list. See</w:t>
      </w:r>
      <w:r>
        <w:t xml:space="preserve"> </w:t>
      </w:r>
      <w:r>
        <w:rPr>
          <w:rStyle w:val="VerbatimChar"/>
        </w:rPr>
        <w:t xml:space="preserve">docs/TRACTION_CANONICAL.md</w:t>
      </w:r>
      <w:r>
        <w:t xml:space="preser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industry-carbon-profiles-16-eu-sectors"/>
    <w:p>
      <w:pPr>
        <w:pStyle w:val="Heading3"/>
      </w:pPr>
      <w:r>
        <w:t xml:space="preserve">Industry Carbon Profiles (16 EU Sectors)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captain-hats-make-dws-iq-stronger"/>
    <w:p>
      <w:pPr>
        <w:pStyle w:val="Heading3"/>
      </w:pPr>
      <w:r>
        <w:t xml:space="preserve">10.6.1 Why 16 Captain Hats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29"/>
        <w:gridCol w:w="3271"/>
        <w:gridCol w:w="1420"/>
        <w:gridCol w:w="3099"/>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inventory</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76"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6"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Start w:id="215" w:name="X6e33ad7af33a367c9272e0607eaaafb3b1f14c6"/>
    <w:p>
      <w:pPr>
        <w:pStyle w:val="Heading3"/>
      </w:pPr>
      <w:r>
        <w:t xml:space="preserve">LWM Training — Verified Hardware Reality (v3.88 amendment)</w:t>
      </w:r>
    </w:p>
    <w:p>
      <w:pPr>
        <w:pStyle w:val="FirstParagraph"/>
      </w:pPr>
      <w:r>
        <w:rPr>
          <w:iCs/>
          <w:i/>
        </w:rPr>
        <w:t xml:space="preserve">Implementation-evidence scope-correction to the pipeline above (per the §1.4 master-vs-PhD scope rule). The QLoRA per-industry fine-tuning described above — small models, ~16 h on the GN-100 — is feasible and remains the delivered path. This subsection makes explicit the boundary a July 2026 verification exposed; the text above is preserved unchanged (Rule 12).</w:t>
      </w:r>
    </w:p>
    <w:p>
      <w:pPr>
        <w:pStyle w:val="BodyText"/>
      </w:pPr>
      <w:r>
        <w:rPr>
          <w:bCs/>
          <w:b/>
        </w:rPr>
        <w:t xml:space="preserve">The GN-100 is an edge inference / development node, not a training cluster.</w:t>
      </w:r>
      <w:r>
        <w:t xml:space="preserve"> </w:t>
      </w:r>
      <w:r>
        <w:t xml:space="preserve">It fine-tunes (QLoRA) small models (~7–13B) and serves inference; it cannot pretrain the full ~55B Lifetime World Model. In training a 55B model needs optimiser states, gradients and activations at roughly 8–16× its inference footprint — hundreds of GB to TB with multi-GPU interconnect — against the GN-100’s 128 GB unified memory.</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full training is Pending Hardware.</w:t>
      </w:r>
      <w:r>
        <w:t xml:space="preserve"> </w:t>
      </w:r>
      <w:r>
        <w:t xml:space="preserve">A repository verification (PR #1720, 24.07.2026) found no training-pipeline code, no go-live record, and that the separately-described training node (x86, 2× RTX 4090) does not exist in the repository; the only documented Acer device is the Veriton GN-100 (ARM64 / GB10 edge inference and development). The Enterprise Model Training path that presented on-prem training as delivered was retagged</w:t>
      </w:r>
      <w:r>
        <w:t xml:space="preserve"> </w:t>
      </w:r>
      <w:r>
        <w:t xml:space="preserve">“</w:t>
      </w:r>
      <w:r>
        <w:t xml:space="preserve">Pending Hardware, not yet verified live.</w:t>
      </w:r>
      <w:r>
        <w:t xml:space="preserve">”</w:t>
      </w:r>
      <w:r>
        <w:t xml:space="preserve"> </w:t>
      </w:r>
      <w:r>
        <w:rPr>
          <w:bCs/>
          <w:b/>
        </w:rPr>
        <w:t xml:space="preserve">Cloud (GCP A3 Mega) remains the available full-training route.</w:t>
      </w:r>
    </w:p>
    <w:p>
      <w:pPr>
        <w:pStyle w:val="BodyText"/>
      </w:pPr>
      <w:r>
        <w:rPr>
          <w:bCs/>
          <w:b/>
        </w:rPr>
        <w:t xml:space="preserve">Realistic pipeline:</w:t>
      </w:r>
      <w:r>
        <w:t xml:space="preserve"> </w:t>
      </w:r>
      <w:r>
        <w:t xml:space="preserve">cloud pretrain / fine-tune (GCP A3 Mega or rented H100/H200) → NVFP4 quantisation co-designed for Blackwell → deploy to the GN-100 for edge inference. Training and inference are distinct workloads on distinct hardware.</w:t>
      </w:r>
    </w:p>
    <w:p>
      <w:pPr>
        <w:pStyle w:val="BodyText"/>
      </w:pPr>
      <w:r>
        <w:rPr>
          <w:bCs/>
          <w:b/>
        </w:rPr>
        <w:t xml:space="preserve">Token-capital framing:</w:t>
      </w:r>
      <w:r>
        <w:t xml:space="preserve"> </w:t>
      </w:r>
      <w:r>
        <w:t xml:space="preserve">the defensible asset is not a from-scratch 55B but the learning loop — private evals, an RL environment, and adaptation on owned operational (fleet) data. Full 55B pretraining is cloud CAPEX that does not by itself produce a moat; the owned loop does.</w:t>
      </w:r>
    </w:p>
    <w:p>
      <w:pPr>
        <w:pStyle w:val="BodyText"/>
      </w:pPr>
      <w:r>
        <w:t xml:space="preserve">Companion lab note:</w:t>
      </w:r>
      <w:r>
        <w:t xml:space="preserve"> </w:t>
      </w:r>
      <w:r>
        <w:rPr>
          <w:rStyle w:val="VerbatimChar"/>
        </w:rPr>
        <w:t xml:space="preserve">docs/lab-notes/2026-07-26-lwm-training-hardware-reality.md</w:t>
      </w:r>
      <w:r>
        <w:t xml:space="preserve">.</w:t>
      </w:r>
    </w:p>
    <w:bookmarkEnd w:id="215"/>
    <w:bookmarkEnd w:id="216"/>
    <w:bookmarkStart w:id="217"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7"/>
    <w:bookmarkStart w:id="222" w:name="appendix-g-glossary"/>
    <w:p>
      <w:pPr>
        <w:pStyle w:val="Heading2"/>
      </w:pPr>
      <w:r>
        <w:t xml:space="preserve">Appendix G: Glossary</w:t>
      </w:r>
    </w:p>
    <w:bookmarkStart w:id="218"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8"/>
    <w:bookmarkStart w:id="219"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9"/>
    <w:bookmarkStart w:id="220"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20"/>
    <w:bookmarkStart w:id="221"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1"/>
    <w:bookmarkEnd w:id="222"/>
    <w:bookmarkStart w:id="229" w:name="X913c5d6278562a2088bf833de44a465c3cc1013"/>
    <w:p>
      <w:pPr>
        <w:pStyle w:val="Heading2"/>
      </w:pPr>
      <w:r>
        <w:t xml:space="preserve">Appendix H: Automated PR Workflow (HIL Automation)</w:t>
      </w:r>
    </w:p>
    <w:bookmarkStart w:id="223"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3"/>
    <w:bookmarkStart w:id="224"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4"/>
    <w:bookmarkStart w:id="225"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5"/>
    <w:bookmarkStart w:id="226"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6"/>
    <w:bookmarkStart w:id="227"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7"/>
    <w:bookmarkStart w:id="228"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8"/>
    <w:bookmarkEnd w:id="229"/>
    <w:bookmarkStart w:id="236"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30"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30"/>
    <w:bookmarkStart w:id="231"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1"/>
    <w:bookmarkStart w:id="232"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2"/>
    <w:bookmarkStart w:id="233"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3"/>
    <w:bookmarkStart w:id="234"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4"/>
    <w:bookmarkStart w:id="235"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5"/>
    <w:bookmarkEnd w:id="236"/>
    <w:bookmarkStart w:id="243" w:name="Xe3d903b88289159370153659501fd21cf674755"/>
    <w:p>
      <w:pPr>
        <w:pStyle w:val="Heading2"/>
      </w:pPr>
      <w:r>
        <w:t xml:space="preserve">10.14 Agent System Hardening — Production Reliability</w:t>
      </w:r>
    </w:p>
    <w:bookmarkStart w:id="237"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7"/>
    <w:bookmarkStart w:id="238"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8"/>
    <w:bookmarkStart w:id="239"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9"/>
    <w:bookmarkStart w:id="240"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40"/>
    <w:bookmarkStart w:id="241"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1"/>
    <w:bookmarkStart w:id="242"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2"/>
    <w:bookmarkEnd w:id="243"/>
    <w:bookmarkStart w:id="328" w:name="Xc84102b46314a206f007a2278365afe61845d6d"/>
    <w:p>
      <w:pPr>
        <w:pStyle w:val="Heading2"/>
      </w:pPr>
      <w:r>
        <w:t xml:space="preserve">10.15 PostgreSQL Columnar HTAP Architecture — DWS Data Standard</w:t>
      </w:r>
    </w:p>
    <w:bookmarkStart w:id="244"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4"/>
    <w:bookmarkStart w:id="245"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5"/>
    <w:bookmarkStart w:id="246"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6"/>
    <w:bookmarkStart w:id="247"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7"/>
    <w:bookmarkStart w:id="248"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8"/>
    <w:bookmarkStart w:id="249"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9"/>
    <w:bookmarkStart w:id="257"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50"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50"/>
    <w:bookmarkStart w:id="251"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1"/>
    <w:bookmarkStart w:id="252"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2"/>
    <w:bookmarkStart w:id="253"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3"/>
    <w:bookmarkStart w:id="254"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4"/>
    <w:bookmarkStart w:id="255"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5"/>
    <w:bookmarkStart w:id="256"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6"/>
    <w:bookmarkEnd w:id="257"/>
    <w:bookmarkStart w:id="264" w:name="X82c3cb5b3f96223a00cb9a57ff5ba43a4ef193f"/>
    <w:p>
      <w:pPr>
        <w:pStyle w:val="Heading3"/>
      </w:pPr>
      <w:r>
        <w:t xml:space="preserve">10.17 Conclusion: The Carbon Balance Sheet as Compliance Infrastructure</w:t>
      </w:r>
    </w:p>
    <w:bookmarkStart w:id="258"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8"/>
    <w:bookmarkStart w:id="259"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9"/>
    <w:bookmarkStart w:id="260"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60"/>
    <w:bookmarkStart w:id="261"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1"/>
    <w:bookmarkStart w:id="262"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2"/>
    <w:bookmarkStart w:id="263"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3"/>
    <w:bookmarkEnd w:id="264"/>
    <w:bookmarkStart w:id="271" w:name="Xb4ae91a050c08ad4c62396846880f6708c37124"/>
    <w:p>
      <w:pPr>
        <w:pStyle w:val="Heading3"/>
      </w:pPr>
      <w:r>
        <w:t xml:space="preserve">10.18 LWM Sequencing Strategy — From Regulatory Intelligence to Physical AI</w:t>
      </w:r>
    </w:p>
    <w:bookmarkStart w:id="265"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5"/>
    <w:bookmarkStart w:id="266"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6"/>
    <w:bookmarkStart w:id="267"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7"/>
    <w:bookmarkStart w:id="268"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8"/>
    <w:bookmarkStart w:id="269"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9"/>
    <w:bookmarkStart w:id="270"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70"/>
    <w:bookmarkEnd w:id="271"/>
    <w:bookmarkStart w:id="276" w:name="Xffdfef13a0852165795bac8c15daacb1d6dc62a"/>
    <w:p>
      <w:pPr>
        <w:pStyle w:val="Heading3"/>
      </w:pPr>
      <w:r>
        <w:t xml:space="preserve">10.19 Thesis Versioning Strategy: v3.30.50 Metropolia Freeze</w:t>
      </w:r>
    </w:p>
    <w:bookmarkStart w:id="272"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2"/>
    <w:bookmarkStart w:id="273"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3"/>
    <w:bookmarkStart w:id="274"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4"/>
    <w:bookmarkStart w:id="275"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5"/>
    <w:bookmarkEnd w:id="276"/>
    <w:bookmarkStart w:id="283"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7"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7"/>
    <w:bookmarkStart w:id="278"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8"/>
    <w:bookmarkStart w:id="279"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9"/>
    <w:bookmarkStart w:id="280"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80"/>
    <w:bookmarkStart w:id="281"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1"/>
    <w:bookmarkStart w:id="282"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2"/>
    <w:bookmarkEnd w:id="283"/>
    <w:bookmarkStart w:id="292" w:name="X77ddb91e7fdb68b40cc1db7b9a0417293ce1dc7"/>
    <w:p>
      <w:pPr>
        <w:pStyle w:val="Heading3"/>
      </w:pPr>
      <w:r>
        <w:t xml:space="preserve">10.21 Doctoral Track Targeting: KYA Foundation, DWS 7 Objectives, and Dual-Use Expansion</w:t>
      </w:r>
    </w:p>
    <w:bookmarkStart w:id="284"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4"/>
    <w:bookmarkStart w:id="285"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5"/>
    <w:bookmarkStart w:id="286"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6"/>
    <w:bookmarkStart w:id="287"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7"/>
    <w:bookmarkStart w:id="288"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8"/>
    <w:bookmarkStart w:id="289"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9"/>
    <w:bookmarkStart w:id="290"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90"/>
    <w:bookmarkStart w:id="291"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1"/>
    <w:bookmarkEnd w:id="292"/>
    <w:bookmarkStart w:id="300"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3"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3"/>
    <w:bookmarkStart w:id="294"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4"/>
    <w:bookmarkStart w:id="295"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5"/>
    <w:bookmarkStart w:id="296"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6"/>
    <w:bookmarkStart w:id="297"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7"/>
    <w:bookmarkStart w:id="298"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8"/>
    <w:bookmarkStart w:id="299"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9"/>
    <w:bookmarkEnd w:id="300"/>
    <w:bookmarkStart w:id="308" w:name="Xe83162b5c540d5392c7c3cb92605c79fe18dc9a"/>
    <w:p>
      <w:pPr>
        <w:pStyle w:val="Heading3"/>
      </w:pPr>
      <w:r>
        <w:t xml:space="preserve">10.23 Three-Capital Accumulation Model: Token Capital, Human Capital, and Control Room Capital as Durable Assets of the DWS IQ 6 Operating Model</w:t>
      </w:r>
    </w:p>
    <w:bookmarkStart w:id="301"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1"/>
    <w:bookmarkStart w:id="302"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 spend;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2"/>
    <w:bookmarkStart w:id="303"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3"/>
    <w:bookmarkStart w:id="304"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4"/>
    <w:bookmarkStart w:id="305"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5"/>
    <w:bookmarkStart w:id="306" w:name="research-contribution-13"/>
    <w:p>
      <w:pPr>
        <w:pStyle w:val="Heading4"/>
      </w:pPr>
      <w:r>
        <w:t xml:space="preserve">10.23.6 Research Contribution</w:t>
      </w:r>
    </w:p>
    <w:p>
      <w:pPr>
        <w:pStyle w:val="FirstParagraph"/>
      </w:pPr>
      <w:r>
        <w:t xml:space="preserve">The three-capital model (since superseded by the 4P Capital Classes),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headcount,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and since superseded by the 4P Capital Classes.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6"/>
    <w:bookmarkStart w:id="307"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7"/>
    <w:bookmarkEnd w:id="308"/>
    <w:bookmarkStart w:id="321" w:name="X035343df090b4320fc94df62c99c12c4e54431b"/>
    <w:p>
      <w:pPr>
        <w:pStyle w:val="Heading3"/>
      </w:pPr>
      <w:r>
        <w:t xml:space="preserve">10.24 Capability Ontology and Three-Pillar Consulting GTM — From Agent Taxonomy to Enterprise Delivery</w:t>
      </w:r>
    </w:p>
    <w:bookmarkStart w:id="309"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9"/>
    <w:bookmarkStart w:id="310"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10"/>
    <w:bookmarkStart w:id="311"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1"/>
    <w:bookmarkStart w:id="312"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2"/>
    <w:bookmarkStart w:id="313"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3"/>
    <w:bookmarkStart w:id="314"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4"/>
    <w:bookmarkStart w:id="320"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5">
        <w:r>
          <w:rPr>
            <w:rStyle w:val="Hyperlink"/>
          </w:rPr>
          <w:t xml:space="preserve">Finnish Version</w:t>
        </w:r>
      </w:hyperlink>
    </w:p>
    <w:p>
      <w:pPr>
        <w:numPr>
          <w:ilvl w:val="0"/>
          <w:numId w:val="1115"/>
        </w:numPr>
        <w:pStyle w:val="Compact"/>
      </w:pPr>
      <w:hyperlink r:id="rId316">
        <w:r>
          <w:rPr>
            <w:rStyle w:val="Hyperlink"/>
          </w:rPr>
          <w:t xml:space="preserve">Agent Signal Instructions</w:t>
        </w:r>
      </w:hyperlink>
    </w:p>
    <w:p>
      <w:pPr>
        <w:numPr>
          <w:ilvl w:val="0"/>
          <w:numId w:val="1115"/>
        </w:numPr>
        <w:pStyle w:val="Compact"/>
      </w:pPr>
      <w:hyperlink r:id="rId317">
        <w:r>
          <w:rPr>
            <w:rStyle w:val="Hyperlink"/>
          </w:rPr>
          <w:t xml:space="preserve">AgentFoundry Architecture</w:t>
        </w:r>
      </w:hyperlink>
    </w:p>
    <w:p>
      <w:pPr>
        <w:numPr>
          <w:ilvl w:val="0"/>
          <w:numId w:val="1115"/>
        </w:numPr>
        <w:pStyle w:val="Compact"/>
      </w:pPr>
      <w:hyperlink r:id="rId318">
        <w:r>
          <w:rPr>
            <w:rStyle w:val="Hyperlink"/>
          </w:rPr>
          <w:t xml:space="preserve">LWM Training Manual</w:t>
        </w:r>
      </w:hyperlink>
    </w:p>
    <w:p>
      <w:pPr>
        <w:numPr>
          <w:ilvl w:val="0"/>
          <w:numId w:val="1115"/>
        </w:numPr>
        <w:pStyle w:val="Compact"/>
      </w:pPr>
      <w:hyperlink r:id="rId319">
        <w:r>
          <w:rPr>
            <w:rStyle w:val="Hyperlink"/>
          </w:rPr>
          <w:t xml:space="preserve">System Administrator Manual</w:t>
        </w:r>
      </w:hyperlink>
    </w:p>
    <w:bookmarkEnd w:id="320"/>
    <w:bookmarkEnd w:id="321"/>
    <w:bookmarkStart w:id="322"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2"/>
    <w:bookmarkStart w:id="327"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3"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3"/>
    <w:bookmarkStart w:id="324"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4"/>
    <w:bookmarkStart w:id="325"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1748"/>
        <w:gridCol w:w="6171"/>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5"/>
    <w:bookmarkStart w:id="326"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6"/>
    <w:bookmarkEnd w:id="327"/>
    <w:bookmarkEnd w:id="328"/>
    <w:bookmarkStart w:id="332" w:name="Xf76f02197654b50ad1c69730f6ce4333114a861"/>
    <w:p>
      <w:pPr>
        <w:pStyle w:val="Heading2"/>
      </w:pPr>
      <w:r>
        <w:t xml:space="preserve">10.16 EU AI Act Article 50 Content Marking — Implementation</w:t>
      </w:r>
    </w:p>
    <w:bookmarkStart w:id="329" w:name="motivation-6"/>
    <w:p>
      <w:pPr>
        <w:pStyle w:val="Heading3"/>
      </w:pPr>
      <w:r>
        <w:t xml:space="preserve">10.16.1 Motivation</w:t>
      </w:r>
    </w:p>
    <w:p>
      <w:pPr>
        <w:pStyle w:val="FirstParagraph"/>
      </w:pPr>
      <w:r>
        <w:t xml:space="preserve">On 2 August 2026 the AI Office and national market surveillance authorities began enforcing the AI Act, and the Article 50 transparency obligations entered application. DWS publishes AI-generated media on its own public surfaces, which places it in the Article 50(4)</w:t>
      </w:r>
      <w:r>
        <w:t xml:space="preserve"> </w:t>
      </w:r>
      <w:r>
        <w:rPr>
          <w:bCs/>
          <w:b/>
        </w:rPr>
        <w:t xml:space="preserve">deployer</w:t>
      </w:r>
      <w:r>
        <w:t xml:space="preserve"> </w:t>
      </w:r>
      <w:r>
        <w:t xml:space="preserve">role: deepfakes and AI-generated text on matters of public interest published without human review must carry a clear and perceivable label. The obligation is not deferred — unlike the Article 50(2) provider marking duty, which the AI Omnibus defers to December 2026 for generative systems placed on the market before 2 August 2026, deepfake labelling received no equivalent grace period.</w:t>
      </w:r>
    </w:p>
    <w:p>
      <w:pPr>
        <w:pStyle w:val="BodyText"/>
      </w:pPr>
      <w:r>
        <w:t xml:space="preserve">An audit of every public DWS surface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identified the exposed assets: two AI-generated presenter videos and four AI-generated persona portraits.</w:t>
      </w:r>
    </w:p>
    <w:bookmarkEnd w:id="329"/>
    <w:bookmarkStart w:id="330" w:name="Xbc040206af05a4f3ecc073bbcb4f2312fd22f8e"/>
    <w:p>
      <w:pPr>
        <w:pStyle w:val="Heading3"/>
      </w:pPr>
      <w:r>
        <w:t xml:space="preserve">10.16.2 Implementation: the mark is composited into the media, not the page</w:t>
      </w:r>
    </w:p>
    <w:p>
      <w:pPr>
        <w:pStyle w:val="FirstParagraph"/>
      </w:pPr>
      <w:r>
        <w:t xml:space="preserve">The first implementation attempt placed the EU</w:t>
      </w:r>
      <w:r>
        <w:t xml:space="preserve"> </w:t>
      </w:r>
      <w:r>
        <w:rPr>
          <w:bCs/>
          <w:b/>
        </w:rPr>
        <w:t xml:space="preserve">AI GENERATED</w:t>
      </w:r>
      <w:r>
        <w:t xml:space="preserve"> </w:t>
      </w:r>
      <w:r>
        <w:t xml:space="preserve">icon as an HTML/CSS overlay positioned above the</w:t>
      </w:r>
      <w:r>
        <w:t xml:space="preserve"> </w:t>
      </w:r>
      <w:r>
        <w:rPr>
          <w:rStyle w:val="VerbatimChar"/>
        </w:rPr>
        <w:t xml:space="preserve">&lt;video&gt;</w:t>
      </w:r>
      <w:r>
        <w:t xml:space="preserve"> </w:t>
      </w:r>
      <w:r>
        <w:t xml:space="preserve">element. This satisfies perceivability while the visitor is on the page and fails the moment the artefact leaves it: a downloaded or re-shared copy carries no label, because the label was a property of the page rather than of the media.</w:t>
      </w:r>
    </w:p>
    <w:p>
      <w:pPr>
        <w:pStyle w:val="BodyText"/>
      </w:pPr>
      <w:r>
        <w:t xml:space="preserve">The shipped implementation composites the icon into the video frames before publication, using an</w:t>
      </w:r>
      <w:r>
        <w:t xml:space="preserve"> </w:t>
      </w:r>
      <w:r>
        <w:rPr>
          <w:rStyle w:val="VerbatimChar"/>
        </w:rPr>
        <w:t xml:space="preserve">ffmpeg</w:t>
      </w:r>
      <w:r>
        <w:t xml:space="preserve"> </w:t>
      </w:r>
      <w:r>
        <w:t xml:space="preserve">overlay filter (icon scaled to ~22% of frame width, bottom-right, 24 px margin, present for the full duration), then derives the poster frame and the VP9/WebM fallback from the already-marked master so every delivered representation carries the mark. Each composite was verified visually — a frame extracted and inspected — before publication, rather than assumed from a successful exit code.</w:t>
      </w:r>
    </w:p>
    <w:p>
      <w:pPr>
        <w:pStyle w:val="BodyText"/>
      </w:pPr>
      <w:r>
        <w:t xml:space="preserve">The persona portraits were resolved differently. Because the AI-persona team section was being replaced by real named industry roles, the section was</w:t>
      </w:r>
      <w:r>
        <w:t xml:space="preserve"> </w:t>
      </w:r>
      <w:r>
        <w:rPr>
          <w:bCs/>
          <w:b/>
        </w:rPr>
        <w:t xml:space="preserve">retired</w:t>
      </w:r>
      <w:r>
        <w:t xml:space="preserve"> </w:t>
      </w:r>
      <w:r>
        <w:t xml:space="preserve">rather than labelled: removing the assets eliminated the exposure without investing marking effort in content scheduled for deletion. This is recorded because it is a general result — where exposed content is already slated for replacement, retirement dominates labelling on both cost and honesty.</w:t>
      </w:r>
    </w:p>
    <w:bookmarkEnd w:id="330"/>
    <w:bookmarkStart w:id="331" w:name="the-engineering-rule-this-produced"/>
    <w:p>
      <w:pPr>
        <w:pStyle w:val="Heading3"/>
      </w:pPr>
      <w:r>
        <w:t xml:space="preserve">10.16.3 The engineering rule this produced</w:t>
      </w:r>
    </w:p>
    <w:p>
      <w:pPr>
        <w:pStyle w:val="BlockText"/>
      </w:pPr>
      <w:r>
        <w:t xml:space="preserve">A transparency marking implemented at the presentation layer is not a marking; it is a caption.</w:t>
      </w:r>
    </w:p>
    <w:p>
      <w:pPr>
        <w:pStyle w:val="FirstParagraph"/>
      </w:pPr>
      <w:r>
        <w:t xml:space="preserve">Article 50’s placement requirement is, in engineering terms, a demand for</w:t>
      </w:r>
      <w:r>
        <w:t xml:space="preserve"> </w:t>
      </w:r>
      <w:r>
        <w:rPr>
          <w:bCs/>
          <w:b/>
        </w:rPr>
        <w:t xml:space="preserve">provenance that survives egress</w:t>
      </w:r>
      <w:r>
        <w:t xml:space="preserve"> </w:t>
      </w:r>
      <w:r>
        <w:t xml:space="preserve">— the same property C2PA content credentials assert for media and the same property the Article 12 evidence chain requires of agent logs. A label that lives in the rendering context cannot satisfy it. Any marking implementation must therefore be evaluated against the question</w:t>
      </w:r>
      <w:r>
        <w:t xml:space="preserve"> </w:t>
      </w:r>
      <w:r>
        <w:rPr>
          <w:iCs/>
          <w:i/>
        </w:rPr>
        <w:t xml:space="preserve">“</w:t>
      </w:r>
      <w:r>
        <w:rPr>
          <w:iCs/>
          <w:i/>
        </w:rPr>
        <w:t xml:space="preserve">does this survive download and re-share?</w:t>
      </w:r>
      <w:r>
        <w:rPr>
          <w:iCs/>
          <w:i/>
        </w:rPr>
        <w:t xml:space="preserve">”</w:t>
      </w:r>
      <w:r>
        <w:t xml:space="preserve">, and only in-media compositing (or a cryptographically bound sidecar the consuming surface is obliged to honour) passes.</w:t>
      </w:r>
    </w:p>
    <w:p>
      <w:pPr>
        <w:pStyle w:val="BodyText"/>
      </w:pPr>
      <w:r>
        <w:t xml:space="preserve">The corresponding operational finding is that</w:t>
      </w:r>
      <w:r>
        <w:t xml:space="preserve"> </w:t>
      </w:r>
      <w:r>
        <w:rPr>
          <w:bCs/>
          <w:b/>
        </w:rPr>
        <w:t xml:space="preserve">deployer-side labelling, not provider-side watermarking, is the near-term binding constraint</w:t>
      </w:r>
      <w:r>
        <w:t xml:space="preserve">: the half of Article 50 that is cheap to implement and immediately verifiable by a regulator is the half with no grace period.</w:t>
      </w:r>
    </w:p>
    <w:p>
      <w:pPr>
        <w:pStyle w:val="BodyText"/>
      </w:pPr>
      <w:r>
        <w:rPr>
          <w:iCs/>
          <w:i/>
        </w:rPr>
        <w:t xml:space="preserve">Field note:</w:t>
      </w:r>
      <w:r>
        <w:rPr>
          <w:iCs/>
          <w:i/>
        </w:rPr>
        <w:t xml:space="preserve"> </w:t>
      </w:r>
      <w:r>
        <w:rPr>
          <w:rStyle w:val="VerbatimChar"/>
          <w:iCs/>
          <w:i/>
        </w:rPr>
        <w:t xml:space="preserve">docs/field-notes/2026-07-31-article-50-transparency-marking-audit.md</w:t>
      </w:r>
      <w:r>
        <w:rPr>
          <w:iCs/>
          <w:i/>
        </w:rPr>
        <w:t xml:space="preserve"> </w:t>
      </w:r>
      <w:r>
        <w:rPr>
          <w:iCs/>
          <w:i/>
        </w:rPr>
        <w:t xml:space="preserve">and</w:t>
      </w:r>
      <w:r>
        <w:rPr>
          <w:iCs/>
          <w:i/>
        </w:rPr>
        <w:t xml:space="preserve"> </w:t>
      </w:r>
      <w:r>
        <w:rPr>
          <w:rStyle w:val="VerbatimChar"/>
          <w:iCs/>
          <w:i/>
        </w:rPr>
        <w:t xml:space="preserve">docs/field-notes/2026-08-01-persona-retirement-and-reveal.md</w:t>
      </w:r>
      <w:r>
        <w:rPr>
          <w:iCs/>
          <w:i/>
        </w:rPr>
        <w:t xml:space="preserve">. Scientific restatement and the obligation–capability analysis: PHD_FIREHORSE §14.46 (Key Contribution #51).</w:t>
      </w:r>
    </w:p>
    <w:p>
      <w:r>
        <w:pict>
          <v:rect style="width:0;height:1.5pt" o:hralign="center" o:hrstd="t" o:hr="t"/>
        </w:pict>
      </w:r>
    </w:p>
    <w:bookmarkEnd w:id="331"/>
    <w:bookmarkEnd w:id="332"/>
    <w:bookmarkStart w:id="336" w:name="X3a17b2053d7b63791f6db13e6a0a658c6b5ea99"/>
    <w:p>
      <w:pPr>
        <w:pStyle w:val="Heading2"/>
      </w:pPr>
      <w:r>
        <w:t xml:space="preserve">10.17 Extending Article 50(4) Labelling to AI-Drafted and Machine-Translated Text</w:t>
      </w:r>
    </w:p>
    <w:bookmarkStart w:id="333" w:name="motivation-7"/>
    <w:p>
      <w:pPr>
        <w:pStyle w:val="Heading3"/>
      </w:pPr>
      <w:r>
        <w:t xml:space="preserve">10.17.1 Motivation</w:t>
      </w:r>
    </w:p>
    <w:p>
      <w:pPr>
        <w:pStyle w:val="FirstParagraph"/>
      </w:pPr>
      <w:r>
        <w:t xml:space="preserve">§10.16 addressed AI-generated media. On 6 August 2026 a five-language field-note post (EN/FI/SV/DE/FR) was drafted, approved, and published —</w:t>
      </w:r>
      <w:r>
        <w:t xml:space="preserve"> </w:t>
      </w:r>
      <w:r>
        <w:rPr>
          <w:rStyle w:val="VerbatimChar"/>
        </w:rPr>
        <w:t xml:space="preserve">onelifetime.world/posts/arvonluonnin-ajurit-2026*.html</w:t>
      </w:r>
      <w:r>
        <w:t xml:space="preserve">, mapping directly to the value-creation-drivers content of</w:t>
      </w:r>
      <w:r>
        <w:t xml:space="preserve"> </w:t>
      </w:r>
      <w:r>
        <w:rPr>
          <w:rStyle w:val="VerbatimChar"/>
        </w:rPr>
        <w:t xml:space="preserve">docs/KONSULTOINNIN_KASIKIRJA_2026.md</w:t>
      </w:r>
      <w:r>
        <w:t xml:space="preserve"> </w:t>
      </w:r>
      <w:r>
        <w:t xml:space="preserve">§2.1/§2.2. The EN and FI variants were agent-drafted; SV, DE and FR were produced by an external LLM (Google Gemini) on HIC instruction and adapted into the page templates. No variant had a named human reviewer before publication, and all five carry regulatory content in the body text itself (Article 12/50 dates, CBAM, ETS2, KYA-S1). This raised the question §10.16 left open for text rather than media: does the same deployer duty, and the same design rule, apply?</w:t>
      </w:r>
    </w:p>
    <w:bookmarkEnd w:id="333"/>
    <w:bookmarkStart w:id="334" w:name="X22617c256bdb5bef1030221fc57e53dca8dd6e9"/>
    <w:p>
      <w:pPr>
        <w:pStyle w:val="Heading3"/>
      </w:pPr>
      <w:r>
        <w:t xml:space="preserve">10.17.2 Implementation: default-on labelling as a build-time invariant</w:t>
      </w:r>
    </w:p>
    <w:p>
      <w:pPr>
        <w:pStyle w:val="FirstParagraph"/>
      </w:pPr>
      <w:r>
        <w:rPr>
          <w:rStyle w:val="VerbatimChar"/>
        </w:rPr>
        <w:t xml:space="preserve">DWS_BLOG_STANDARD.md</w:t>
      </w:r>
      <w:r>
        <w:t xml:space="preserve"> </w:t>
      </w:r>
      <w:r>
        <w:t xml:space="preserve">§3.2.1 already specified a stricter-than-statutory four-condition test for removing a label (named reviewer, demonstrated amend/reject authority, publicly reachable contact, explicit removal action) — written after §10.16’s media work, never yet exercised against a live publish. This session was the first test:</w:t>
      </w:r>
      <w:r>
        <w:t xml:space="preserve"> </w:t>
      </w:r>
      <w:r>
        <w:rPr>
          <w:rStyle w:val="VerbatimChar"/>
        </w:rPr>
        <w:t xml:space="preserve">scripts/build-arvonluonnin-ajurit-post.mjs</w:t>
      </w:r>
      <w:r>
        <w:t xml:space="preserve"> </w:t>
      </w:r>
      <w:r>
        <w:t xml:space="preserve">renders all five approved drafts (</w:t>
      </w:r>
      <w:r>
        <w:rPr>
          <w:rStyle w:val="VerbatimChar"/>
        </w:rPr>
        <w:t xml:space="preserve">docs/blog-drafts/arvonluonnin-ajurit-2026*.md</w:t>
      </w:r>
      <w:r>
        <w:t xml:space="preserve">) to HTML and unconditionally injects a per-language</w:t>
      </w:r>
      <w:r>
        <w:t xml:space="preserve"> </w:t>
      </w:r>
      <w:r>
        <w:rPr>
          <w:rStyle w:val="VerbatimChar"/>
        </w:rPr>
        <w:t xml:space="preserve">&lt;aside class="ai-notice"&gt;</w:t>
      </w:r>
      <w:r>
        <w:t xml:space="preserve"> </w:t>
      </w:r>
      <w:r>
        <w:t xml:space="preserve">immediately after</w:t>
      </w:r>
      <w:r>
        <w:t xml:space="preserve"> </w:t>
      </w:r>
      <w:r>
        <w:rPr>
          <w:rStyle w:val="VerbatimChar"/>
        </w:rPr>
        <w:t xml:space="preserve">&lt;/header&gt;</w:t>
      </w:r>
      <w:r>
        <w:t xml:space="preserve">, before the article body — sourced from a per-language notice table in the script rather than authored per post. None of the four removal conditions had been met for any of the five pages at publish time, so all five ship with the notice.</w:t>
      </w:r>
    </w:p>
    <w:p>
      <w:pPr>
        <w:pStyle w:val="BodyText"/>
      </w:pPr>
      <w:r>
        <w:t xml:space="preserve">One implementation detail mattered in practice: the HIC’s own conversational approval of the drafts (satisfying the Rule 13 / §3.3 publication gate) was initially treated as if it also cleared the labelling question. It does not. The publication gate asks</w:t>
      </w:r>
      <w:r>
        <w:t xml:space="preserve"> </w:t>
      </w:r>
      <w:r>
        <w:t xml:space="preserve">“</w:t>
      </w:r>
      <w:r>
        <w:t xml:space="preserve">did a human read and approve this text before it ships</w:t>
      </w:r>
      <w:r>
        <w:t xml:space="preserve">”</w:t>
      </w:r>
      <w:r>
        <w:t xml:space="preserve">; the labelling gate asks</w:t>
      </w:r>
      <w:r>
        <w:t xml:space="preserve"> </w:t>
      </w:r>
      <w:r>
        <w:t xml:space="preserve">“</w:t>
      </w:r>
      <w:r>
        <w:t xml:space="preserve">is there a named, publicly-reachable, accountable reviewer credited on this specific page.</w:t>
      </w:r>
      <w:r>
        <w:t xml:space="preserve">”</w:t>
      </w:r>
      <w:r>
        <w:t xml:space="preserve"> </w:t>
      </w:r>
      <w:r>
        <w:t xml:space="preserve">The first happened; the second did not. Both drafts and the build script were corrected to keep the notice on for all five pages rather than assume the conversational approval discharged the labelling duty.</w:t>
      </w:r>
    </w:p>
    <w:bookmarkEnd w:id="334"/>
    <w:bookmarkStart w:id="335" w:name="the-engineering-rule-this-produced-1"/>
    <w:p>
      <w:pPr>
        <w:pStyle w:val="Heading3"/>
      </w:pPr>
      <w:r>
        <w:t xml:space="preserve">10.17.3 The engineering rule this produced</w:t>
      </w:r>
    </w:p>
    <w:p>
      <w:pPr>
        <w:pStyle w:val="BlockText"/>
      </w:pPr>
      <w:r>
        <w:t xml:space="preserve">A publication-approval gate and a content-provenance labelling gate are not the same instrument, even when the same person operates both in the same conversation.</w:t>
      </w:r>
    </w:p>
    <w:p>
      <w:pPr>
        <w:pStyle w:val="FirstParagraph"/>
      </w:pPr>
      <w:r>
        <w:t xml:space="preserve">The corollary of §10.16’s compositing rule (</w:t>
      </w:r>
      <w:r>
        <w:t xml:space="preserve">“</w:t>
      </w:r>
      <w:r>
        <w:t xml:space="preserve">mark the artefact, not the page</w:t>
      </w:r>
      <w:r>
        <w:t xml:space="preserve">”</w:t>
      </w:r>
      <w:r>
        <w:t xml:space="preserve">) for a multi-language text pipeline is:</w:t>
      </w:r>
      <w:r>
        <w:t xml:space="preserve"> </w:t>
      </w:r>
      <w:r>
        <w:rPr>
          <w:bCs/>
          <w:b/>
        </w:rPr>
        <w:t xml:space="preserve">attach the label at build time from a table, not at authoring time by memory.</w:t>
      </w:r>
      <w:r>
        <w:t xml:space="preserve"> </w:t>
      </w:r>
      <w:r>
        <w:t xml:space="preserve">A human author asked to remember a label on five separately-drafted pages will forget it on at least one; a build script that cannot render a page without consulting the notice table cannot forget. This is the same move as compositing the EU icon into video frames — moving the invariant from human memory into the artefact-producing pipeline.</w:t>
      </w:r>
    </w:p>
    <w:p>
      <w:pPr>
        <w:pStyle w:val="BodyText"/>
      </w:pP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 Scientific restatement and the obligation–capability analysis: PHD_FIREHORSE §14.48 (Key Contribution #53).</w:t>
      </w:r>
    </w:p>
    <w:p>
      <w:r>
        <w:pict>
          <v:rect style="width:0;height:1.5pt" o:hralign="center" o:hrstd="t" o:hr="t"/>
        </w:pict>
      </w:r>
    </w:p>
    <w:bookmarkEnd w:id="335"/>
    <w:bookmarkEnd w:id="336"/>
    <w:bookmarkStart w:id="375"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62"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37"/>
            </w:r>
            <w:r>
              <w:t xml:space="preserve">,</w:t>
            </w:r>
            <w:r>
              <w:t xml:space="preserve"> </w:t>
            </w: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2"/>
            </w:r>
            <w:r>
              <w:t xml:space="preserve">,</w:t>
            </w:r>
            <w:r>
              <w:t xml:space="preserve"> </w:t>
            </w:r>
            <w:r>
              <w:rPr>
                <w:rStyle w:val="FootnoteReference"/>
              </w:rPr>
              <w:footnoteReference w:id="343"/>
            </w:r>
            <w:r>
              <w:t xml:space="preserve">,</w:t>
            </w:r>
            <w:r>
              <w:t xml:space="preserve"> </w:t>
            </w:r>
            <w:r>
              <w:rPr>
                <w:rStyle w:val="FootnoteReference"/>
              </w:rPr>
              <w:footnoteReference w:id="344"/>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46"/>
            </w:r>
            <w:r>
              <w:t xml:space="preserve">,</w:t>
            </w:r>
            <w:r>
              <w:t xml:space="preserve"> </w:t>
            </w:r>
            <w:r>
              <w:rPr>
                <w:rStyle w:val="FootnoteReference"/>
              </w:rPr>
              <w:footnoteReference w:id="347"/>
            </w:r>
          </w:p>
        </w:tc>
      </w:tr>
      <w:tr>
        <w:tc>
          <w:tcPr/>
          <w:p>
            <w:pPr>
              <w:pStyle w:val="Compact"/>
              <w:jc w:val="left"/>
            </w:pPr>
            <w:r>
              <w:t xml:space="preserve">Pilot / case-study chapter (Outokumpu Tier-1)</w:t>
            </w:r>
          </w:p>
        </w:tc>
        <w:tc>
          <w:tcPr/>
          <w:p>
            <w:pPr>
              <w:pStyle w:val="Compact"/>
              <w:jc w:val="left"/>
            </w:pPr>
            <w:r>
              <w:rPr>
                <w:rStyle w:val="FootnoteReference"/>
              </w:rPr>
              <w:footnoteReference w:id="348"/>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9"/>
            </w:r>
          </w:p>
        </w:tc>
      </w:tr>
      <w:tr>
        <w:tc>
          <w:tcPr/>
          <w:p>
            <w:pPr>
              <w:pStyle w:val="Compact"/>
              <w:jc w:val="left"/>
            </w:pPr>
            <w:r>
              <w:t xml:space="preserve">Partnerships chapter (xAI etc.)</w:t>
            </w:r>
          </w:p>
        </w:tc>
        <w:tc>
          <w:tcPr/>
          <w:p>
            <w:pPr>
              <w:pStyle w:val="Compact"/>
              <w:jc w:val="left"/>
            </w:pPr>
            <w:r>
              <w:rPr>
                <w:rStyle w:val="FootnoteReference"/>
              </w:rPr>
              <w:footnoteReference w:id="350"/>
            </w:r>
            <w:r>
              <w:t xml:space="preserve">,</w:t>
            </w:r>
            <w:r>
              <w:t xml:space="preserve"> </w:t>
            </w:r>
            <w:r>
              <w:rPr>
                <w:rStyle w:val="FootnoteReference"/>
              </w:rPr>
              <w:footnoteReference w:id="351"/>
            </w:r>
          </w:p>
        </w:tc>
      </w:tr>
      <w:tr>
        <w:tc>
          <w:tcPr/>
          <w:p>
            <w:pPr>
              <w:pStyle w:val="Compact"/>
              <w:jc w:val="left"/>
            </w:pPr>
            <w:r>
              <w:t xml:space="preserve">Quantum / cryptography chapter</w:t>
            </w:r>
          </w:p>
        </w:tc>
        <w:tc>
          <w:tcPr/>
          <w:p>
            <w:pPr>
              <w:pStyle w:val="Compact"/>
              <w:jc w:val="left"/>
            </w:pPr>
            <w:r>
              <w:rPr>
                <w:rStyle w:val="FootnoteReference"/>
              </w:rPr>
              <w:footnoteReference w:id="352"/>
            </w:r>
            <w:r>
              <w:t xml:space="preserve">,</w:t>
            </w:r>
            <w:r>
              <w:t xml:space="preserve"> </w:t>
            </w:r>
            <w:r>
              <w:rPr>
                <w:rStyle w:val="FootnoteReference"/>
              </w:rPr>
              <w:footnoteReference w:id="353"/>
            </w:r>
            <w:r>
              <w:t xml:space="preserve">,</w:t>
            </w:r>
            <w:r>
              <w:t xml:space="preserve"> </w:t>
            </w:r>
            <w:r>
              <w:rPr>
                <w:rStyle w:val="FootnoteReference"/>
              </w:rPr>
              <w:footnoteReference w:id="355"/>
            </w:r>
            <w:r>
              <w:t xml:space="preserve">,</w:t>
            </w:r>
            <w:r>
              <w:t xml:space="preserve"> </w:t>
            </w:r>
            <w:r>
              <w:rPr>
                <w:rStyle w:val="FootnoteReference"/>
              </w:rPr>
              <w:footnoteReference w:id="357"/>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9"/>
            </w:r>
            <w:r>
              <w:t xml:space="preserve">,</w:t>
            </w:r>
            <w:r>
              <w:t xml:space="preserve"> </w:t>
            </w:r>
            <w:r>
              <w:rPr>
                <w:rStyle w:val="FootnoteReference"/>
              </w:rPr>
              <w:footnoteReference w:id="360"/>
            </w:r>
            <w:r>
              <w:t xml:space="preserve">,</w:t>
            </w:r>
            <w:r>
              <w:t xml:space="preserve"> </w:t>
            </w:r>
            <w:r>
              <w:rPr>
                <w:rStyle w:val="FootnoteReference"/>
              </w:rPr>
              <w:footnoteReference w:id="361"/>
            </w:r>
          </w:p>
        </w:tc>
      </w:tr>
    </w:tbl>
    <w:bookmarkEnd w:id="362"/>
    <w:bookmarkStart w:id="363" w:name="footnote-bibliography"/>
    <w:p>
      <w:pPr>
        <w:pStyle w:val="Heading3"/>
      </w:pPr>
      <w:r>
        <w:t xml:space="preserve">Footnote bibliography</w:t>
      </w:r>
    </w:p>
    <w:bookmarkEnd w:id="363"/>
    <w:bookmarkStart w:id="370" w:name="Xbb829561309baa2ae1ac17cca571f56b8a58cc9"/>
    <w:p>
      <w:pPr>
        <w:pStyle w:val="Heading3"/>
      </w:pPr>
      <w:r>
        <w:t xml:space="preserve">10.25 Polyglot Observability in Production: Aspire Dashboard Adoption and the Silent-Telemetry Incident</w:t>
      </w:r>
    </w:p>
    <w:bookmarkStart w:id="364"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64"/>
    <w:bookmarkStart w:id="365"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65"/>
    <w:bookmarkStart w:id="366"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66"/>
    <w:bookmarkStart w:id="367"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67"/>
    <w:bookmarkStart w:id="368"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68"/>
    <w:bookmarkStart w:id="369"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9"/>
    <w:bookmarkEnd w:id="370"/>
    <w:bookmarkStart w:id="374" w:name="X604b9f522d3f03f9824dc613faad9b8a4830105"/>
    <w:p>
      <w:pPr>
        <w:pStyle w:val="Heading3"/>
      </w:pPr>
      <w:r>
        <w:t xml:space="preserve">10.28 Trajectory-Aware Model Escalation: The DWS Factory Router</w:t>
      </w:r>
    </w:p>
    <w:p>
      <w:pPr>
        <w:pStyle w:val="FirstParagraph"/>
      </w:pPr>
      <w:r>
        <w:t xml:space="preserve">DWS IQ 6 runs agents on a cost ladder: cheap models take every task first, and capability is bought only when evidence demands it. Until August 2026 that escalation was manual — an operator noticed a stuck session and re-ran it on a stronger model. This section records the implementation that mechanized the decision, and the audit-driven adopt/adapt path that produced it.</w:t>
      </w:r>
    </w:p>
    <w:bookmarkStart w:id="371" w:name="the-adoptadapt-decision"/>
    <w:p>
      <w:pPr>
        <w:pStyle w:val="Heading4"/>
      </w:pPr>
      <w:r>
        <w:t xml:space="preserve">10.28.1 The adopt/adapt decision</w:t>
      </w:r>
    </w:p>
    <w:p>
      <w:pPr>
        <w:pStyle w:val="FirstParagraph"/>
      </w:pPr>
      <w:r>
        <w:t xml:space="preserve">The candidate was SageRoute (codejunkie99/sageroute, MIT), a trajectory-aware routing proxy published July 2026. A source-level audit (field note</w:t>
      </w:r>
      <w:r>
        <w:t xml:space="preserve"> </w:t>
      </w:r>
      <w:r>
        <w:rPr>
          <w:rStyle w:val="VerbatimChar"/>
        </w:rPr>
        <w:t xml:space="preserve">docs/field-notes/2026-08-03-agent-factory-sageroute-audit.md</w:t>
      </w:r>
      <w:r>
        <w:t xml:space="preserve">) found the deterministic core excellent and the deployment posture unacceptable for DWS on three grounds: every routing verdict shipped task-text and tool-output fragments to an external decision API (Levanto Sage) with no discoverable GDPR posture; the OAuth module impersonated first-party CLI clients to route consumer-subscription quota through the proxy — a provider-ToS violation vector; and the codebase was two days old with a single observed live escalation. The decision — REJECT deployment, ADAPT the deterministic pieces — was ratified by the HIC and shipped the same day as</w:t>
      </w:r>
      <w:r>
        <w:t xml:space="preserve"> </w:t>
      </w:r>
      <w:r>
        <w:rPr>
          <w:rStyle w:val="VerbatimChar"/>
        </w:rPr>
        <w:t xml:space="preserve">src/factory/</w:t>
      </w:r>
      <w:r>
        <w:t xml:space="preserve">.</w:t>
      </w:r>
    </w:p>
    <w:bookmarkEnd w:id="371"/>
    <w:bookmarkStart w:id="372" w:name="architecture-1"/>
    <w:p>
      <w:pPr>
        <w:pStyle w:val="Heading4"/>
      </w:pPr>
      <w:r>
        <w:t xml:space="preserve">10.28.2 Architecture</w:t>
      </w:r>
    </w:p>
    <w:p>
      <w:pPr>
        <w:pStyle w:val="FirstParagraph"/>
      </w:pPr>
      <w:r>
        <w:t xml:space="preserve">The router is three pure stages, all offline.</w:t>
      </w:r>
      <w:r>
        <w:t xml:space="preserve"> </w:t>
      </w:r>
      <w:r>
        <w:rPr>
          <w:bCs/>
          <w:b/>
        </w:rPr>
        <w:t xml:space="preserve">Evidence recovery</w:t>
      </w:r>
      <w:r>
        <w:t xml:space="preserve"> </w:t>
      </w:r>
      <w:r>
        <w:t xml:space="preserve">maps both agent wire formats DWS encounters (Anthropic Messages</w:t>
      </w:r>
      <w:r>
        <w:t xml:space="preserve"> </w:t>
      </w:r>
      <w:r>
        <w:rPr>
          <w:rStyle w:val="VerbatimChar"/>
        </w:rPr>
        <w:t xml:space="preserve">tool_use</w:t>
      </w:r>
      <w:r>
        <w:t xml:space="preserve">/</w:t>
      </w:r>
      <w:r>
        <w:rPr>
          <w:rStyle w:val="VerbatimChar"/>
        </w:rPr>
        <w:t xml:space="preserve">tool_result</w:t>
      </w:r>
      <w:r>
        <w:t xml:space="preserve"> </w:t>
      </w:r>
      <w:r>
        <w:t xml:space="preserve">blocks and OpenAI Responses</w:t>
      </w:r>
      <w:r>
        <w:t xml:space="preserve"> </w:t>
      </w:r>
      <w:r>
        <w:rPr>
          <w:rStyle w:val="VerbatimChar"/>
        </w:rPr>
        <w:t xml:space="preserve">function_call</w:t>
      </w:r>
      <w:r>
        <w:t xml:space="preserve">/</w:t>
      </w:r>
      <w:r>
        <w:rPr>
          <w:rStyle w:val="VerbatimChar"/>
        </w:rPr>
        <w:t xml:space="preserve">function_call_output</w:t>
      </w:r>
      <w:r>
        <w:t xml:space="preserve"> </w:t>
      </w:r>
      <w:r>
        <w:t xml:space="preserve">items) onto one trajectory model: per-step tool name, argument digest, output digest, success flag, and a coarse comparable error class.</w:t>
      </w:r>
      <w:r>
        <w:t xml:space="preserve"> </w:t>
      </w:r>
      <w:r>
        <w:rPr>
          <w:bCs/>
          <w:b/>
        </w:rPr>
        <w:t xml:space="preserve">Deterministic detectors</w:t>
      </w:r>
      <w:r>
        <w:t xml:space="preserve"> </w:t>
      </w:r>
      <w:r>
        <w:t xml:space="preserve">then compute signals no model is consulted for (Engineering Discipline Rule 5): identical action+observation 3×, the same error class 3× back-to-back, ping-pong alternation 4×, write→failing-test thrash cycles, steps-since-progress (a rewrite is not progress; only a passing execution resets the counter), and budget burn.</w:t>
      </w:r>
      <w:r>
        <w:t xml:space="preserve"> </w:t>
      </w:r>
      <w:r>
        <w:rPr>
          <w:bCs/>
          <w:b/>
        </w:rPr>
        <w:t xml:space="preserve">The ladder</w:t>
      </w:r>
      <w:r>
        <w:t xml:space="preserve"> </w:t>
      </w:r>
      <w:r>
        <w:t xml:space="preserve">converts signals into one of four actions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behind guardrails: budget stop before any other logic, capability-before-retry (a cheap-tier restart becomes a switch while a switch remains), asymmetric hysteresis (the first cheap→strong hop fires on one bad checkpoint; disruptive actions need two agreeing ones), and a strictly one-way climb.</w:t>
      </w:r>
    </w:p>
    <w:p>
      <w:pPr>
        <w:pStyle w:val="BodyText"/>
      </w:pPr>
      <w:r>
        <w:t xml:space="preserve">The upstream design consulted a remote</w:t>
      </w:r>
      <w:r>
        <w:t xml:space="preserve"> </w:t>
      </w:r>
      <w:r>
        <w:t xml:space="preserve">“</w:t>
      </w:r>
      <w:r>
        <w:t xml:space="preserve">calibrated confidence</w:t>
      </w:r>
      <w:r>
        <w:t xml:space="preserve">”</w:t>
      </w:r>
      <w:r>
        <w:t xml:space="preserve"> </w:t>
      </w:r>
      <w:r>
        <w:t xml:space="preserve">API at the decision point; the DWS adaptation replaces that call with a transparent additive heuristic over the same signal report, making every verdict explainable from the evidence block and making the router EU-sovereign by construction — nothing leaves the machine.</w:t>
      </w:r>
      <w:r>
        <w:t xml:space="preserve"> </w:t>
      </w:r>
      <w:r>
        <w:rPr>
          <w:rStyle w:val="VerbatimChar"/>
        </w:rPr>
        <w:t xml:space="preserve">escalate_human</w:t>
      </w:r>
      <w:r>
        <w:t xml:space="preserve"> </w:t>
      </w:r>
      <w:r>
        <w:t xml:space="preserve">is surfaced as a hard stop, which is the EU AI Act Article 14 intervention point expressed in the routing layer.</w:t>
      </w:r>
    </w:p>
    <w:bookmarkEnd w:id="372"/>
    <w:bookmarkStart w:id="373" w:name="verification-and-productization"/>
    <w:p>
      <w:pPr>
        <w:pStyle w:val="Heading4"/>
      </w:pPr>
      <w:r>
        <w:t xml:space="preserve">10.28.3 Verification and productization</w:t>
      </w:r>
    </w:p>
    <w:p>
      <w:pPr>
        <w:pStyle w:val="FirstParagraph"/>
      </w:pPr>
      <w:r>
        <w:t xml:space="preserve">Fifteen tests assert detector and ladder intent (loop kinds, thrash counting that naive loop detection misses, gate calibration, hysteresis, one-way-ladder invariants, budget and switch/restart exhaustion); the full repository suite passed unchanged. The capability is agent-accessible per the Agent Productization Rule:</w:t>
      </w:r>
      <w:r>
        <w:t xml:space="preserve"> </w:t>
      </w:r>
      <w:r>
        <w:rPr>
          <w:rStyle w:val="VerbatimChar"/>
        </w:rPr>
        <w:t xml:space="preserve">npm run factory:route</w:t>
      </w:r>
      <w:r>
        <w:t xml:space="preserve"> </w:t>
      </w:r>
      <w:r>
        <w:t xml:space="preserve">emits a structured JSON verdict with exit codes 0/2/3/4 so shell pipelines branch without parsing, and</w:t>
      </w:r>
      <w:r>
        <w:t xml:space="preserve"> </w:t>
      </w:r>
      <w:r>
        <w:rPr>
          <w:rStyle w:val="VerbatimChar"/>
        </w:rPr>
        <w:t xml:space="preserve">/factory-route</w:t>
      </w:r>
      <w:r>
        <w:t xml:space="preserve"> </w:t>
      </w:r>
      <w:r>
        <w:t xml:space="preserve">registers the procedure as a skill. The engineering lesson mirrors §10.27’s artifact–legitimacy gap from the consumer side: a 48-hour agent-written codebase can be distribution-grade in its deterministic core and simultaneously undeployable in its trust posture — the audit boundary, not the code quality, decided what was adopted.</w:t>
      </w:r>
    </w:p>
    <w:bookmarkEnd w:id="373"/>
    <w:bookmarkEnd w:id="374"/>
    <w:bookmarkEnd w:id="375"/>
    <w:bookmarkEnd w:id="3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40">
        <w:r>
          <w:rPr>
            <w:rStyle w:val="Hyperlink"/>
          </w:rPr>
          <w:t xml:space="preserve">https://onelifetime.world/posts/sovereignty-field-note-2-three-pillars.html</w:t>
        </w:r>
      </w:hyperlink>
      <w:r>
        <w:t xml:space="preserve">. Dated 28 May 2026.</w:t>
      </w:r>
    </w:p>
  </w:footnote>
  <w:footnote w:id="341">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42">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43">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44">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46">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47">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48">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9">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50">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51">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5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5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54">
        <w:r>
          <w:rPr>
            <w:rStyle w:val="Hyperlink"/>
          </w:rPr>
          <w:t xml:space="preserve">https://csrc.nist.gov/pubs/fips/203/final</w:t>
        </w:r>
      </w:hyperlink>
      <w:r>
        <w:t xml:space="preserve">.</w:t>
      </w:r>
    </w:p>
  </w:footnote>
  <w:footnote w:id="35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56">
        <w:r>
          <w:rPr>
            <w:rStyle w:val="Hyperlink"/>
          </w:rPr>
          <w:t xml:space="preserve">https://csrc.nist.gov/pubs/fips/204/final</w:t>
        </w:r>
      </w:hyperlink>
      <w:r>
        <w:t xml:space="preserve">.</w:t>
      </w:r>
    </w:p>
  </w:footnote>
  <w:footnote w:id="357">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58">
        <w:r>
          <w:rPr>
            <w:rStyle w:val="Hyperlink"/>
          </w:rPr>
          <w:t xml:space="preserve">https://csrc.nist.gov/pubs/fips/205/final</w:t>
        </w:r>
      </w:hyperlink>
      <w:r>
        <w:t xml:space="preserve">.</w:t>
      </w:r>
    </w:p>
  </w:footnote>
  <w:footnote w:id="359">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6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61">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2026-08-06T03:35:03Z</dcterms:created>
  <dcterms:modified xsi:type="dcterms:W3CDTF">2026-08-06T03:35:03Z</dcterms:modified>
</cp:coreProperties>
</file>

<file path=docProps/custom.xml><?xml version="1.0" encoding="utf-8"?>
<Properties xmlns="http://schemas.openxmlformats.org/officeDocument/2006/custom-properties" xmlns:vt="http://schemas.openxmlformats.org/officeDocument/2006/docPropsVTypes"/>
</file>