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4.01</w:t>
      </w:r>
      <w:r>
        <w:t xml:space="preserve"> </w:t>
      </w:r>
      <w:r>
        <w:t xml:space="preserve">Sessions &amp; Modifications:</w:t>
      </w:r>
    </w:p>
    <w:p>
      <w:pPr>
        <w:numPr>
          <w:ilvl w:val="0"/>
          <w:numId w:val="1001"/>
        </w:numPr>
      </w:pPr>
      <w:r>
        <w:t xml:space="preserve">Version: 4.01 | Tool: Claude Code (Sonnet 5) | Session: claude/math-academia-verification-96jpbf | Date: 18.08.2026 | Changes: Lockstep version bump only — no master’s-thesis content added. The substantive addition (§14.51, Key Contribution #56: the intelligence/trust decoupling as external confirmation of the KYA verification thesis, sourced from Rishikesh Gajjala’s 2026-08-18 exit from math academia for Pramaana Labs formal verification) is a market/scientific signal, out of scope for the implementation-focused master’s thesis per §1.4. Recorded here per the CLAUDE.md four-file lockstep rule. Companion: PHD_FIREHORSE_EN §14.51;</w:t>
      </w:r>
      <w:r>
        <w:t xml:space="preserve"> </w:t>
      </w:r>
      <w:r>
        <w:rPr>
          <w:rStyle w:val="VerbatimChar"/>
        </w:rPr>
        <w:t xml:space="preserve">docs/field-notes/2026-08-18-gajjala-math-academia-verification-signal.md</w:t>
      </w:r>
      <w:r>
        <w:t xml:space="preserve">. Lockstep 4.00-&gt;4.01.</w:t>
      </w:r>
    </w:p>
    <w:p>
      <w:pPr>
        <w:numPr>
          <w:ilvl w:val="0"/>
          <w:numId w:val="1001"/>
        </w:numPr>
      </w:pPr>
      <w:r>
        <w:t xml:space="preserve">Version: 4.00 | Tool: GitHub Copilot CLI | Session: fix/dgx-opencode-mcp | Date: 13.08.2026 | Changes: Added §10.30 (OpenCode-primary DGX runtime and MCP boundary). Records the verified OpenCode 1.18.18 + Ollama/open-model development path, Claude Code hot standby, Linux PATH handling, the gateway virtualenv, MCP SDK compatibility pin, and the explicit boundary created by disabling the unavailable port-3001 SSE service. Lockstep 3.99-&gt;4.00 with PHD_FIREHORSE §14.50 / Key Contribution #55.</w:t>
      </w:r>
    </w:p>
    <w:p>
      <w:pPr>
        <w:numPr>
          <w:ilvl w:val="0"/>
          <w:numId w:val="1001"/>
        </w:numPr>
      </w:pPr>
      <w:r>
        <w:t xml:space="preserve">Version: 3.99 | Tool: Claude Code | Session: claude/kya-audit-update | Date: 10.08.2026 | Changes: Added §10.29 (KYA Audit and Reference Implementation Hardening). Implementation evidence per the Thesis Content Scope Rule; the scientific/market-signal counterpart is PHD_FIREHORSE §14.49 / Key Contribution #54, added in the same lockstep. Records the 10.08.2026 KYA audit which hardened the reference implementation by: (1) restricting proactive advisor-phase nudges to</w:t>
      </w:r>
      <w:r>
        <w:t xml:space="preserve"> </w:t>
      </w:r>
      <w:r>
        <w:rPr>
          <w:rStyle w:val="VerbatimChar"/>
        </w:rPr>
        <w:t xml:space="preserve">compliance</w:t>
      </w:r>
      <w:r>
        <w:t xml:space="preserve">,</w:t>
      </w:r>
      <w:r>
        <w:t xml:space="preserve"> </w:t>
      </w:r>
      <w:r>
        <w:rPr>
          <w:rStyle w:val="VerbatimChar"/>
        </w:rPr>
        <w:t xml:space="preserve">customer-sat</w:t>
      </w:r>
      <w:r>
        <w:t xml:space="preserve">, and</w:t>
      </w:r>
      <w:r>
        <w:t xml:space="preserve"> </w:t>
      </w:r>
      <w:r>
        <w:rPr>
          <w:rStyle w:val="VerbatimChar"/>
        </w:rPr>
        <w:t xml:space="preserve">sitesense</w:t>
      </w:r>
      <w:r>
        <w:t xml:space="preserve"> </w:t>
      </w:r>
      <w:r>
        <w:t xml:space="preserve">while other agents remain</w:t>
      </w:r>
      <w:r>
        <w:t xml:space="preserve"> </w:t>
      </w:r>
      <w:r>
        <w:rPr>
          <w:rStyle w:val="VerbatimChar"/>
        </w:rPr>
        <w:t xml:space="preserve">silent_pilot</w:t>
      </w:r>
      <w:r>
        <w:t xml:space="preserve"> </w:t>
      </w:r>
      <w:r>
        <w:t xml:space="preserve">by default, (2) removing latency from ATS (Agent Trust Score) scoring while retaining it as observability-only telemetry to prevent scoring instability, and (3) separating the live registered-agent count (69) from the 88 capabilities/roles claim to prevent evidence drift. Lockstep 3.98-&gt;3.99.</w:t>
      </w:r>
    </w:p>
    <w:p>
      <w:pPr>
        <w:numPr>
          <w:ilvl w:val="0"/>
          <w:numId w:val="1001"/>
        </w:numPr>
      </w:pPr>
      <w:r>
        <w:t xml:space="preserve">Version: 3.98 | Tool: Claude Code (Sonnet 5) | Session: claude/arvonluonnin-ajurit-research-hpiipo | Date: 06.08.2026 | Changes: Added §10.17 (Extending Article 50(4) Labelling to AI-Drafted and Machine-Translated Text). Implementation evidence per the Thesis Content Scope Rule; the scientific/market-signal counterpart is PHD_FIREHORSE §14.48 / Key Contribution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29"/>
        <w:gridCol w:w="3271"/>
        <w:gridCol w:w="1420"/>
        <w:gridCol w:w="3099"/>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7"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36" w:name="X3a17b2053d7b63791f6db13e6a0a658c6b5ea99"/>
    <w:p>
      <w:pPr>
        <w:pStyle w:val="Heading2"/>
      </w:pPr>
      <w:r>
        <w:t xml:space="preserve">10.17 Extending Article 50(4) Labelling to AI-Drafted and Machine-Translated Text</w:t>
      </w:r>
    </w:p>
    <w:bookmarkStart w:id="333" w:name="motivation-7"/>
    <w:p>
      <w:pPr>
        <w:pStyle w:val="Heading3"/>
      </w:pPr>
      <w:r>
        <w:t xml:space="preserve">10.17.1 Motivation</w:t>
      </w:r>
    </w:p>
    <w:p>
      <w:pPr>
        <w:pStyle w:val="FirstParagraph"/>
      </w:pPr>
      <w:r>
        <w:t xml:space="preserve">§10.16 addressed AI-generated media. On 6 August 2026 a five-language field-note post (EN/FI/SV/DE/FR) was drafted, approved, and published —</w:t>
      </w:r>
      <w:r>
        <w:t xml:space="preserve"> </w:t>
      </w:r>
      <w:r>
        <w:rPr>
          <w:rStyle w:val="VerbatimChar"/>
        </w:rPr>
        <w:t xml:space="preserve">onelifetime.world/posts/arvonluonnin-ajurit-2026*.html</w:t>
      </w:r>
      <w:r>
        <w:t xml:space="preserve">, mapping directly to the value-creation-drivers content of</w:t>
      </w:r>
      <w:r>
        <w:t xml:space="preserve"> </w:t>
      </w:r>
      <w:r>
        <w:rPr>
          <w:rStyle w:val="VerbatimChar"/>
        </w:rPr>
        <w:t xml:space="preserve">docs/KONSULTOINNIN_KASIKIRJA_2026.md</w:t>
      </w:r>
      <w:r>
        <w:t xml:space="preserve"> </w:t>
      </w:r>
      <w:r>
        <w:t xml:space="preserve">§2.1/§2.2. The EN and FI variants were agent-drafted; SV, DE and FR were produced by an external LLM (Google Gemini) on HIC instruction and adapted into the page templates. No variant had a named human reviewer before publication, and all five carry regulatory content in the body text itself (Article 12/50 dates, CBAM, ETS2, KYA-S1). This raised the question §10.16 left open for text rather than media: does the same deployer duty, and the same design rule, apply?</w:t>
      </w:r>
    </w:p>
    <w:bookmarkEnd w:id="333"/>
    <w:bookmarkStart w:id="334" w:name="X22617c256bdb5bef1030221fc57e53dca8dd6e9"/>
    <w:p>
      <w:pPr>
        <w:pStyle w:val="Heading3"/>
      </w:pPr>
      <w:r>
        <w:t xml:space="preserve">10.17.2 Implementation: default-on labelling as a build-time invariant</w:t>
      </w:r>
    </w:p>
    <w:p>
      <w:pPr>
        <w:pStyle w:val="FirstParagraph"/>
      </w:pPr>
      <w:r>
        <w:rPr>
          <w:rStyle w:val="VerbatimChar"/>
        </w:rPr>
        <w:t xml:space="preserve">DWS_BLOG_STANDARD.md</w:t>
      </w:r>
      <w:r>
        <w:t xml:space="preserve"> </w:t>
      </w:r>
      <w:r>
        <w:t xml:space="preserve">§3.2.1 already specified a stricter-than-statutory four-condition test for removing a label (named reviewer, demonstrated amend/reject authority, publicly reachable contact, explicit removal action) — written after §10.16’s media work, never yet exercised against a live publish. This session was the first test:</w:t>
      </w:r>
      <w:r>
        <w:t xml:space="preserve"> </w:t>
      </w:r>
      <w:r>
        <w:rPr>
          <w:rStyle w:val="VerbatimChar"/>
        </w:rPr>
        <w:t xml:space="preserve">scripts/build-arvonluonnin-ajurit-post.mjs</w:t>
      </w:r>
      <w:r>
        <w:t xml:space="preserve"> </w:t>
      </w:r>
      <w:r>
        <w:t xml:space="preserve">renders all five approved drafts (</w:t>
      </w:r>
      <w:r>
        <w:rPr>
          <w:rStyle w:val="VerbatimChar"/>
        </w:rPr>
        <w:t xml:space="preserve">docs/blog-drafts/arvonluonnin-ajurit-2026*.md</w:t>
      </w:r>
      <w:r>
        <w:t xml:space="preserve">) to HTML and unconditionally injects a per-language</w:t>
      </w:r>
      <w:r>
        <w:t xml:space="preserve"> </w:t>
      </w:r>
      <w:r>
        <w:rPr>
          <w:rStyle w:val="VerbatimChar"/>
        </w:rPr>
        <w:t xml:space="preserve">&lt;aside class="ai-notice"&gt;</w:t>
      </w:r>
      <w:r>
        <w:t xml:space="preserve"> </w:t>
      </w:r>
      <w:r>
        <w:t xml:space="preserve">immediately after</w:t>
      </w:r>
      <w:r>
        <w:t xml:space="preserve"> </w:t>
      </w:r>
      <w:r>
        <w:rPr>
          <w:rStyle w:val="VerbatimChar"/>
        </w:rPr>
        <w:t xml:space="preserve">&lt;/header&gt;</w:t>
      </w:r>
      <w:r>
        <w:t xml:space="preserve">, before the article body — sourced from a per-language notice table in the script rather than authored per post. None of the four removal conditions had been met for any of the five pages at publish time, so all five ship with the notice.</w:t>
      </w:r>
    </w:p>
    <w:p>
      <w:pPr>
        <w:pStyle w:val="BodyText"/>
      </w:pPr>
      <w:r>
        <w:t xml:space="preserve">One implementation detail mattered in practice: the HIC’s own conversational approval of the drafts (satisfying the Rule 13 / §3.3 publication gate) was initially treated as if it also cleared the labelling question. It does not. The publication gate asks</w:t>
      </w:r>
      <w:r>
        <w:t xml:space="preserve"> </w:t>
      </w:r>
      <w:r>
        <w:t xml:space="preserve">“</w:t>
      </w:r>
      <w:r>
        <w:t xml:space="preserve">did a human read and approve this text before it ships</w:t>
      </w:r>
      <w:r>
        <w:t xml:space="preserve">”</w:t>
      </w:r>
      <w:r>
        <w:t xml:space="preserve">; the labelling gate asks</w:t>
      </w:r>
      <w:r>
        <w:t xml:space="preserve"> </w:t>
      </w:r>
      <w:r>
        <w:t xml:space="preserve">“</w:t>
      </w:r>
      <w:r>
        <w:t xml:space="preserve">is there a named, publicly-reachable, accountable reviewer credited on this specific page.</w:t>
      </w:r>
      <w:r>
        <w:t xml:space="preserve">”</w:t>
      </w:r>
      <w:r>
        <w:t xml:space="preserve"> </w:t>
      </w:r>
      <w:r>
        <w:t xml:space="preserve">The first happened; the second did not. Both drafts and the build script were corrected to keep the notice on for all five pages rather than assume the conversational approval discharged the labelling duty.</w:t>
      </w:r>
    </w:p>
    <w:bookmarkEnd w:id="334"/>
    <w:bookmarkStart w:id="335" w:name="the-engineering-rule-this-produced-1"/>
    <w:p>
      <w:pPr>
        <w:pStyle w:val="Heading3"/>
      </w:pPr>
      <w:r>
        <w:t xml:space="preserve">10.17.3 The engineering rule this produced</w:t>
      </w:r>
    </w:p>
    <w:p>
      <w:pPr>
        <w:pStyle w:val="BlockText"/>
      </w:pPr>
      <w:r>
        <w:t xml:space="preserve">A publication-approval gate and a content-provenance labelling gate are not the same instrument, even when the same person operates both in the same conversation.</w:t>
      </w:r>
    </w:p>
    <w:p>
      <w:pPr>
        <w:pStyle w:val="FirstParagraph"/>
      </w:pPr>
      <w:r>
        <w:t xml:space="preserve">The corollary of §10.16’s compositing rule (</w:t>
      </w:r>
      <w:r>
        <w:t xml:space="preserve">“</w:t>
      </w:r>
      <w:r>
        <w:t xml:space="preserve">mark the artefact, not the page</w:t>
      </w:r>
      <w:r>
        <w:t xml:space="preserve">”</w:t>
      </w:r>
      <w:r>
        <w:t xml:space="preserve">) for a multi-language text pipeline is:</w:t>
      </w:r>
      <w:r>
        <w:t xml:space="preserve"> </w:t>
      </w:r>
      <w:r>
        <w:rPr>
          <w:bCs/>
          <w:b/>
        </w:rPr>
        <w:t xml:space="preserve">attach the label at build time from a table, not at authoring time by memory.</w:t>
      </w:r>
      <w:r>
        <w:t xml:space="preserve"> </w:t>
      </w:r>
      <w:r>
        <w:t xml:space="preserve">A human author asked to remember a label on five separately-drafted pages will forget it on at least one; a build script that cannot render a page without consulting the notice table cannot forget. This is the same move as compositing the EU icon into video frames — moving the invariant from human memory into the artefact-producing pipeline.</w:t>
      </w:r>
    </w:p>
    <w:p>
      <w:pPr>
        <w:pStyle w:val="BodyText"/>
      </w:pP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 Scientific restatement and the obligation–capability analysis: PHD_FIREHORSE §14.48 (Key Contribution #53).</w:t>
      </w:r>
    </w:p>
    <w:p>
      <w:r>
        <w:pict>
          <v:rect style="width:0;height:1.5pt" o:hralign="center" o:hrstd="t" o:hr="t"/>
        </w:pict>
      </w:r>
    </w:p>
    <w:bookmarkEnd w:id="335"/>
    <w:bookmarkEnd w:id="336"/>
    <w:bookmarkStart w:id="376"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62"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2"/>
            </w:r>
            <w:r>
              <w:t xml:space="preserve">,</w:t>
            </w:r>
            <w:r>
              <w:t xml:space="preserve"> </w:t>
            </w:r>
            <w:r>
              <w:rPr>
                <w:rStyle w:val="FootnoteReference"/>
              </w:rPr>
              <w:footnoteReference w:id="343"/>
            </w:r>
            <w:r>
              <w:t xml:space="preserve">,</w:t>
            </w:r>
            <w:r>
              <w:t xml:space="preserve"> </w:t>
            </w:r>
            <w:r>
              <w:rPr>
                <w:rStyle w:val="FootnoteReference"/>
              </w:rPr>
              <w:footnoteReference w:id="344"/>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Pilot / case-study chapter (Outokumpu Tier-1)</w:t>
            </w:r>
          </w:p>
        </w:tc>
        <w:tc>
          <w:tcPr/>
          <w:p>
            <w:pPr>
              <w:pStyle w:val="Compact"/>
              <w:jc w:val="left"/>
            </w:pPr>
            <w:r>
              <w:rPr>
                <w:rStyle w:val="FootnoteReference"/>
              </w:rPr>
              <w:footnoteReference w:id="348"/>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9"/>
            </w:r>
          </w:p>
        </w:tc>
      </w:tr>
      <w:tr>
        <w:tc>
          <w:tcPr/>
          <w:p>
            <w:pPr>
              <w:pStyle w:val="Compact"/>
              <w:jc w:val="left"/>
            </w:pPr>
            <w:r>
              <w:t xml:space="preserve">Partnerships chapter (xAI etc.)</w:t>
            </w:r>
          </w:p>
        </w:tc>
        <w:tc>
          <w:tcPr/>
          <w:p>
            <w:pPr>
              <w:pStyle w:val="Compact"/>
              <w:jc w:val="left"/>
            </w:pPr>
            <w:r>
              <w:rPr>
                <w:rStyle w:val="FootnoteReference"/>
              </w:rPr>
              <w:footnoteReference w:id="350"/>
            </w:r>
            <w:r>
              <w:t xml:space="preserve">,</w:t>
            </w:r>
            <w:r>
              <w:t xml:space="preserve"> </w:t>
            </w:r>
            <w:r>
              <w:rPr>
                <w:rStyle w:val="FootnoteReference"/>
              </w:rPr>
              <w:footnoteReference w:id="351"/>
            </w:r>
          </w:p>
        </w:tc>
      </w:tr>
      <w:tr>
        <w:tc>
          <w:tcPr/>
          <w:p>
            <w:pPr>
              <w:pStyle w:val="Compact"/>
              <w:jc w:val="left"/>
            </w:pPr>
            <w:r>
              <w:t xml:space="preserve">Quantum / cryptography chapter</w:t>
            </w:r>
          </w:p>
        </w:tc>
        <w:tc>
          <w:tcPr/>
          <w:p>
            <w:pPr>
              <w:pStyle w:val="Compact"/>
              <w:jc w:val="left"/>
            </w:pPr>
            <w:r>
              <w:rPr>
                <w:rStyle w:val="FootnoteReference"/>
              </w:rPr>
              <w:footnoteReference w:id="352"/>
            </w:r>
            <w:r>
              <w:t xml:space="preserve">,</w:t>
            </w:r>
            <w:r>
              <w:t xml:space="preserve"> </w:t>
            </w:r>
            <w:r>
              <w:rPr>
                <w:rStyle w:val="FootnoteReference"/>
              </w:rPr>
              <w:footnoteReference w:id="353"/>
            </w:r>
            <w:r>
              <w:t xml:space="preserve">,</w:t>
            </w:r>
            <w:r>
              <w:t xml:space="preserve"> </w:t>
            </w:r>
            <w:r>
              <w:rPr>
                <w:rStyle w:val="FootnoteReference"/>
              </w:rPr>
              <w:footnoteReference w:id="355"/>
            </w:r>
            <w:r>
              <w:t xml:space="preserve">,</w:t>
            </w:r>
            <w:r>
              <w:t xml:space="preserve"> </w:t>
            </w:r>
            <w:r>
              <w:rPr>
                <w:rStyle w:val="FootnoteReference"/>
              </w:rPr>
              <w:footnoteReference w:id="357"/>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9"/>
            </w:r>
            <w:r>
              <w:t xml:space="preserve">,</w:t>
            </w:r>
            <w:r>
              <w:t xml:space="preserve"> </w:t>
            </w:r>
            <w:r>
              <w:rPr>
                <w:rStyle w:val="FootnoteReference"/>
              </w:rPr>
              <w:footnoteReference w:id="360"/>
            </w:r>
            <w:r>
              <w:t xml:space="preserve">,</w:t>
            </w:r>
            <w:r>
              <w:t xml:space="preserve"> </w:t>
            </w:r>
            <w:r>
              <w:rPr>
                <w:rStyle w:val="FootnoteReference"/>
              </w:rPr>
              <w:footnoteReference w:id="361"/>
            </w:r>
          </w:p>
        </w:tc>
      </w:tr>
    </w:tbl>
    <w:bookmarkEnd w:id="362"/>
    <w:bookmarkStart w:id="363" w:name="footnote-bibliography"/>
    <w:p>
      <w:pPr>
        <w:pStyle w:val="Heading3"/>
      </w:pPr>
      <w:r>
        <w:t xml:space="preserve">Footnote bibliography</w:t>
      </w:r>
    </w:p>
    <w:bookmarkEnd w:id="363"/>
    <w:bookmarkStart w:id="370" w:name="Xbb829561309baa2ae1ac17cca571f56b8a58cc9"/>
    <w:p>
      <w:pPr>
        <w:pStyle w:val="Heading3"/>
      </w:pPr>
      <w:r>
        <w:t xml:space="preserve">10.25 Polyglot Observability in Production: Aspire Dashboard Adoption and the Silent-Telemetry Incident</w:t>
      </w:r>
    </w:p>
    <w:bookmarkStart w:id="364"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4"/>
    <w:bookmarkStart w:id="365"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5"/>
    <w:bookmarkStart w:id="366"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6"/>
    <w:bookmarkStart w:id="367"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7"/>
    <w:bookmarkStart w:id="368"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8"/>
    <w:bookmarkStart w:id="369"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9"/>
    <w:bookmarkEnd w:id="370"/>
    <w:bookmarkStart w:id="374"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71"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71"/>
    <w:bookmarkStart w:id="372"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72"/>
    <w:bookmarkStart w:id="373"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73"/>
    <w:bookmarkEnd w:id="374"/>
    <w:bookmarkStart w:id="375" w:name="X5db74638749fc29f798bcdcdab5c4329307ee99"/>
    <w:p>
      <w:pPr>
        <w:pStyle w:val="Heading3"/>
      </w:pPr>
      <w:r>
        <w:t xml:space="preserve">10.30 OpenCode-Primary DGX Runtime and the MCP Boundary</w:t>
      </w:r>
    </w:p>
    <w:p>
      <w:pPr>
        <w:pStyle w:val="FirstParagraph"/>
      </w:pPr>
      <w:r>
        <w:t xml:space="preserve">The verified DGX Spark development runtime separates the agent harness from the model provider. OpenCode 1.18.18 is the primary harness; Ollama supplies the local/open-model path, with current NVIDIA model selection preferred over the retired</w:t>
      </w:r>
      <w:r>
        <w:t xml:space="preserve"> </w:t>
      </w:r>
      <w:r>
        <w:rPr>
          <w:rStyle w:val="VerbatimChar"/>
        </w:rPr>
        <w:t xml:space="preserve">llama3.3:70b</w:t>
      </w:r>
      <w:r>
        <w:t xml:space="preserve"> </w:t>
      </w:r>
      <w:r>
        <w:t xml:space="preserve">default. Claude Code remains available as a hot standby rather than the primary runtime. This preserves a stable operator surface while allowing model replacement without rewriting repository policy, skills, or control boundaries.</w:t>
      </w:r>
    </w:p>
    <w:p>
      <w:pPr>
        <w:pStyle w:val="BodyText"/>
      </w:pPr>
      <w:r>
        <w:t xml:space="preserve">The implementation is operationally concrete: the DGX uses Linux-safe OpenCode settings, an explicit</w:t>
      </w:r>
      <w:r>
        <w:t xml:space="preserve"> </w:t>
      </w:r>
      <w:r>
        <w:rPr>
          <w:rStyle w:val="VerbatimChar"/>
        </w:rPr>
        <w:t xml:space="preserve">~/.opencode/bin</w:t>
      </w:r>
      <w:r>
        <w:t xml:space="preserve"> </w:t>
      </w:r>
      <w:r>
        <w:t xml:space="preserve">PATH fallback for non-login SSH shells, and a project virtualenv for the local MCP gateway. The gateway requires</w:t>
      </w:r>
      <w:r>
        <w:t xml:space="preserve"> </w:t>
      </w:r>
      <w:r>
        <w:rPr>
          <w:rStyle w:val="VerbatimChar"/>
        </w:rPr>
        <w:t xml:space="preserve">mcp[cli]&gt;=1.9.0,&lt;2.0.0</w:t>
      </w:r>
      <w:r>
        <w:t xml:space="preserve">; MCP SDK 2.x is incompatible with its</w:t>
      </w:r>
      <w:r>
        <w:t xml:space="preserve"> </w:t>
      </w:r>
      <w:r>
        <w:rPr>
          <w:rStyle w:val="VerbatimChar"/>
        </w:rPr>
        <w:t xml:space="preserve">mcp.server.fastmcp</w:t>
      </w:r>
      <w:r>
        <w:t xml:space="preserve"> </w:t>
      </w:r>
      <w:r>
        <w:t xml:space="preserve">import path. Verification uses</w:t>
      </w:r>
      <w:r>
        <w:t xml:space="preserve"> </w:t>
      </w:r>
      <w:r>
        <w:rPr>
          <w:rStyle w:val="VerbatimChar"/>
        </w:rPr>
        <w:t xml:space="preserve">opencode debug config --pure</w:t>
      </w:r>
      <w:r>
        <w:t xml:space="preserve"> </w:t>
      </w:r>
      <w:r>
        <w:t xml:space="preserve">and</w:t>
      </w:r>
      <w:r>
        <w:t xml:space="preserve"> </w:t>
      </w:r>
      <w:r>
        <w:rPr>
          <w:rStyle w:val="VerbatimChar"/>
        </w:rPr>
        <w:t xml:space="preserve">opencode mcp list</w:t>
      </w:r>
      <w:r>
        <w:t xml:space="preserve">, with</w:t>
      </w:r>
      <w:r>
        <w:t xml:space="preserve"> </w:t>
      </w:r>
      <w:r>
        <w:rPr>
          <w:rStyle w:val="VerbatimChar"/>
        </w:rPr>
        <w:t xml:space="preserve">dws-gateway-local</w:t>
      </w:r>
      <w:r>
        <w:t xml:space="preserve"> </w:t>
      </w:r>
      <w:r>
        <w:t xml:space="preserve">connected.</w:t>
      </w:r>
    </w:p>
    <w:p>
      <w:pPr>
        <w:pStyle w:val="BodyText"/>
      </w:pPr>
      <w:r>
        <w:t xml:space="preserve">The negative capability is part of the implementation evidence.</w:t>
      </w:r>
      <w:r>
        <w:t xml:space="preserve"> </w:t>
      </w:r>
      <w:r>
        <w:rPr>
          <w:rStyle w:val="VerbatimChar"/>
        </w:rPr>
        <w:t xml:space="preserve">dws-agents-local</w:t>
      </w:r>
      <w:r>
        <w:t xml:space="preserve"> </w:t>
      </w:r>
      <w:r>
        <w:t xml:space="preserve">is disabled because no service listens on</w:t>
      </w:r>
      <w:r>
        <w:t xml:space="preserve"> </w:t>
      </w:r>
      <w:r>
        <w:rPr>
          <w:rStyle w:val="VerbatimChar"/>
        </w:rPr>
        <w:t xml:space="preserve">localhost:3001/mcp</w:t>
      </w:r>
      <w:r>
        <w:t xml:space="preserve">; observed services on other ports are not substituted without evidence. This avoids converting an unavailable egress path into a false health signal. The resulting runtime is therefore not</w:t>
      </w:r>
      <w:r>
        <w:t xml:space="preserve"> </w:t>
      </w:r>
      <w:r>
        <w:t xml:space="preserve">“</w:t>
      </w:r>
      <w:r>
        <w:t xml:space="preserve">all tools enabled</w:t>
      </w:r>
      <w:r>
        <w:t xml:space="preserve">”</w:t>
      </w:r>
      <w:r>
        <w:t xml:space="preserve">: it is a bounded local harness with one verified gateway and an explicit unavailable-service boundary.</w:t>
      </w:r>
    </w:p>
    <w:p>
      <w:pPr>
        <w:pStyle w:val="BodyText"/>
      </w:pPr>
      <w:r>
        <w:rPr>
          <w:iCs/>
          <w:i/>
        </w:rPr>
        <w:t xml:space="preserve">Implementation artefacts:</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75"/>
    <w:bookmarkEnd w:id="376"/>
    <w:bookmarkEnd w:id="3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40">
        <w:r>
          <w:rPr>
            <w:rStyle w:val="Hyperlink"/>
          </w:rPr>
          <w:t xml:space="preserve">https://onelifetime.world/posts/sovereignty-field-note-2-three-pillars.html</w:t>
        </w:r>
      </w:hyperlink>
      <w:r>
        <w:t xml:space="preserve">. Dated 28 May 2026.</w:t>
      </w:r>
    </w:p>
  </w:footnote>
  <w:footnote w:id="341">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42">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43">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4">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8">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9">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50">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51">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5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4">
        <w:r>
          <w:rPr>
            <w:rStyle w:val="Hyperlink"/>
          </w:rPr>
          <w:t xml:space="preserve">https://csrc.nist.gov/pubs/fips/203/final</w:t>
        </w:r>
      </w:hyperlink>
      <w:r>
        <w:t xml:space="preserve">.</w:t>
      </w:r>
    </w:p>
  </w:footnote>
  <w:footnote w:id="35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6">
        <w:r>
          <w:rPr>
            <w:rStyle w:val="Hyperlink"/>
          </w:rPr>
          <w:t xml:space="preserve">https://csrc.nist.gov/pubs/fips/204/final</w:t>
        </w:r>
      </w:hyperlink>
      <w:r>
        <w:t xml:space="preserve">.</w:t>
      </w:r>
    </w:p>
  </w:footnote>
  <w:footnote w:id="35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8">
        <w:r>
          <w:rPr>
            <w:rStyle w:val="Hyperlink"/>
          </w:rPr>
          <w:t xml:space="preserve">https://csrc.nist.gov/pubs/fips/205/final</w:t>
        </w:r>
      </w:hyperlink>
      <w:r>
        <w:t xml:space="preserve">.</w:t>
      </w:r>
    </w:p>
  </w:footnote>
  <w:footnote w:id="359">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6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61">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2026-08-18T02:07:19Z</dcterms:created>
  <dcterms:modified xsi:type="dcterms:W3CDTF">2026-08-18T02:07:19Z</dcterms:modified>
</cp:coreProperties>
</file>

<file path=docProps/custom.xml><?xml version="1.0" encoding="utf-8"?>
<Properties xmlns="http://schemas.openxmlformats.org/officeDocument/2006/custom-properties" xmlns:vt="http://schemas.openxmlformats.org/officeDocument/2006/docPropsVTypes"/>
</file>