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4.04</w:t>
      </w:r>
      <w:r>
        <w:t xml:space="preserve"> </w:t>
      </w:r>
      <w:r>
        <w:t xml:space="preserve">Sessions &amp; Modifications:</w:t>
      </w:r>
    </w:p>
    <w:p>
      <w:pPr>
        <w:numPr>
          <w:ilvl w:val="0"/>
          <w:numId w:val="1001"/>
        </w:numPr>
      </w:pPr>
      <w:r>
        <w:t xml:space="preserve">Version: 4.04 | Tool: Claude Code (Sonnet 5) | Session: claude/math-academia-verification-96jpbf | Date: 18.08.2026 | Changes:</w:t>
      </w:r>
      <w:r>
        <w:t xml:space="preserve"> </w:t>
      </w:r>
      <w:r>
        <w:rPr>
          <w:bCs/>
          <w:b/>
        </w:rPr>
        <w:t xml:space="preserve">Uudelleennumeroitu 4.02→4.04 yhdistämisessä (22.08.2026)</w:t>
      </w:r>
      <w:r>
        <w:t xml:space="preserve"> </w:t>
      </w:r>
      <w:r>
        <w:t xml:space="preserve">— törmäsi mainin itsenäisesti maihin laskeutuneisiin versioihin 4.01 (Lifetime Studios) → 4.02 (SES-korvausmerkintä), jotka oli jo yhdistetty mainiin; sisältö ennallaan, vain versionumerot/lukkoaskelnuolet korjattiin. Pelkkä lukkoaskeleen versiopäivitys — maisterityöhön ei lisätty sisältöä. Sisällöllinen lisäys (§14.51.4, laajentaen Avainkontribuutio #56: Pramaana Labsin kolmannen osapuolen vahvistus WebSearchilla — 27 M$ Khosla Ventures -vetoinen siemenrahoitus, toimitusjohtaja Ranjan Rajagopalan, ja RuleArena ACL 2025 -vertailuarvo uutena vertaisarvioituna näyttönä) on markkina-/tieteellinen signaali, joka on rajattu pois toteutuskeskeisestä maisterityöstä §1.4:n mukaisesti. Kumppani: PHD_FIREHORSE_FI §14.51.4. Lukkoaskel 4.03-&gt;4.04.</w:t>
      </w:r>
    </w:p>
    <w:p>
      <w:pPr>
        <w:numPr>
          <w:ilvl w:val="0"/>
          <w:numId w:val="1001"/>
        </w:numPr>
      </w:pPr>
      <w:r>
        <w:t xml:space="preserve">Version: 4.03 | Tool: Claude Code (Sonnet 5) | Session: claude/math-academia-verification-96jpbf | Date: 18.08.2026 | Changes:</w:t>
      </w:r>
      <w:r>
        <w:t xml:space="preserve"> </w:t>
      </w:r>
      <w:r>
        <w:rPr>
          <w:bCs/>
          <w:b/>
        </w:rPr>
        <w:t xml:space="preserve">Uudelleennumeroitu 4.01→4.03 yhdistämisessä (22.08.2026)</w:t>
      </w:r>
      <w:r>
        <w:t xml:space="preserve"> </w:t>
      </w:r>
      <w:r>
        <w:t xml:space="preserve">— sama törmäys kuin yllä; sisältö ennallaan. Pelkkä lukkoaskeleen versiopäivitys — maisterityöhön ei lisätty sisältöä. Sisällöllinen lisäys (§14.51, Avainkontribuutio #56: älykkyyden ja luottamuksen eriytyminen ulkoisena vahvistuksena KYA-verifiointiteesille, lähteenä Rishikesh Gajjalan 18.8.2026 ero matematiikan akatemiasta Pramaana Labsin formaaliverifiointityöhön) on markkina-/tieteellinen signaali, joka on rajattu pois toteutuskeskeisestä maisterityöstä §1.4:n mukaisesti. Kirjattu tähän CLAUDE.md:n neljän tiedoston lukkoaskelsäännön mukaisesti. Kumppani: PHD_FIREHORSE_FI §14.51;</w:t>
      </w:r>
      <w:r>
        <w:t xml:space="preserve"> </w:t>
      </w:r>
      <w:r>
        <w:rPr>
          <w:rStyle w:val="VerbatimChar"/>
        </w:rPr>
        <w:t xml:space="preserve">docs/field-notes/2026-08-18-gajjala-math-academia-verification-signal.md</w:t>
      </w:r>
      <w:r>
        <w:t xml:space="preserve">. Lukkoaskel 4.02-&gt;4.03.</w:t>
      </w:r>
    </w:p>
    <w:p>
      <w:pPr>
        <w:numPr>
          <w:ilvl w:val="0"/>
          <w:numId w:val="1001"/>
        </w:numPr>
      </w:pPr>
      <w:r>
        <w:t xml:space="preserve">Version: 4.02 | Tool: OpenCode (x-preview-f-free) | Session: pr-1867 admin-docs audit | Date: 22.08.2026 | Changes: Lisätty lisäysluontoinen päivitysmerkintä lukuun 10.11 — Resend-sähköpostikuljetus korvattu Amazon SESillä (SMTP) 26.03.2026 poikkeaman ja LD-2026-008 kiellon jälkeen. Alkuperäinen muotoilu säilytetty säännön 12 mukaisesti; ei rakennemuutoksia. Lockstep 4.01-&gt;4.02.</w:t>
      </w:r>
    </w:p>
    <w:p>
      <w:pPr>
        <w:numPr>
          <w:ilvl w:val="0"/>
          <w:numId w:val="1001"/>
        </w:numPr>
      </w:pPr>
      <w:r>
        <w:t xml:space="preserve">Version: 4.01 | Tool: OpenCode | Session: opencode/lifetime-studios | Date: 21.08.2026 | Changes: Lisätty §10.31 (Lifetime Studios — asiantuntijuus- ja sisältötuotantokone). Toteutuspuolen sisältö master-vs-PhD-skooppisäännön mukaisesti: 25 × 5 -sisältömatriisi (125 ydinaihetta), Business Case -kortit seitsemällä pakollisella kentällä, ristiinoppiminen, viisikielinen lokalisointi (≈4 000 versiota), Outokumpu-mallin journalistiset reunaehdot ja itsevahvistuva ontologia/graafi/LWM -tuotemalli eksplisiittisine rajoineen. Toteutusnäyttö:</w:t>
      </w:r>
      <w:r>
        <w:t xml:space="preserve"> </w:t>
      </w:r>
      <w:r>
        <w:rPr>
          <w:rStyle w:val="VerbatimChar"/>
        </w:rPr>
        <w:t xml:space="preserve">docs/LIFETIME_STUDIOS_ADMIN.md</w:t>
      </w:r>
      <w:r>
        <w:t xml:space="preserve">,</w:t>
      </w:r>
      <w:r>
        <w:t xml:space="preserve"> </w:t>
      </w:r>
      <w:r>
        <w:rPr>
          <w:rStyle w:val="VerbatimChar"/>
        </w:rPr>
        <w:t xml:space="preserve">docs/BLOG_STANDARD.md</w:t>
      </w:r>
      <w:r>
        <w:t xml:space="preserve"> </w:t>
      </w:r>
      <w:r>
        <w:t xml:space="preserve">§15, onelifetime.world-julkaisukone. Lukkoaskel 4.00-&gt;4.01.</w:t>
      </w:r>
    </w:p>
    <w:p>
      <w:pPr>
        <w:numPr>
          <w:ilvl w:val="0"/>
          <w:numId w:val="1001"/>
        </w:numPr>
      </w:pPr>
      <w:r>
        <w:t xml:space="preserve">Version: 4.00 | Tool: GitHub Copilot CLI | Session: fix/dgx-opencode-mcp | Date: 13.08.2026 | Changes: Lisätty §10.30 (OpenCode-ensisijainen DGX-ajoympäristö ja MCP-raja). Kirjaa varmennetun OpenCode 1.18.18 + Ollama/avoimet mallit -kehityspolun, Claude Coden hot standby -roolin, Linux PATH -käsittelyn, gatewayn virtuaaliympäristön, MCP SDK -yhteensopivuuskiinnityksen ja käytöstä poistetun portin 3001 SSE-palvelun muodostaman eksplisiittisen rajan. Lukkoaskel 3.99-&gt;4.00 yhdessä PHD_FIREHORSE §14.50:n / Avainkontribuutio #55:n kanssa.</w:t>
      </w:r>
    </w:p>
    <w:p>
      <w:pPr>
        <w:numPr>
          <w:ilvl w:val="0"/>
          <w:numId w:val="1001"/>
        </w:numPr>
      </w:pPr>
      <w:r>
        <w:t xml:space="preserve">Version: 3.99 | Tool: Claude Code | Session: claude/kya-audit-update | Date: 10.08.2026 | Changes: Lisätty §10.29 (KYA-auditointi ja referenssitoteutuksen tiukentaminen). Toteutusnäyttöä opinnäytetyön laajuussäännön (Thesis Content Scope Rule) mukaisesti; tieteellinen/markkinasignaalivastine on PHD_FIREHORSE §14.49 / Avainkontribuutio #54, joka on lisätty samassa lukkoaskelessa. Kirjaa 10.08.2026 tehdyn KYA-auditoinnin, joka tiukensi referenssitoteutusta: (1) rajoittamalla proaktiiviset advisor-vaiheen herätteet</w:t>
      </w:r>
      <w:r>
        <w:t xml:space="preserve"> </w:t>
      </w:r>
      <w:r>
        <w:rPr>
          <w:rStyle w:val="VerbatimChar"/>
        </w:rPr>
        <w:t xml:space="preserve">compliance</w:t>
      </w:r>
      <w:r>
        <w:t xml:space="preserve">,</w:t>
      </w:r>
      <w:r>
        <w:t xml:space="preserve"> </w:t>
      </w:r>
      <w:r>
        <w:rPr>
          <w:rStyle w:val="VerbatimChar"/>
        </w:rPr>
        <w:t xml:space="preserve">customer-sat</w:t>
      </w:r>
      <w:r>
        <w:t xml:space="preserve"> </w:t>
      </w:r>
      <w:r>
        <w:t xml:space="preserve">ja</w:t>
      </w:r>
      <w:r>
        <w:t xml:space="preserve"> </w:t>
      </w:r>
      <w:r>
        <w:rPr>
          <w:rStyle w:val="VerbatimChar"/>
        </w:rPr>
        <w:t xml:space="preserve">sitesense</w:t>
      </w:r>
      <w:r>
        <w:t xml:space="preserve"> </w:t>
      </w:r>
      <w:r>
        <w:t xml:space="preserve">-agentteihin muiden agenttien pysyessä oletuksena</w:t>
      </w:r>
      <w:r>
        <w:t xml:space="preserve"> </w:t>
      </w:r>
      <w:r>
        <w:rPr>
          <w:rStyle w:val="VerbatimChar"/>
        </w:rPr>
        <w:t xml:space="preserve">silent_pilot</w:t>
      </w:r>
      <w:r>
        <w:t xml:space="preserve">-tilassa, (2) poistamalla viiveen (latency) ATS-pisteenlaskennasta (Agent Trust Score) ja säilyttämällä sen vain havainnoitavuutta palvelevana telemetriana pisteytyksen epävakauden estämiseksi, sekä (3) erottamalla tuotannossa olevien rekisteröityjen agenttien määrän (69) 88 kyvykkyyden/roolin väitteestä näyttöjen eriytymisen (evidence drift) estämiseksi. Lukkoaskel (Lockstep) 3.98-&gt;3.99.</w:t>
      </w:r>
    </w:p>
    <w:p>
      <w:pPr>
        <w:numPr>
          <w:ilvl w:val="0"/>
          <w:numId w:val="1001"/>
        </w:numPr>
      </w:pPr>
      <w:r>
        <w:t xml:space="preserve">Version: 3.98 | Tool: Claude Code (Sonnet 5) | Session: claude/arvonluonnin-ajurit-research-hpiipo | Date: 06.08.2026 | Changes: Added §10.17 (Article 50(4) -merkinnän laajentaminen tekoälyn laatimaan ja konekäännettyyn tekstiin). Implementation evidence per the Thesis Content Scope Rule; the scientific/market-signal counterpart is PHD_FIREHORSE §14.48 / Avainkontribuutio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Lockstep-versionosto 3.93 -&gt; 3.94 CLAUDE.md:n Thesis-saannon mukaan. Ei sisaltomuutosta tahan tiedostoon: v3.94-korjaus (marginaalinen token-kustannus omalla laitteistolla on rajattu, ei nolla; ja kuuden mittarin vaatimus ennen kuin syvyysargumenttia saa kayttaa kaupallisena vaitteena) kuuluu tiedostoon PHD_FIREHORSE §14.45.</w:t>
      </w:r>
    </w:p>
    <w:p>
      <w:pPr>
        <w:numPr>
          <w:ilvl w:val="0"/>
          <w:numId w:val="1001"/>
        </w:numPr>
      </w:pPr>
      <w:r>
        <w:t xml:space="preserve">Version: 3.93 | Tool: Claude Code | Session: claude/enterprise-ai-harness-0anl7s | Date: 30.07.2026 | Changes: Lockstep-versionosto 3.92 -&gt; 3.93 CLAUDE.md:n Thesis-saannon mukaan. Ei sisaltomuutosta tahan tiedostoon: v3.93-lisays (kahden toimintaprofiilin jako, mitoitettavan polven argumentti ja laskenta-plus-lainkayttoalue -kytkenta) on markkinasignaali ja tieteellinen kehystys, ja kuuluu tiedostoon PHD_FIREHORSE §14.45 Loydos 5 / Avainkontribuutio #50.</w:t>
      </w:r>
    </w:p>
    <w:p>
      <w:pPr>
        <w:numPr>
          <w:ilvl w:val="0"/>
          <w:numId w:val="1001"/>
        </w:numPr>
      </w:pPr>
      <w:r>
        <w:t xml:space="preserve">Version: 3.92 | Tool: Claude Code | Session: claude/enterprise-ai-harness-0anl7s | Date: 30.07.2026 | Changes: Lockstep-versionosto 3.91 -&gt; 3.92 CLAUDE.md:n Thesis-saannon mukaan. Ei sisaltomuutosta tahan tiedostoon: v3.92-lisays (harness-maksumuuri / syvyysarbitraasi -dialektiikka ja sen kapasiteettisuunnittelun reunaehto) on markkinasignaali ja tieteellinen kehystys, ja kuuluu tiedostoon PHD_FIREHORSE §14.45 / Avainkontribuutio #50.</w:t>
      </w:r>
    </w:p>
    <w:p>
      <w:pPr>
        <w:numPr>
          <w:ilvl w:val="0"/>
          <w:numId w:val="1001"/>
        </w:numPr>
      </w:pPr>
      <w:r>
        <w:t xml:space="preserve">Version: 3.91 | Tool: Claude Code | Session: claude/ollama-orchestration-merge-047pj7 | Date: 26.07.2026 | Changes: Lockstep-versionosto 3.90 → 3.91 CLAUDE.md:n Thesis-säännön mukaan. Ei sisältömuutosta tähän tiedostoon: v3.91-lisäys (supply-keskittymän mitigointi — ei-NVIDIA-fallback-laskentakerros testbed-tasolla, joka muuntaa lock-inin hallituksi riippuvuudeksi) on markkinasignaali ja kuuluu tiedostoon PHD_FIREHORSE §14.44 Löydös 3.</w:t>
      </w:r>
    </w:p>
    <w:p>
      <w:pPr>
        <w:numPr>
          <w:ilvl w:val="0"/>
          <w:numId w:val="1001"/>
        </w:numPr>
      </w:pPr>
      <w:r>
        <w:t xml:space="preserve">Version: 3.90 | Tool: Claude Code | Session: claude/ollama-orchestration-merge-047pj7 | Date: 26.07.2026 | Changes: Lockstep-versionosto 3.89 → 3.90 CLAUDE.md:n Thesis-säännön mukaan. Ei sisältömuutosta tähän tiedostoon: v3.90-muutos (Cosmos 3 Edge / DeepSeek-V4-Pro speksit VERIFIOITU ensisijaislähteillä 26.07.2026; §14.44:n varauksen päivitys + perhe-tier/physical-AI-tarkennus + FI-tiedoston sijaintikorjaus) on markkinasignaali ja kuuluu tiedostoon PHD_FIREHORSE §14.44.</w:t>
      </w:r>
    </w:p>
    <w:p>
      <w:pPr>
        <w:numPr>
          <w:ilvl w:val="0"/>
          <w:numId w:val="1001"/>
        </w:numPr>
      </w:pPr>
      <w:r>
        <w:t xml:space="preserve">Version: 3.89 | Tool: Claude Code | Session: claude/ollama-orchestration-merge-047pj7 | Date: 26.07.2026 | Changes: Lockstep-versionosto 3.88 → 3.89 kaikissa 4 opinnäytetyötiedostossa CLAUDE.md:n Thesis-säännön mukaan. Ei sisältömuutosta tähän master-opinnäytetiedostoon: v3.89-lisäys (NVIDIA Cosmos 3 Edge -laitteessa ajettava maailmanmalli LWM:n build→adopt-käännekohtana sekä data-sovereign vs supply-keskittymä -jännite) on markkinasignaali/tieteellinen kehystys ja kuuluu §1.4-skooppisäännön mukaan tiedostoon PHD_FIREHORSE_FI.md §14.44 ja avainkontribuutio #49. Kun Cosmos 3 Edge oikeasti wirataan pinoon, toteutusnäyttö lisätään tämän tiedoston Liite E:hen. Speksit ovat ulkoisia/varmentamattomia (käyttäjän raportoimat NVIDIA-ilmoitukset, heinäkuu 2026). Kumppani: docs/field-notes/2026-07-26-cosmos-3-edge-lwm-build-adopt-inflection.md.</w:t>
      </w:r>
    </w:p>
    <w:p>
      <w:pPr>
        <w:numPr>
          <w:ilvl w:val="0"/>
          <w:numId w:val="1001"/>
        </w:numPr>
      </w:pPr>
      <w:r>
        <w:t xml:space="preserve">Version: 3.88 | Tool: Claude Code | Session: claude/ollama-orchestration-merge-047pj7 | Date: 26.07.2026 | Changes: Täydennetty Liite E (LWM-koulutusinfrastruktuuri) varmennetulla koulutuslaitteiston todellisuus -alaluvulla (toteutusnäyttö §1.4 master-vs-PhD-skooppisäännön mukaan; olemassa oleva QLoRA-putken teksti säilytetty Rule 12:n mukaan). Vahvistaa että GN-100 on reuna-INFERENSSI-/kehitysnode — soveltuu pienten (~7–13B) mallien QLoRA-hienosäätöön, EI täyden ~55B LWM:n esikoulutukseen (koulutus vaatii ~8–16× inferenssin muistin → satoja GB–TB vs 128 GB). Kirjaa PR #1720 -varmennuksen joka demotoi erillisen on-prem</w:t>
      </w:r>
      <w:r>
        <w:t xml:space="preserve"> </w:t>
      </w:r>
      <w:r>
        <w:t xml:space="preserve">“</w:t>
      </w:r>
      <w:r>
        <w:t xml:space="preserve">Acer Node</w:t>
      </w:r>
      <w:r>
        <w:t xml:space="preserve">”</w:t>
      </w:r>
      <w:r>
        <w:t xml:space="preserve"> </w:t>
      </w:r>
      <w:r>
        <w:t xml:space="preserve">-koulutusväitteen tilaan Pending Hardware (ei putkikoodia, ei kyseistä x86/2×RTX-4090-nodea, ei go-livea); pilvi (GCP A3 Mega) on ainoa käytettävissä oleva täyskoulutusreitti. Realistinen putki (pilvi-esikoulutus/hienosäätö → NVFP4-kvantisointi Blackwellille → GN-100 reunainferenssi) ja token-capital-kehys (vallihauta = oppimissilmukka + privaatit evaluaatiot omalla fleet-datalla, ei from-scratch 55B). Kumppani: docs/lab-notes/2026-07-26-lwm-training-hardware-reality.md. Lockstep 3.87→3.88 kaikissa 4 tiedostossa; PHD-tiedostot saavat lockstep-merkinnän; Learn/ HTML-regenerointi ODOTTAA (Pandoc).</w:t>
      </w:r>
    </w:p>
    <w:p>
      <w:pPr>
        <w:numPr>
          <w:ilvl w:val="0"/>
          <w:numId w:val="1001"/>
        </w:numPr>
      </w:pPr>
      <w:r>
        <w:t xml:space="preserve">Version: 3.87 | Tool: Claude Code (claude-opus-5) | Session: claude/greg-isenberg-field-notes-a2r544 | Date: 25.07.2026 | Muutokset: Terävöitetty §10.27:ää kahdella kohdalla ulkoisen arvioinnin pohjalta. (1)</w:t>
      </w:r>
      <w:r>
        <w:t xml:space="preserve"> </w:t>
      </w:r>
      <w:r>
        <w:rPr>
          <w:bCs/>
          <w:b/>
        </w:rPr>
        <w:t xml:space="preserve">Yhteensovitusvelka</w:t>
      </w:r>
      <w:r>
        <w:t xml:space="preserve"> </w:t>
      </w:r>
      <w:r>
        <w:t xml:space="preserve">— alkuperäinen teksti sanoi, ettei legitimiteetti</w:t>
      </w:r>
      <w:r>
        <w:t xml:space="preserve"> </w:t>
      </w:r>
      <w:r>
        <w:t xml:space="preserve">“</w:t>
      </w:r>
      <w:r>
        <w:t xml:space="preserve">liiku</w:t>
      </w:r>
      <w:r>
        <w:t xml:space="preserve">”</w:t>
      </w:r>
      <w:r>
        <w:t xml:space="preserve">, mikä aliarvioi riskin: arvioimaton iterointi voi ajautua kauemmas hyväksyttävyydestä samalla kun se sisäisillä mittareilla vaikuttaa paranevan. (2) Lisätty</w:t>
      </w:r>
      <w:r>
        <w:t xml:space="preserve"> </w:t>
      </w:r>
      <w:r>
        <w:rPr>
          <w:bCs/>
          <w:b/>
        </w:rPr>
        <w:t xml:space="preserve">“</w:t>
      </w:r>
      <w:r>
        <w:rPr>
          <w:bCs/>
          <w:b/>
        </w:rPr>
        <w:t xml:space="preserve">Oletuksena sisäinen</w:t>
      </w:r>
      <w:r>
        <w:rPr>
          <w:bCs/>
          <w:b/>
        </w:rPr>
        <w:t xml:space="preserve">”</w:t>
      </w:r>
      <w:r>
        <w:t xml:space="preserve"> </w:t>
      </w:r>
      <w:r>
        <w:t xml:space="preserve">ohjaavaksi tuotealustaperiaatteeksi (§10.27.4 periaate 1, muut uudelleennumeroitu 2–5). EN/FI-lukkoaskel. Tietoisesti EI omaksuttu samasta arvioinnista: väite, että kuilu on</w:t>
      </w:r>
      <w:r>
        <w:t xml:space="preserve"> </w:t>
      </w:r>
      <w:r>
        <w:t xml:space="preserve">“</w:t>
      </w:r>
      <w:r>
        <w:t xml:space="preserve">se kohta jossa suurin osa tekoälynatiivista vaatimustenmukaisuustyöstä epäonnistuu</w:t>
      </w:r>
      <w:r>
        <w:t xml:space="preserve">”</w:t>
      </w:r>
      <w:r>
        <w:t xml:space="preserve"> </w:t>
      </w:r>
      <w:r>
        <w:t xml:space="preserve">— todentamaton markkinaväite, jolle tällä ohjelmalla ei ole aineistoa.</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DB Schenker, DHL ja pohjoismaiset rahtioperaattorit. (Uber, Bolt, Kela ja Taksi Helsinki ovat Lifetime Oy:n luvanvaraisen kuljetustoiminnan</w:t>
      </w:r>
      <w:r>
        <w:t xml:space="preserve"> </w:t>
      </w:r>
      <w:r>
        <w:rPr>
          <w:bCs/>
          <w:b/>
        </w:rPr>
        <w:t xml:space="preserve">välityspalveluita</w:t>
      </w:r>
      <w:r>
        <w:t xml:space="preserve"> </w:t>
      </w:r>
      <w:r>
        <w:t xml:space="preserve">Traficomin määrittelemässä roolissa — kaupallisia vastapuolia, eivät ohjelmistoasiakkaita, eivätkä osa tätä kohdelistaa. Ks.</w:t>
      </w:r>
      <w:r>
        <w:t xml:space="preserve"> </w:t>
      </w:r>
      <w:r>
        <w:rPr>
          <w:rStyle w:val="VerbatimChar"/>
        </w:rPr>
        <w:t xml:space="preserve">docs/TRACTION_CANONICAL.md</w:t>
      </w:r>
      <w:r>
        <w:t xml:space="preser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p>
      <w:pPr>
        <w:pStyle w:val="BlockText"/>
      </w:pPr>
      <w:r>
        <w:rPr>
          <w:bCs/>
          <w:b/>
        </w:rPr>
        <w:t xml:space="preserve">Päivitys (22.08.2026):</w:t>
      </w:r>
      <w:r>
        <w:t xml:space="preserve"> </w:t>
      </w:r>
      <w:r>
        <w:t xml:space="preserve">Alla kuvattu Resend-sähköpostikuljetuskerros on korvattu Amazon SESillä (SMTP) 26.03.2026 tietoturvapoikkeaman jälkeen, jolloin Resend pysyvästi kiellettiin (</w:t>
      </w:r>
      <w:r>
        <w:rPr>
          <w:rStyle w:val="VerbatimChar"/>
        </w:rPr>
        <w:t xml:space="preserve">docs/LOCKED_DECISIONS.md</w:t>
      </w:r>
      <w:r>
        <w:t xml:space="preserve"> </w:t>
      </w:r>
      <w:r>
        <w:t xml:space="preserve">LD-2026-008). Agenttien logiikka ja ajastus ovat ennallaan; vain kuljetustapa eroaa alkuperäisestä tekstistä.</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72"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4"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Start w:id="213" w:name="Xacdb59f0b4a8c580a690848170b23754530b27c"/>
    <w:p>
      <w:pPr>
        <w:pStyle w:val="Heading3"/>
      </w:pPr>
      <w:r>
        <w:t xml:space="preserve">LWM-koulutus — Varmennettu laitteistotodellisuus (v3.88-täydennys)</w:t>
      </w:r>
    </w:p>
    <w:p>
      <w:pPr>
        <w:pStyle w:val="FirstParagraph"/>
      </w:pPr>
      <w:r>
        <w:rPr>
          <w:iCs/>
          <w:i/>
        </w:rPr>
        <w:t xml:space="preserve">Toteutusnäytön skooppikorjaus yllä olevaan putkeen (§1.4 master-vs-PhD-skooppisäännön mukaan). Yllä kuvattu toimialakohtainen QLoRA-hienosäätö — pienet mallit, ~16 h GN-100:lla — on toteutettavissa ja säilyy toimitettuna reittinä. Tämä alaluku tekee näkyväksi rajan jonka heinäkuun 2026 varmennus paljasti; yllä oleva teksti säilytetään muuttumattomana (Rule 12).</w:t>
      </w:r>
    </w:p>
    <w:p>
      <w:pPr>
        <w:pStyle w:val="BodyText"/>
      </w:pPr>
      <w:r>
        <w:rPr>
          <w:bCs/>
          <w:b/>
        </w:rPr>
        <w:t xml:space="preserve">GN-100 on reunainferenssi-/kehitysnode, ei koulutusklusteri.</w:t>
      </w:r>
      <w:r>
        <w:t xml:space="preserve"> </w:t>
      </w:r>
      <w:r>
        <w:t xml:space="preserve">Se hienosäätää (QLoRA) pieniä malleja (~7–13B) ja palvelee inferenssiä; se ei voi esikouluttaa täyttä ~55B Lifetime World Modelia. Koulutuksessa 55B-malli tarvitsee optimoijan tilat, gradientit ja aktivaatiot noin 8–16× inferenssin muistijalanjäljestä — satoja GB–TB ja moni-GPU-yhteydet — vastaan GN-100:n 128 GB yhtenäismuistia.</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-täyskoulutus on Pending Hardware.</w:t>
      </w:r>
      <w:r>
        <w:t xml:space="preserve"> </w:t>
      </w:r>
      <w:r>
        <w:t xml:space="preserve">Repositorion varmennus (PR #1720, 24.07.2026) ei löytänyt koulutusputken koodia eikä go-live-merkintää, ja erikseen kuvattua koulutusnodea (x86, 2× RTX 4090) ei ole repositoriossa; ainoa dokumentoitu Acer-laite on Veriton GN-100 (ARM64 / GB10 reunainferenssi ja kehitys). Enterprise Model Training -reitti joka esitti on-prem-koulutuksen toimitettuna merkittiin uudelleen</w:t>
      </w:r>
      <w:r>
        <w:t xml:space="preserve"> </w:t>
      </w:r>
      <w:r>
        <w:t xml:space="preserve">“</w:t>
      </w:r>
      <w:r>
        <w:t xml:space="preserve">Pending Hardware, ei vielä varmennettu live</w:t>
      </w:r>
      <w:r>
        <w:t xml:space="preserve">”</w:t>
      </w:r>
      <w:r>
        <w:t xml:space="preserve">.</w:t>
      </w:r>
      <w:r>
        <w:t xml:space="preserve"> </w:t>
      </w:r>
      <w:r>
        <w:rPr>
          <w:bCs/>
          <w:b/>
        </w:rPr>
        <w:t xml:space="preserve">Pilvi (GCP A3 Mega) on ainoa käytettävissä oleva täyskoulutusreitti.</w:t>
      </w:r>
    </w:p>
    <w:p>
      <w:pPr>
        <w:pStyle w:val="BodyText"/>
      </w:pPr>
      <w:r>
        <w:rPr>
          <w:bCs/>
          <w:b/>
        </w:rPr>
        <w:t xml:space="preserve">Realistinen putki:</w:t>
      </w:r>
      <w:r>
        <w:t xml:space="preserve"> </w:t>
      </w:r>
      <w:r>
        <w:t xml:space="preserve">pilvi-esikoulutus / hienosäätö (GCP A3 Mega tai vuokra-H100/H200) → NVFP4-kvantisointi Blackwellille suunniteltuna → deploy GN-100:lle reunainferenssiin. Koulutus ja inferenssi ovat eri työkuormia eri laitteistolla.</w:t>
      </w:r>
    </w:p>
    <w:p>
      <w:pPr>
        <w:pStyle w:val="BodyText"/>
      </w:pPr>
      <w:r>
        <w:rPr>
          <w:bCs/>
          <w:b/>
        </w:rPr>
        <w:t xml:space="preserve">Token-capital-kehys:</w:t>
      </w:r>
      <w:r>
        <w:t xml:space="preserve"> </w:t>
      </w:r>
      <w:r>
        <w:t xml:space="preserve">puolustettava omaisuus ei ole from-scratch 55B vaan oppimissilmukka — privaatit evaluaatiot, RL-ympäristö ja adaptointi omalla operatiivisella (fleet-)datalla. Täysi 55B-esikoulutus on pilvi-CAPEXia joka ei itsessään tuota vallihautaa; omistettu silmukka tuottaa.</w:t>
      </w:r>
    </w:p>
    <w:p>
      <w:pPr>
        <w:pStyle w:val="BodyText"/>
      </w:pPr>
      <w:r>
        <w:t xml:space="preserve">Kumppani-lab-note:</w:t>
      </w:r>
      <w:r>
        <w:t xml:space="preserve"> </w:t>
      </w:r>
      <w:r>
        <w:rPr>
          <w:rStyle w:val="VerbatimChar"/>
        </w:rPr>
        <w:t xml:space="preserve">docs/lab-notes/2026-07-26-lwm-training-hardware-reality.md</w:t>
      </w:r>
      <w:r>
        <w:t xml:space="preserve">.</w:t>
      </w:r>
    </w:p>
    <w:bookmarkEnd w:id="213"/>
    <w:bookmarkEnd w:id="214"/>
    <w:bookmarkStart w:id="215"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5"/>
    <w:bookmarkStart w:id="220" w:name="liite-g-sanasto"/>
    <w:p>
      <w:pPr>
        <w:pStyle w:val="Heading2"/>
      </w:pPr>
      <w:r>
        <w:t xml:space="preserve">Liite G: Sanasto</w:t>
      </w:r>
    </w:p>
    <w:bookmarkStart w:id="216"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6"/>
    <w:bookmarkStart w:id="217"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7"/>
    <w:bookmarkStart w:id="218"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8"/>
    <w:bookmarkStart w:id="219"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9"/>
    <w:bookmarkEnd w:id="220"/>
    <w:bookmarkStart w:id="227" w:name="Xc0be1d36bf1a371508630efde8054c46bc7c00c"/>
    <w:p>
      <w:pPr>
        <w:pStyle w:val="Heading2"/>
      </w:pPr>
      <w:r>
        <w:t xml:space="preserve">Liite H: Automatisoitu PR-tyonkulku (HIL-automaatio)</w:t>
      </w:r>
    </w:p>
    <w:bookmarkStart w:id="221"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1"/>
    <w:bookmarkStart w:id="222"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2"/>
    <w:bookmarkStart w:id="223"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3"/>
    <w:bookmarkStart w:id="224"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4"/>
    <w:bookmarkStart w:id="225"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5"/>
    <w:bookmarkStart w:id="226"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6"/>
    <w:bookmarkEnd w:id="227"/>
    <w:bookmarkStart w:id="231"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8"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8"/>
    <w:bookmarkStart w:id="229"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9"/>
    <w:bookmarkStart w:id="230"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30"/>
    <w:bookmarkEnd w:id="231"/>
    <w:bookmarkStart w:id="238" w:name="X7051fc67256a71f64fe73dbe0a705317830f2ac"/>
    <w:p>
      <w:pPr>
        <w:pStyle w:val="Heading2"/>
      </w:pPr>
      <w:r>
        <w:t xml:space="preserve">10.14 Agenttijärjestelmän koventaminen — tuotantoluotettavuus</w:t>
      </w:r>
    </w:p>
    <w:bookmarkStart w:id="232"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2"/>
    <w:bookmarkStart w:id="233"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3"/>
    <w:bookmarkStart w:id="234"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4"/>
    <w:bookmarkStart w:id="235"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5"/>
    <w:bookmarkStart w:id="236"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6"/>
    <w:bookmarkStart w:id="237"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7"/>
    <w:bookmarkEnd w:id="238"/>
    <w:bookmarkStart w:id="316" w:name="Xb98f337ebd186f75b928dae02f80fa92c383681"/>
    <w:p>
      <w:pPr>
        <w:pStyle w:val="Heading2"/>
      </w:pPr>
      <w:r>
        <w:t xml:space="preserve">10.15 PostgreSQL-sarakemuotoinen HTAP-arkkitehtuuri — DWS-tietostandardi</w:t>
      </w:r>
    </w:p>
    <w:bookmarkStart w:id="239"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9"/>
    <w:bookmarkStart w:id="240"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40"/>
    <w:bookmarkStart w:id="241"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1"/>
    <w:bookmarkStart w:id="242"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2"/>
    <w:bookmarkStart w:id="243"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3"/>
    <w:bookmarkStart w:id="244"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4"/>
    <w:bookmarkStart w:id="252"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5"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5"/>
    <w:bookmarkStart w:id="246"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6"/>
    <w:bookmarkStart w:id="247"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7"/>
    <w:bookmarkStart w:id="248"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8"/>
    <w:bookmarkStart w:id="249"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9"/>
    <w:bookmarkStart w:id="250"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50"/>
    <w:bookmarkStart w:id="251"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1"/>
    <w:bookmarkEnd w:id="252"/>
    <w:bookmarkStart w:id="259" w:name="X09355fee7262847c4f1f03fd7aea493e7e0ae4a"/>
    <w:p>
      <w:pPr>
        <w:pStyle w:val="Heading3"/>
      </w:pPr>
      <w:r>
        <w:t xml:space="preserve">10.17 Johtopäätökset: Hiilitase vaatimustenmukaisuusinfrastruktuurina</w:t>
      </w:r>
    </w:p>
    <w:bookmarkStart w:id="253"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3"/>
    <w:bookmarkStart w:id="254"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4"/>
    <w:bookmarkStart w:id="255"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5"/>
    <w:bookmarkStart w:id="256"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6"/>
    <w:bookmarkStart w:id="257"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7"/>
    <w:bookmarkStart w:id="258"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8"/>
    <w:bookmarkEnd w:id="259"/>
    <w:bookmarkStart w:id="265" w:name="X0a36d2dbdca243308c7c7db782fff5e15d5756b"/>
    <w:p>
      <w:pPr>
        <w:pStyle w:val="Heading3"/>
      </w:pPr>
      <w:r>
        <w:t xml:space="preserve">10.18 LWM-sekvensointistrategia — Sääntely-älykkyydestä fyysiseen tekoälyyn</w:t>
      </w:r>
    </w:p>
    <w:bookmarkStart w:id="260"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60"/>
    <w:bookmarkStart w:id="261"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1"/>
    <w:bookmarkStart w:id="262"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2"/>
    <w:bookmarkStart w:id="263"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3"/>
    <w:bookmarkStart w:id="264"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4"/>
    <w:bookmarkEnd w:id="265"/>
    <w:bookmarkStart w:id="270" w:name="Xe9d0528f48f817f30896d7a30cacade49a40079"/>
    <w:p>
      <w:pPr>
        <w:pStyle w:val="Heading3"/>
      </w:pPr>
      <w:r>
        <w:t xml:space="preserve">10.19 Opinnäytetyön versiointistrategia: v3.30.50 Metropolia-jäädytys</w:t>
      </w:r>
    </w:p>
    <w:bookmarkStart w:id="266"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6"/>
    <w:bookmarkStart w:id="267"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7"/>
    <w:bookmarkStart w:id="268"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8"/>
    <w:bookmarkStart w:id="269"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9"/>
    <w:bookmarkEnd w:id="270"/>
    <w:bookmarkStart w:id="277"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1"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1"/>
    <w:bookmarkStart w:id="272"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2"/>
    <w:bookmarkStart w:id="273"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3"/>
    <w:bookmarkStart w:id="274"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4"/>
    <w:bookmarkStart w:id="275"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5"/>
    <w:bookmarkStart w:id="276"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6"/>
    <w:bookmarkEnd w:id="277"/>
    <w:bookmarkStart w:id="286" w:name="X523a116a02a00545647f66481225de5f5b8c689"/>
    <w:p>
      <w:pPr>
        <w:pStyle w:val="Heading3"/>
      </w:pPr>
      <w:r>
        <w:t xml:space="preserve">10.21 Tohtoripolun kohdennus: KYA-perusta, DWS 7 tavoitteet ja dual-use-laajennus</w:t>
      </w:r>
    </w:p>
    <w:bookmarkStart w:id="278"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8"/>
    <w:bookmarkStart w:id="279"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9"/>
    <w:bookmarkStart w:id="280"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80"/>
    <w:bookmarkStart w:id="281"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1"/>
    <w:bookmarkStart w:id="282"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2"/>
    <w:bookmarkStart w:id="283"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3"/>
    <w:bookmarkStart w:id="284"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4"/>
    <w:bookmarkStart w:id="285"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5"/>
    <w:bookmarkEnd w:id="286"/>
    <w:bookmarkStart w:id="294"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7"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7"/>
    <w:bookmarkStart w:id="288"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8"/>
    <w:bookmarkStart w:id="289"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9"/>
    <w:bookmarkStart w:id="290"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90"/>
    <w:bookmarkStart w:id="291"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1"/>
    <w:bookmarkStart w:id="292"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2"/>
    <w:bookmarkStart w:id="293"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3"/>
    <w:bookmarkEnd w:id="294"/>
    <w:bookmarkStart w:id="302" w:name="X74e8ca8ab213c7124ce0435f25833df350dc723"/>
    <w:p>
      <w:pPr>
        <w:pStyle w:val="Heading3"/>
      </w:pPr>
      <w:r>
        <w:t xml:space="preserve">10.23 Kolmen pääoman kertymismalli: token-pääoma, inhimillinen pääoma ja Control Room -pääoma DWS IQ 6 -toimintamallin kestävinä omaisuuserinä</w:t>
      </w:r>
    </w:p>
    <w:bookmarkStart w:id="295"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5"/>
    <w:bookmarkStart w:id="296"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6"/>
    <w:bookmarkStart w:id="297"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7"/>
    <w:bookmarkStart w:id="298"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8"/>
    <w:bookmarkStart w:id="299"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9"/>
    <w:bookmarkStart w:id="300"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300"/>
    <w:bookmarkStart w:id="301"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1"/>
    <w:bookmarkEnd w:id="302"/>
    <w:bookmarkStart w:id="315" w:name="Xc0c62829986fd330cab694c1575c415900e0c37"/>
    <w:p>
      <w:pPr>
        <w:pStyle w:val="Heading3"/>
      </w:pPr>
      <w:r>
        <w:t xml:space="preserve">10.24 Kyvykkyysontologia ja kolmen pilarin konsultointimalli — Agenttitaksonomiasta yritystoimitukseen</w:t>
      </w:r>
    </w:p>
    <w:bookmarkStart w:id="303"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3"/>
    <w:bookmarkStart w:id="304"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4"/>
    <w:bookmarkStart w:id="305"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5"/>
    <w:bookmarkStart w:id="306"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6"/>
    <w:bookmarkStart w:id="307"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7"/>
    <w:bookmarkStart w:id="308"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8"/>
    <w:bookmarkStart w:id="314"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9">
        <w:r>
          <w:rPr>
            <w:rStyle w:val="Hyperlink"/>
          </w:rPr>
          <w:t xml:space="preserve">English Version</w:t>
        </w:r>
      </w:hyperlink>
    </w:p>
    <w:p>
      <w:pPr>
        <w:numPr>
          <w:ilvl w:val="0"/>
          <w:numId w:val="1110"/>
        </w:numPr>
        <w:pStyle w:val="Compact"/>
      </w:pPr>
      <w:hyperlink r:id="rId310">
        <w:r>
          <w:rPr>
            <w:rStyle w:val="Hyperlink"/>
          </w:rPr>
          <w:t xml:space="preserve">Agent Signal Instructions</w:t>
        </w:r>
      </w:hyperlink>
    </w:p>
    <w:p>
      <w:pPr>
        <w:numPr>
          <w:ilvl w:val="0"/>
          <w:numId w:val="1110"/>
        </w:numPr>
        <w:pStyle w:val="Compact"/>
      </w:pPr>
      <w:hyperlink r:id="rId311">
        <w:r>
          <w:rPr>
            <w:rStyle w:val="Hyperlink"/>
          </w:rPr>
          <w:t xml:space="preserve">AgentFoundry Architecture</w:t>
        </w:r>
      </w:hyperlink>
    </w:p>
    <w:p>
      <w:pPr>
        <w:numPr>
          <w:ilvl w:val="0"/>
          <w:numId w:val="1110"/>
        </w:numPr>
        <w:pStyle w:val="Compact"/>
      </w:pPr>
      <w:hyperlink r:id="rId312">
        <w:r>
          <w:rPr>
            <w:rStyle w:val="Hyperlink"/>
          </w:rPr>
          <w:t xml:space="preserve">LWM-koulutusmanuaali</w:t>
        </w:r>
      </w:hyperlink>
    </w:p>
    <w:p>
      <w:pPr>
        <w:numPr>
          <w:ilvl w:val="0"/>
          <w:numId w:val="1110"/>
        </w:numPr>
        <w:pStyle w:val="Compact"/>
      </w:pPr>
      <w:hyperlink r:id="rId313">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4"/>
    <w:bookmarkEnd w:id="315"/>
    <w:bookmarkEnd w:id="316"/>
    <w:bookmarkStart w:id="320" w:name="Xf35edad05fbd34d955a3c0c727e74cb543a8d28"/>
    <w:p>
      <w:pPr>
        <w:pStyle w:val="Heading2"/>
      </w:pPr>
      <w:r>
        <w:t xml:space="preserve">10.16 EU:n tekoälyasetuksen 50 artiklan sisältömerkintä — toteutus</w:t>
      </w:r>
    </w:p>
    <w:bookmarkStart w:id="317" w:name="motivaatio-6"/>
    <w:p>
      <w:pPr>
        <w:pStyle w:val="Heading3"/>
      </w:pPr>
      <w:r>
        <w:t xml:space="preserve">10.16.1 Motivaatio</w:t>
      </w:r>
    </w:p>
    <w:p>
      <w:pPr>
        <w:pStyle w:val="FirstParagraph"/>
      </w:pPr>
      <w:r>
        <w:t xml:space="preserve">Elokuun 2. päivänä 2026 tekoälytoimisto ja kansalliset markkinavalvontaviranomaiset aloittivat tekoälyasetuksen täytäntöönpanon, ja 50 artiklan avoimuusvelvoitteet tulivat sovellettaviksi. DWS julkaisee tekoälyllä tuotettua mediaa omilla julkisilla pinnoillaan, mikä asettaa sen 50(4) artiklan</w:t>
      </w:r>
      <w:r>
        <w:t xml:space="preserve"> </w:t>
      </w:r>
      <w:r>
        <w:rPr>
          <w:bCs/>
          <w:b/>
        </w:rPr>
        <w:t xml:space="preserve">käyttöönottajan</w:t>
      </w:r>
      <w:r>
        <w:t xml:space="preserve"> </w:t>
      </w:r>
      <w:r>
        <w:t xml:space="preserve">rooliin: syväväärennökset ja ilman inhimillistä tarkastusta julkaistu yleistä etua koskeva tekoälyteksti on merkittävä selkeästi ja havaittavasti. Velvoitetta ei ole lykätty — toisin kuin 50(2) artiklan tarjoajan merkitsemisvelvoite, jonka AI Omnibus lykkää joulukuuhun 2026 ennen 2.8.2026 markkinoille saatetuille generatiivisille järjestelmille, syväväärennösten merkitsemiselle ei annettu vastaavaa siirtymäaikaa.</w:t>
      </w:r>
    </w:p>
    <w:p>
      <w:pPr>
        <w:pStyle w:val="BodyText"/>
      </w:pPr>
      <w:r>
        <w:t xml:space="preserve">Kaikkien julkisten DWS-pintojen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auditointi tunnisti altistuneet aineistot: kaksi tekoälyllä tuotettua esittelijävideota ja neljä tekoälyllä tuotettua persoonakuvaa.</w:t>
      </w:r>
    </w:p>
    <w:bookmarkEnd w:id="317"/>
    <w:bookmarkStart w:id="318" w:name="Xe57f7833eef84c5214e778335895ba30ebd52f8"/>
    <w:p>
      <w:pPr>
        <w:pStyle w:val="Heading3"/>
      </w:pPr>
      <w:r>
        <w:t xml:space="preserve">10.16.2 Toteutus: merkintä yhdistetään mediaan, ei sivuun</w:t>
      </w:r>
    </w:p>
    <w:p>
      <w:pPr>
        <w:pStyle w:val="FirstParagraph"/>
      </w:pPr>
      <w:r>
        <w:t xml:space="preserve">Ensimmäinen toteutusyritys sijoitti EU:n</w:t>
      </w:r>
      <w:r>
        <w:t xml:space="preserve"> </w:t>
      </w:r>
      <w:r>
        <w:rPr>
          <w:bCs/>
          <w:b/>
        </w:rPr>
        <w:t xml:space="preserve">AI GENERATED</w:t>
      </w:r>
      <w:r>
        <w:t xml:space="preserve"> </w:t>
      </w:r>
      <w:r>
        <w:t xml:space="preserve">-kuvakkeen HTML/CSS-peittokuvaksi</w:t>
      </w:r>
      <w:r>
        <w:t xml:space="preserve"> </w:t>
      </w:r>
      <w:r>
        <w:rPr>
          <w:rStyle w:val="VerbatimChar"/>
        </w:rPr>
        <w:t xml:space="preserve">&lt;video&gt;</w:t>
      </w:r>
      <w:r>
        <w:t xml:space="preserve">-elementin päälle. Tämä täyttää havaittavuuden niin kauan kuin kävijä on sivulla ja pettää sillä hetkellä kun artefakti poistuu siltä: ladattu tai edelleen jaettu kopio ei kanna merkintää, koska merkintä oli sivun eikä median ominaisuus.</w:t>
      </w:r>
    </w:p>
    <w:p>
      <w:pPr>
        <w:pStyle w:val="BodyText"/>
      </w:pPr>
      <w:r>
        <w:t xml:space="preserve">Toimitettu toteutus yhdistää kuvakkeen videokuviin ennen julkaisua</w:t>
      </w:r>
      <w:r>
        <w:t xml:space="preserve"> </w:t>
      </w:r>
      <w:r>
        <w:rPr>
          <w:rStyle w:val="VerbatimChar"/>
        </w:rPr>
        <w:t xml:space="preserve">ffmpeg</w:t>
      </w:r>
      <w:r>
        <w:t xml:space="preserve">-peittosuodattimella (kuvake skaalattuna noin 22 %:iin kuvan leveydestä, oikeaan alakulmaan, 24 pikselin marginaalilla, koko keston ajan), ja johtaa sitten julistekuvan ja VP9/WebM-varamuodon jo merkitystä masterista, jotta jokainen toimitettu esitysmuoto kantaa merkinnän. Jokainen yhdistelmä varmennettiin visuaalisesti — kuva poimittiin ja tarkastettiin — ennen julkaisua sen sijaan että se olisi oletettu onnistuneesta paluukoodista.</w:t>
      </w:r>
    </w:p>
    <w:p>
      <w:pPr>
        <w:pStyle w:val="BodyText"/>
      </w:pPr>
      <w:r>
        <w:t xml:space="preserve">Persoonakuvat ratkaistiin toisin. Koska tekoälypersoonista koostuva tiimiosio oli korvautumassa todellisilla nimetyillä toimialarooleilla, osio</w:t>
      </w:r>
      <w:r>
        <w:t xml:space="preserve"> </w:t>
      </w:r>
      <w:r>
        <w:rPr>
          <w:bCs/>
          <w:b/>
        </w:rPr>
        <w:t xml:space="preserve">poistettiin</w:t>
      </w:r>
      <w:r>
        <w:t xml:space="preserve"> </w:t>
      </w:r>
      <w:r>
        <w:t xml:space="preserve">merkitsemisen sijaan: aineistojen poistaminen eliminoi altistuman ilman että merkitsemistyötä investoitiin sisältöön, joka oli joka tapauksessa poistumassa. Tämä kirjataan, koska se on yleinen tulos — kun altistunut sisältö on jo korvautumassa, poistaminen voittaa merkitsemisen sekä kustannuksissa että rehellisyydessä.</w:t>
      </w:r>
    </w:p>
    <w:bookmarkEnd w:id="318"/>
    <w:bookmarkStart w:id="319" w:name="syntynyt-insinöörisääntö"/>
    <w:p>
      <w:pPr>
        <w:pStyle w:val="Heading3"/>
      </w:pPr>
      <w:r>
        <w:t xml:space="preserve">10.16.3 Syntynyt insinöörisääntö</w:t>
      </w:r>
    </w:p>
    <w:p>
      <w:pPr>
        <w:pStyle w:val="BlockText"/>
      </w:pPr>
      <w:r>
        <w:t xml:space="preserve">Esityskerroksessa toteutettu avoimuusmerkintä ei ole merkintä; se on kuvateksti.</w:t>
      </w:r>
    </w:p>
    <w:p>
      <w:pPr>
        <w:pStyle w:val="FirstParagraph"/>
      </w:pPr>
      <w:r>
        <w:t xml:space="preserve">50 artiklan sijaintivaatimus on insinöörikielellä vaatimus</w:t>
      </w:r>
      <w:r>
        <w:t xml:space="preserve"> </w:t>
      </w:r>
      <w:r>
        <w:rPr>
          <w:bCs/>
          <w:b/>
        </w:rPr>
        <w:t xml:space="preserve">alkuperätiedosta, joka säilyy ulosviennissä</w:t>
      </w:r>
      <w:r>
        <w:t xml:space="preserve"> </w:t>
      </w:r>
      <w:r>
        <w:t xml:space="preserve">— sama ominaisuus, jonka C2PA-sisältötodisteet väittävät medialle ja jota 12 artiklan evidenssiketju edellyttää agenttilokeilta. Merkintä, joka elää esityskontekstissa, ei voi täyttää sitä. Jokaista merkintätoteutusta on siksi arvioitava kysymyksellä</w:t>
      </w:r>
      <w:r>
        <w:t xml:space="preserve"> </w:t>
      </w:r>
      <w:r>
        <w:rPr>
          <w:iCs/>
          <w:i/>
        </w:rPr>
        <w:t xml:space="preserve">“</w:t>
      </w:r>
      <w:r>
        <w:rPr>
          <w:iCs/>
          <w:i/>
        </w:rPr>
        <w:t xml:space="preserve">säilyykö tämä latauksessa ja edelleenjaossa?</w:t>
      </w:r>
      <w:r>
        <w:rPr>
          <w:iCs/>
          <w:i/>
        </w:rPr>
        <w:t xml:space="preserve">”</w:t>
      </w:r>
      <w:r>
        <w:t xml:space="preserve">, ja vain mediaan yhdistäminen (tai kryptografisesti sidottu oheistiedosto, jota kuluttava pinta on velvollinen kunnioittamaan) läpäisee sen.</w:t>
      </w:r>
    </w:p>
    <w:p>
      <w:pPr>
        <w:pStyle w:val="BodyText"/>
      </w:pPr>
      <w:r>
        <w:t xml:space="preserve">Vastaava toiminnallinen löydös on, että</w:t>
      </w:r>
      <w:r>
        <w:t xml:space="preserve"> </w:t>
      </w:r>
      <w:r>
        <w:rPr>
          <w:bCs/>
          <w:b/>
        </w:rPr>
        <w:t xml:space="preserve">käyttöönottajan puolen merkintä, ei tarjoajan puolen vesileimaus, on lähiajan sitova rajoite</w:t>
      </w:r>
      <w:r>
        <w:t xml:space="preserve">: 50 artiklan puolisko, joka on halpa toteuttaa ja sääntelijän välittömästi tarkistettavissa, on se puolisko, jolla ei ole siirtymäaikaa.</w:t>
      </w:r>
    </w:p>
    <w:p>
      <w:pPr>
        <w:pStyle w:val="BodyText"/>
      </w:pPr>
      <w:r>
        <w:rPr>
          <w:iCs/>
          <w:i/>
        </w:rPr>
        <w:t xml:space="preserve">Kenttämuistiinpanot:</w:t>
      </w:r>
      <w:r>
        <w:rPr>
          <w:iCs/>
          <w:i/>
        </w:rPr>
        <w:t xml:space="preserve"> </w:t>
      </w:r>
      <w:r>
        <w:rPr>
          <w:rStyle w:val="VerbatimChar"/>
          <w:iCs/>
          <w:i/>
        </w:rPr>
        <w:t xml:space="preserve">docs/field-notes/2026-07-31-article-50-transparency-marking-audit.md</w:t>
      </w:r>
      <w:r>
        <w:rPr>
          <w:iCs/>
          <w:i/>
        </w:rPr>
        <w:t xml:space="preserve"> </w:t>
      </w:r>
      <w:r>
        <w:rPr>
          <w:iCs/>
          <w:i/>
        </w:rPr>
        <w:t xml:space="preserve">ja</w:t>
      </w:r>
      <w:r>
        <w:rPr>
          <w:iCs/>
          <w:i/>
        </w:rPr>
        <w:t xml:space="preserve"> </w:t>
      </w:r>
      <w:r>
        <w:rPr>
          <w:rStyle w:val="VerbatimChar"/>
          <w:iCs/>
          <w:i/>
        </w:rPr>
        <w:t xml:space="preserve">docs/field-notes/2026-08-01-persona-retirement-and-reveal.md</w:t>
      </w:r>
      <w:r>
        <w:rPr>
          <w:iCs/>
          <w:i/>
        </w:rPr>
        <w:t xml:space="preserve">. Tieteellinen uudelleenmuotoilu ja velvoite–kyvykkyys-analyysi: PHD_FIREHORSE §14.46 (Avainkontribuutio #51).</w:t>
      </w:r>
    </w:p>
    <w:p>
      <w:r>
        <w:pict>
          <v:rect style="width:0;height:1.5pt" o:hralign="center" o:hrstd="t" o:hr="t"/>
        </w:pict>
      </w:r>
    </w:p>
    <w:bookmarkEnd w:id="319"/>
    <w:bookmarkEnd w:id="320"/>
    <w:bookmarkStart w:id="324" w:name="X1ff6bac09096368272f1fb3101ee8ca1658f8ce"/>
    <w:p>
      <w:pPr>
        <w:pStyle w:val="Heading2"/>
      </w:pPr>
      <w:r>
        <w:t xml:space="preserve">10.17 Article 50(4) -merkinnän laajentaminen tekoälyn laatimaan ja konekäännettyyn tekstiin</w:t>
      </w:r>
    </w:p>
    <w:bookmarkStart w:id="321" w:name="motivaatio-7"/>
    <w:p>
      <w:pPr>
        <w:pStyle w:val="Heading3"/>
      </w:pPr>
      <w:r>
        <w:t xml:space="preserve">10.17.1 Motivaatio</w:t>
      </w:r>
    </w:p>
    <w:p>
      <w:pPr>
        <w:pStyle w:val="FirstParagraph"/>
      </w:pPr>
      <w:r>
        <w:t xml:space="preserve">§10.16 käsitteli tekoälyn generoimaa mediaa. 6.8.2026 laadittiin, hyväksyttiin ja julkaistiin viisikielinen field note -postaus (EN/FI/SV/DE/FR) —</w:t>
      </w:r>
      <w:r>
        <w:t xml:space="preserve"> </w:t>
      </w:r>
      <w:r>
        <w:rPr>
          <w:rStyle w:val="VerbatimChar"/>
        </w:rPr>
        <w:t xml:space="preserve">onelifetime.world/posts/arvonluonnin-ajurit-2026*.html</w:t>
      </w:r>
      <w:r>
        <w:t xml:space="preserve">, joka kartoittaa suoraan</w:t>
      </w:r>
      <w:r>
        <w:t xml:space="preserve"> </w:t>
      </w:r>
      <w:r>
        <w:rPr>
          <w:rStyle w:val="VerbatimChar"/>
        </w:rPr>
        <w:t xml:space="preserve">docs/KONSULTOINNIN_KASIKIRJA_2026.md</w:t>
      </w:r>
      <w:r>
        <w:t xml:space="preserve"> </w:t>
      </w:r>
      <w:r>
        <w:t xml:space="preserve">§2.1/§2.2:n arvonluonnin ajurit -sisällön. EN- ja FI-versiot olivat agentin laatimia; SV, DE ja FR tuotti ulkoinen kielimalli (Google Gemini) HIC:n ohjeesta ja ne mukautettiin sivupohjiin. Yhdelläkään versiolla ei ollut nimettyä ihmistarkastajaa ennen julkaisua, ja kaikki viisi sisältävät sääntelysisältöä itse leipätekstissä (Article 12/50 -päivämäärät, CBAM, ETS2, KYA-S1). Tämä nosti esiin kysymyksen, jonka §10.16 jätti auki tekstille median sijaan: koskeeko sama käyttöönottajan velvoite ja sama suunnittelusääntö myös sitä?</w:t>
      </w:r>
    </w:p>
    <w:bookmarkEnd w:id="321"/>
    <w:bookmarkStart w:id="322" w:name="Xc4890d6cd561f432462486fe57c2fbf24c50037"/>
    <w:p>
      <w:pPr>
        <w:pStyle w:val="Heading3"/>
      </w:pPr>
      <w:r>
        <w:t xml:space="preserve">10.17.2 Toteutus: oletusarvoisesti-päällä-merkintä rakennusaikaisena invarianttina</w:t>
      </w:r>
    </w:p>
    <w:p>
      <w:pPr>
        <w:pStyle w:val="FirstParagraph"/>
      </w:pPr>
      <w:r>
        <w:rPr>
          <w:rStyle w:val="VerbatimChar"/>
        </w:rPr>
        <w:t xml:space="preserve">DWS_BLOG_STANDARD.md</w:t>
      </w:r>
      <w:r>
        <w:t xml:space="preserve"> </w:t>
      </w:r>
      <w:r>
        <w:t xml:space="preserve">§3.2.1 oli jo määrittänyt säädöstä tiukemman neljän ehdon testin merkinnän poistamiselle (nimetty tarkastaja, osoitettu muutos-/hylkäysvaltuus, julkisesti tavoitettava yhteystieto, eksplisiittinen poistotoimi) — kirjoitettu §10.16:n mediatyön jälkeen, ei vielä koskaan sovellettu elävään julkaisuun. Tämä sessio oli ensimmäinen testi:</w:t>
      </w:r>
      <w:r>
        <w:t xml:space="preserve"> </w:t>
      </w:r>
      <w:r>
        <w:rPr>
          <w:rStyle w:val="VerbatimChar"/>
        </w:rPr>
        <w:t xml:space="preserve">scripts/build-arvonluonnin-ajurit-post.mjs</w:t>
      </w:r>
      <w:r>
        <w:t xml:space="preserve"> </w:t>
      </w:r>
      <w:r>
        <w:t xml:space="preserve">renderöi kaikki viisi hyväksyttyä luonnosta (</w:t>
      </w:r>
      <w:r>
        <w:rPr>
          <w:rStyle w:val="VerbatimChar"/>
        </w:rPr>
        <w:t xml:space="preserve">docs/blog-drafts/arvonluonnin-ajurit-2026*.md</w:t>
      </w:r>
      <w:r>
        <w:t xml:space="preserve">) HTML:ksi ja liittää ehdoitta kielikohtaisen</w:t>
      </w:r>
      <w:r>
        <w:t xml:space="preserve"> </w:t>
      </w:r>
      <w:r>
        <w:rPr>
          <w:rStyle w:val="VerbatimChar"/>
        </w:rPr>
        <w:t xml:space="preserve">&lt;aside class="ai-notice"&gt;</w:t>
      </w:r>
      <w:r>
        <w:t xml:space="preserve">-elementin heti</w:t>
      </w:r>
      <w:r>
        <w:t xml:space="preserve"> </w:t>
      </w:r>
      <w:r>
        <w:rPr>
          <w:rStyle w:val="VerbatimChar"/>
        </w:rPr>
        <w:t xml:space="preserve">&lt;/header&gt;</w:t>
      </w:r>
      <w:r>
        <w:t xml:space="preserve">:n jälkeen, ennen artikkelin runkoa — lähteenä skriptin kielikohtainen ilmoitustaulukko, ei postauskohtainen kirjoitus. Yhtäkään neljästä poistoehdosta ei ollut täytetty yhdellekään viidestä sivusta julkaisuhetkellä, joten kaikki viisi julkaistiin merkinnän kanssa.</w:t>
      </w:r>
    </w:p>
    <w:p>
      <w:pPr>
        <w:pStyle w:val="BodyText"/>
      </w:pPr>
      <w:r>
        <w:t xml:space="preserve">Yksi toteutusyksityiskohta osoittautui käytännössä merkitykselliseksi: HIC:n oma keskustelunaikainen hyväksyntä luonnoksille (joka täytti Säännön 13 / §3.3 julkaisuportin) käsiteltiin aluksi ikään kuin se olisi myös ratkaissut merkintäkysymyksen. Näin ei ole. Julkaisuportti kysyy</w:t>
      </w:r>
      <w:r>
        <w:t xml:space="preserve"> </w:t>
      </w:r>
      <w:r>
        <w:t xml:space="preserve">“</w:t>
      </w:r>
      <w:r>
        <w:t xml:space="preserve">luetko ja hyväksyikö ihminen tämän tekstin ennen julkaisua</w:t>
      </w:r>
      <w:r>
        <w:t xml:space="preserve">”</w:t>
      </w:r>
      <w:r>
        <w:t xml:space="preserve">; merkintäportti kysyy</w:t>
      </w:r>
      <w:r>
        <w:t xml:space="preserve"> </w:t>
      </w:r>
      <w:r>
        <w:t xml:space="preserve">“</w:t>
      </w:r>
      <w:r>
        <w:t xml:space="preserve">onko tällä nimenomaisella sivulla nimetty, julkisesti tavoitettava, vastuullinen tarkastaja mainittu.</w:t>
      </w:r>
      <w:r>
        <w:t xml:space="preserve">”</w:t>
      </w:r>
      <w:r>
        <w:t xml:space="preserve"> </w:t>
      </w:r>
      <w:r>
        <w:t xml:space="preserve">Ensimmäinen tapahtui; jälkimmäinen ei. Sekä luonnokset että rakennusskripti korjattiin pitämään merkintä päällä kaikilla viidellä sivulla sen sijaan, että oletettaisiin keskustelunaikaisen hyväksynnän vapauttavan merkintävelvoitteesta.</w:t>
      </w:r>
    </w:p>
    <w:bookmarkEnd w:id="322"/>
    <w:bookmarkStart w:id="323" w:name="tämän-tuottama-insinöörisääntö"/>
    <w:p>
      <w:pPr>
        <w:pStyle w:val="Heading3"/>
      </w:pPr>
      <w:r>
        <w:t xml:space="preserve">10.17.3 Tämän tuottama insinöörisääntö</w:t>
      </w:r>
    </w:p>
    <w:p>
      <w:pPr>
        <w:pStyle w:val="BlockText"/>
      </w:pPr>
      <w:r>
        <w:t xml:space="preserve">Julkaisuhyväksyntäportti ja sisällön alkuperämerkintäportti eivät ole sama väline, vaikka sama henkilö operoisi molempia samassa keskustelussa.</w:t>
      </w:r>
    </w:p>
    <w:p>
      <w:pPr>
        <w:pStyle w:val="FirstParagraph"/>
      </w:pPr>
      <w:r>
        <w:t xml:space="preserve">§10.16:n kompositointisäännön (</w:t>
      </w:r>
      <w:r>
        <w:t xml:space="preserve">“</w:t>
      </w:r>
      <w:r>
        <w:t xml:space="preserve">merkitse artefakti, älä sivu</w:t>
      </w:r>
      <w:r>
        <w:t xml:space="preserve">”</w:t>
      </w:r>
      <w:r>
        <w:t xml:space="preserve">) korollaari monikieliselle tekstiputkelle on:</w:t>
      </w:r>
      <w:r>
        <w:t xml:space="preserve"> </w:t>
      </w:r>
      <w:r>
        <w:rPr>
          <w:bCs/>
          <w:b/>
        </w:rPr>
        <w:t xml:space="preserve">liitä merkintä rakennusaikana taulukosta, älä kirjoitusaikana muistista.</w:t>
      </w:r>
      <w:r>
        <w:t xml:space="preserve"> </w:t>
      </w:r>
      <w:r>
        <w:t xml:space="preserve">Ihmiskirjoittaja, jota pyydetään muistamaan merkintä viidelle erikseen laaditulle sivulle, unohtaa sen vähintään yhdeltä; rakennusskripti, joka ei voi renderöidä sivua konsultoimatta ilmoitustaulukkoa, ei voi unohtaa. Tämä on sama siirto kuin EU-kuvakkeen kompositointi videokehyksiin — invariantin siirtäminen ihmisen muistista artefaktia tuottavaan putkeen.</w:t>
      </w:r>
    </w:p>
    <w:p>
      <w:pPr>
        <w:pStyle w:val="BodyText"/>
      </w:pP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 Tieteellinen uudelleenmuotoilu ja velvoite–kyvykkyys-analyysi: PHD_FIREHORSE §14.48 (Avainkontribuutio #53).</w:t>
      </w:r>
    </w:p>
    <w:p>
      <w:r>
        <w:pict>
          <v:rect style="width:0;height:1.5pt" o:hralign="center" o:hrstd="t" o:hr="t"/>
        </w:pict>
      </w:r>
    </w:p>
    <w:bookmarkEnd w:id="323"/>
    <w:bookmarkEnd w:id="324"/>
    <w:bookmarkStart w:id="371"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50"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25"/>
            </w:r>
            <w:r>
              <w:t xml:space="preserve">,</w:t>
            </w:r>
            <w:r>
              <w:t xml:space="preserve"> </w:t>
            </w:r>
            <w:r>
              <w:rPr>
                <w:rStyle w:val="FootnoteReference"/>
              </w:rPr>
              <w:footnoteReference w:id="326"/>
            </w:r>
            <w:r>
              <w:t xml:space="preserve">,</w:t>
            </w:r>
            <w:r>
              <w:t xml:space="preserve"> </w:t>
            </w:r>
            <w:r>
              <w:rPr>
                <w:rStyle w:val="FootnoteReference"/>
              </w:rPr>
              <w:footnoteReference w:id="327"/>
            </w:r>
            <w:r>
              <w:t xml:space="preserve">,</w:t>
            </w:r>
            <w:r>
              <w:t xml:space="preserve"> </w:t>
            </w:r>
            <w:r>
              <w:rPr>
                <w:rStyle w:val="FootnoteReference"/>
              </w:rPr>
              <w:footnoteReference w:id="329"/>
            </w:r>
            <w:r>
              <w:t xml:space="preserve">,</w:t>
            </w:r>
            <w:r>
              <w:t xml:space="preserve"> </w:t>
            </w:r>
            <w:r>
              <w:rPr>
                <w:rStyle w:val="FootnoteReference"/>
              </w:rPr>
              <w:footnoteReference w:id="330"/>
            </w:r>
            <w:r>
              <w:t xml:space="preserve">,</w:t>
            </w:r>
            <w:r>
              <w:t xml:space="preserve"> </w:t>
            </w:r>
            <w:r>
              <w:rPr>
                <w:rStyle w:val="FootnoteReference"/>
              </w:rPr>
              <w:footnoteReference w:id="331"/>
            </w:r>
            <w:r>
              <w:t xml:space="preserve">,</w:t>
            </w:r>
            <w:r>
              <w:t xml:space="preserve"> </w:t>
            </w:r>
            <w:r>
              <w:rPr>
                <w:rStyle w:val="FootnoteReference"/>
              </w:rPr>
              <w:footnoteReference w:id="332"/>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Pilotti- ja tapaustutkimusluku (Outokumpu Tier-1)</w:t>
            </w:r>
          </w:p>
        </w:tc>
        <w:tc>
          <w:tcPr/>
          <w:p>
            <w:pPr>
              <w:pStyle w:val="Compact"/>
              <w:jc w:val="left"/>
            </w:pPr>
            <w:r>
              <w:rPr>
                <w:rStyle w:val="FootnoteReference"/>
              </w:rPr>
              <w:footnoteReference w:id="336"/>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37"/>
            </w:r>
          </w:p>
        </w:tc>
      </w:tr>
      <w:tr>
        <w:tc>
          <w:tcPr/>
          <w:p>
            <w:pPr>
              <w:pStyle w:val="Compact"/>
              <w:jc w:val="left"/>
            </w:pPr>
            <w:r>
              <w:t xml:space="preserve">Kumppanuusluku (xAI ym.)</w:t>
            </w:r>
          </w:p>
        </w:tc>
        <w:tc>
          <w:tcPr/>
          <w:p>
            <w:pPr>
              <w:pStyle w:val="Compact"/>
              <w:jc w:val="left"/>
            </w:pPr>
            <w:r>
              <w:rPr>
                <w:rStyle w:val="FootnoteReference"/>
              </w:rPr>
              <w:footnoteReference w:id="338"/>
            </w:r>
            <w:r>
              <w:t xml:space="preserve">,</w:t>
            </w:r>
            <w:r>
              <w:t xml:space="preserve"> </w:t>
            </w:r>
            <w:r>
              <w:rPr>
                <w:rStyle w:val="FootnoteReference"/>
              </w:rPr>
              <w:footnoteReference w:id="339"/>
            </w:r>
          </w:p>
        </w:tc>
      </w:tr>
      <w:tr>
        <w:tc>
          <w:tcPr/>
          <w:p>
            <w:pPr>
              <w:pStyle w:val="Compact"/>
              <w:jc w:val="left"/>
            </w:pPr>
            <w:r>
              <w:t xml:space="preserve">Kvantti- ja kryptografialuku</w:t>
            </w:r>
          </w:p>
        </w:tc>
        <w:tc>
          <w:tcPr/>
          <w:p>
            <w:pPr>
              <w:pStyle w:val="Compact"/>
              <w:jc w:val="left"/>
            </w:pPr>
            <w:r>
              <w:rPr>
                <w:rStyle w:val="FootnoteReference"/>
              </w:rPr>
              <w:footnoteReference w:id="340"/>
            </w:r>
            <w:r>
              <w:t xml:space="preserve">,</w:t>
            </w:r>
            <w:r>
              <w:t xml:space="preserve"> </w:t>
            </w:r>
            <w:r>
              <w:rPr>
                <w:rStyle w:val="FootnoteReference"/>
              </w:rPr>
              <w:footnoteReference w:id="341"/>
            </w:r>
            <w:r>
              <w:t xml:space="preserve">,</w:t>
            </w:r>
            <w:r>
              <w:t xml:space="preserve"> </w:t>
            </w:r>
            <w:r>
              <w:rPr>
                <w:rStyle w:val="FootnoteReference"/>
              </w:rPr>
              <w:footnoteReference w:id="343"/>
            </w:r>
            <w:r>
              <w:t xml:space="preserve">,</w:t>
            </w:r>
            <w:r>
              <w:t xml:space="preserve"> </w:t>
            </w:r>
            <w:r>
              <w:rPr>
                <w:rStyle w:val="FootnoteReference"/>
              </w:rPr>
              <w:footnoteReference w:id="345"/>
            </w:r>
          </w:p>
        </w:tc>
      </w:tr>
      <w:tr>
        <w:tc>
          <w:tcPr/>
          <w:p>
            <w:pPr>
              <w:pStyle w:val="Compact"/>
              <w:jc w:val="left"/>
            </w:pPr>
            <w:r>
              <w:t xml:space="preserve">Sääntelyluku (EU AI Act, eIDAS 2.0, EU Data Act)</w:t>
            </w:r>
          </w:p>
        </w:tc>
        <w:tc>
          <w:tcPr/>
          <w:p>
            <w:pPr>
              <w:pStyle w:val="Compact"/>
              <w:jc w:val="left"/>
            </w:pPr>
            <w:r>
              <w:rPr>
                <w:rStyle w:val="FootnoteReference"/>
              </w:rPr>
              <w:footnoteReference w:id="347"/>
            </w:r>
            <w:r>
              <w:t xml:space="preserve">,</w:t>
            </w:r>
            <w:r>
              <w:t xml:space="preserve"> </w:t>
            </w:r>
            <w:r>
              <w:rPr>
                <w:rStyle w:val="FootnoteReference"/>
              </w:rPr>
              <w:footnoteReference w:id="348"/>
            </w:r>
            <w:r>
              <w:t xml:space="preserve">,</w:t>
            </w:r>
            <w:r>
              <w:t xml:space="preserve"> </w:t>
            </w:r>
            <w:r>
              <w:rPr>
                <w:rStyle w:val="FootnoteReference"/>
              </w:rPr>
              <w:footnoteReference w:id="349"/>
            </w:r>
          </w:p>
        </w:tc>
      </w:tr>
    </w:tbl>
    <w:bookmarkEnd w:id="350"/>
    <w:bookmarkStart w:id="351" w:name="alaviite-bibliografia"/>
    <w:p>
      <w:pPr>
        <w:pStyle w:val="Heading3"/>
      </w:pPr>
      <w:r>
        <w:t xml:space="preserve">Alaviite-bibliografia</w:t>
      </w:r>
    </w:p>
    <w:bookmarkEnd w:id="351"/>
    <w:bookmarkStart w:id="358" w:name="X321df3f3d4d1b28d97bdb33e1d84a6175b0a5b1"/>
    <w:p>
      <w:pPr>
        <w:pStyle w:val="Heading3"/>
      </w:pPr>
      <w:r>
        <w:t xml:space="preserve">10.25 Monikielinen havainnointi tuotannossa: Aspire Dashboardin käyttöönotto ja hiljaisen telemetrian häiriö</w:t>
      </w:r>
    </w:p>
    <w:bookmarkStart w:id="352"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52"/>
    <w:bookmarkStart w:id="353"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53"/>
    <w:bookmarkStart w:id="354"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54"/>
    <w:bookmarkStart w:id="355"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55"/>
    <w:bookmarkStart w:id="356"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56"/>
    <w:bookmarkStart w:id="357"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57"/>
    <w:bookmarkEnd w:id="358"/>
    <w:bookmarkStart w:id="359"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9"/>
    <w:bookmarkStart w:id="364"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60"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p>
      <w:pPr>
        <w:pStyle w:val="FirstParagraph"/>
      </w:pPr>
      <w:r>
        <w:rPr>
          <w:bCs/>
          <w:b/>
        </w:rPr>
        <w:t xml:space="preserve">Ja kuilu voi leventyä eikä vain pysyä.</w:t>
      </w:r>
      <w:r>
        <w:t xml:space="preserve"> </w:t>
      </w:r>
      <w:r>
        <w:t xml:space="preserve">Toteamus, että legitimiteetti</w:t>
      </w:r>
      <w:r>
        <w:t xml:space="preserve"> </w:t>
      </w:r>
      <w:r>
        <w:t xml:space="preserve">“</w:t>
      </w:r>
      <w:r>
        <w:t xml:space="preserve">ei liiku</w:t>
      </w:r>
      <w:r>
        <w:t xml:space="preserve">”</w:t>
      </w:r>
      <w:r>
        <w:t xml:space="preserve">, aliarvioi riskin. Standardointielimen hyväksymiskriteerit muodostuvat konsensuksessa osapuolten kesken, joilla on toisistaan poikkeavat kaupalliset intressit; yksin laadittu artefakti optimoi sen sijaan sisäistä johdonmukaisuutta, koska se on ainoa rajoite, jonka sen laatija voi tuntea. Jokainen arvioimaton iteraatio parantaa siis dokumenttia väärää tavoitefunktiota vastaan ja voi ajautua</w:t>
      </w:r>
      <w:r>
        <w:t xml:space="preserve"> </w:t>
      </w:r>
      <w:r>
        <w:rPr>
          <w:iCs/>
          <w:i/>
        </w:rPr>
        <w:t xml:space="preserve">kauemmas</w:t>
      </w:r>
      <w:r>
        <w:t xml:space="preserve"> </w:t>
      </w:r>
      <w:r>
        <w:t xml:space="preserve">siitä, mitä elin hyväksyisi, samalla kun se jokaisella sisäisesti näkyvällä mittarilla vaikuttaa paranevan.</w:t>
      </w:r>
      <w:r>
        <w:t xml:space="preserve"> </w:t>
      </w:r>
      <w:r>
        <w:rPr>
          <w:bCs/>
          <w:b/>
        </w:rPr>
        <w:t xml:space="preserve">Arvioimaton iterointi ei vain jätä legitimiteettiä kertymättä; se voi kerryttää yhteensovitusvelkaa.</w:t>
      </w:r>
      <w:r>
        <w:t xml:space="preserve"> </w:t>
      </w:r>
      <w:r>
        <w:t xml:space="preserve">Teknisesti paras versio ei ole välttämättä lähinnä hyväksyttävyyttä oleva versio, eikä mikään laatineen organisaation sisällä erota näitä kahta.</w:t>
      </w:r>
    </w:p>
    <w:bookmarkEnd w:id="360"/>
    <w:bookmarkStart w:id="361"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61"/>
    <w:bookmarkStart w:id="362"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62"/>
    <w:bookmarkStart w:id="363"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Oletuksena sisäinen.</w:t>
      </w:r>
      <w:r>
        <w:t xml:space="preserve"> </w:t>
      </w:r>
      <w:r>
        <w:t xml:space="preserve">Spesifikaatio on</w:t>
      </w:r>
      <w:r>
        <w:t xml:space="preserve"> </w:t>
      </w:r>
      <w:r>
        <w:rPr>
          <w:bCs/>
          <w:b/>
        </w:rPr>
        <w:t xml:space="preserve">sisäinen työartefakti</w:t>
      </w:r>
      <w:r>
        <w:t xml:space="preserve">, kunnes se ansaitsee ulkoisen validoinnin kohdelainkäyttöalueensa oikean portin kautta. Alustan asenne ei ole julkaista nopeammin vaan</w:t>
      </w:r>
      <w:r>
        <w:t xml:space="preserve"> </w:t>
      </w:r>
      <w:r>
        <w:rPr>
          <w:bCs/>
          <w:b/>
        </w:rPr>
        <w:t xml:space="preserve">ansaita käyttöönotto sillä tahdilla, jota kukin elin edellyttää</w:t>
      </w:r>
      <w:r>
        <w:t xml:space="preserve"> </w:t>
      </w:r>
      <w:r>
        <w:t xml:space="preserve">— tahdilla, jota alusta ei aseta eikä voi puristaa. Tämä on ohjaava oletus; neljä alla olevaa periaatetta toimivat sen alaisuudessa.</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63"/>
    <w:bookmarkEnd w:id="364"/>
    <w:bookmarkStart w:id="368" w:name="Xb416f2dbf2eee1d9d330b687e4ea4881e4fa685"/>
    <w:p>
      <w:pPr>
        <w:pStyle w:val="Heading3"/>
      </w:pPr>
      <w:r>
        <w:t xml:space="preserve">10.28 Suoritushistoriatietoinen mallieskalaatio: DWS Factory Router</w:t>
      </w:r>
    </w:p>
    <w:p>
      <w:pPr>
        <w:pStyle w:val="FirstParagraph"/>
      </w:pPr>
      <w:r>
        <w:t xml:space="preserve">DWS IQ 6 ajaa agentteja kustannustikkailla: halvat mallit ottavat jokaisen tehtävän ensin, ja kyvykkyyttä ostetaan vasta kun näyttö sitä vaatii. Elokuuhun 2026 asti eskalaatio oli manuaalinen — operaattori huomasi jumiutuneen istunnon ja ajoi sen uudelleen vahvemmalla mallilla. Tämä luku tallentaa toteutuksen, joka mekanisoi päätöksen, sekä auditointivetoisen omaksu/mukauta-polun, joka sen tuotti.</w:t>
      </w:r>
    </w:p>
    <w:bookmarkStart w:id="365" w:name="omaksumukauta-päätös"/>
    <w:p>
      <w:pPr>
        <w:pStyle w:val="Heading4"/>
      </w:pPr>
      <w:r>
        <w:t xml:space="preserve">10.28.1 Omaksu/mukauta-päätös</w:t>
      </w:r>
    </w:p>
    <w:p>
      <w:pPr>
        <w:pStyle w:val="FirstParagraph"/>
      </w:pPr>
      <w:r>
        <w:t xml:space="preserve">Kandidaatti oli SageRoute (codejunkie99/sageroute, MIT), heinäkuussa 2026 julkaistu suoritushistoriatietoinen reititysproxy. Lähdekooditason auditointi (kenttämuistiinpano</w:t>
      </w:r>
      <w:r>
        <w:t xml:space="preserve"> </w:t>
      </w:r>
      <w:r>
        <w:rPr>
          <w:rStyle w:val="VerbatimChar"/>
        </w:rPr>
        <w:t xml:space="preserve">docs/field-notes/2026-08-03-agent-factory-sageroute-audit.md</w:t>
      </w:r>
      <w:r>
        <w:t xml:space="preserve">) totesi deterministisen ytimen erinomaiseksi ja käyttöönottoasetelman DWS:lle kelvottomaksi kolmella perusteella: jokainen reitityspäätös lähetti tehtävätekstin ja työkalutulosteiden katkelmia ulkoiselle päätösrajapinnalle (Levanto Sage), jolla ei ole löydettävissä olevaa GDPR-asemaa; OAuth-moduuli esiintyi ensimmäisen osapuolen CLI-asiakkaina reitittääkseen kuluttajatilausten kiintiötä proxyn läpi — palveluehtorikkomusvektori; ja koodikanta oli kaksi päivää vanha, yksi havaittu live-eskalaatio. Päätös — HYLKÄÄ käyttöönotto, MUKAUTA deterministiset osat — ratifioitiin HIC:llä ja toimitettiin samana päivänä muodossa</w:t>
      </w:r>
      <w:r>
        <w:t xml:space="preserve"> </w:t>
      </w:r>
      <w:r>
        <w:rPr>
          <w:rStyle w:val="VerbatimChar"/>
        </w:rPr>
        <w:t xml:space="preserve">src/factory/</w:t>
      </w:r>
      <w:r>
        <w:t xml:space="preserve">.</w:t>
      </w:r>
    </w:p>
    <w:bookmarkEnd w:id="365"/>
    <w:bookmarkStart w:id="366" w:name="arkkitehtuuri-1"/>
    <w:p>
      <w:pPr>
        <w:pStyle w:val="Heading4"/>
      </w:pPr>
      <w:r>
        <w:t xml:space="preserve">10.28.2 Arkkitehtuuri</w:t>
      </w:r>
    </w:p>
    <w:p>
      <w:pPr>
        <w:pStyle w:val="FirstParagraph"/>
      </w:pPr>
      <w:r>
        <w:t xml:space="preserve">Reititin on kolme puhdasta vaihetta, kaikki offline.</w:t>
      </w:r>
      <w:r>
        <w:t xml:space="preserve"> </w:t>
      </w:r>
      <w:r>
        <w:rPr>
          <w:bCs/>
          <w:b/>
        </w:rPr>
        <w:t xml:space="preserve">Näytön palautus</w:t>
      </w:r>
      <w:r>
        <w:t xml:space="preserve"> </w:t>
      </w:r>
      <w:r>
        <w:t xml:space="preserve">kuvaa molemmat DWS:n kohtaamat agenttirajapintamuodot (Anthropic Messages -muodon</w:t>
      </w:r>
      <w:r>
        <w:t xml:space="preserve"> </w:t>
      </w:r>
      <w:r>
        <w:rPr>
          <w:rStyle w:val="VerbatimChar"/>
        </w:rPr>
        <w:t xml:space="preserve">tool_use</w:t>
      </w:r>
      <w:r>
        <w:t xml:space="preserve">/</w:t>
      </w:r>
      <w:r>
        <w:rPr>
          <w:rStyle w:val="VerbatimChar"/>
        </w:rPr>
        <w:t xml:space="preserve">tool_result</w:t>
      </w:r>
      <w:r>
        <w:t xml:space="preserve">-lohkot ja OpenAI Responses -muodon</w:t>
      </w:r>
      <w:r>
        <w:t xml:space="preserve"> </w:t>
      </w:r>
      <w:r>
        <w:rPr>
          <w:rStyle w:val="VerbatimChar"/>
        </w:rPr>
        <w:t xml:space="preserve">function_call</w:t>
      </w:r>
      <w:r>
        <w:t xml:space="preserve">/</w:t>
      </w:r>
      <w:r>
        <w:rPr>
          <w:rStyle w:val="VerbatimChar"/>
        </w:rPr>
        <w:t xml:space="preserve">function_call_output</w:t>
      </w:r>
      <w:r>
        <w:t xml:space="preserve">-alkiot) yhteen suoritushistoriamalliin: työkalun nimi, argumenttitiiviste, tulostetiiviste, onnistumislippu ja karkea vertailukelpoinen virheluokka askelta kohti.</w:t>
      </w:r>
      <w:r>
        <w:t xml:space="preserve"> </w:t>
      </w:r>
      <w:r>
        <w:rPr>
          <w:bCs/>
          <w:b/>
        </w:rPr>
        <w:t xml:space="preserve">Deterministiset ilmaisimet</w:t>
      </w:r>
      <w:r>
        <w:t xml:space="preserve"> </w:t>
      </w:r>
      <w:r>
        <w:t xml:space="preserve">laskevat sitten signaalit, joihin ei konsultoida mitään mallia (insinöörikurin sääntö 5): identtinen toiminto+havainto 3×, sama virheluokka 3× peräkkäin, kahden toiminnon vuorottelu 4×, kirjoitus→epäonnistuva-testi-kierrokset, askeleet-ilman-edistystä (uudelleenkirjoitus ei ole edistystä; vain onnistunut suoritus nollaa laskurin) ja budjetin kulutus.</w:t>
      </w:r>
      <w:r>
        <w:t xml:space="preserve"> </w:t>
      </w:r>
      <w:r>
        <w:rPr>
          <w:bCs/>
          <w:b/>
        </w:rPr>
        <w:t xml:space="preserve">Tikkaat</w:t>
      </w:r>
      <w:r>
        <w:t xml:space="preserve"> </w:t>
      </w:r>
      <w:r>
        <w:t xml:space="preserve">muuntavat signaalit yhdeksi neljästä toimenpiteestä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suojakaiteiden takana: budjettipysäytys ennen kaikkea muuta logiikkaa, kyvykkyys-ennen-uudelleenyritystä (halvan tason uudelleenkäynnistys muuttuu vaihdoksi niin kauan kuin vaihto on käytettävissä), epäsymmetrinen hystereesi (ensimmäinen halpa→vahva-hyppy laukeaa yhdestä huonosta tarkastuspisteestä; häiritsevät toimenpiteet vaativat kaksi yhtäpitävää) ja tiukasti yksisuuntainen nousu.</w:t>
      </w:r>
    </w:p>
    <w:p>
      <w:pPr>
        <w:pStyle w:val="BodyText"/>
      </w:pPr>
      <w:r>
        <w:t xml:space="preserve">Alkuperäinen rakenne konsultoi päätöspisteessä ulkoista</w:t>
      </w:r>
      <w:r>
        <w:t xml:space="preserve"> </w:t>
      </w:r>
      <w:r>
        <w:t xml:space="preserve">“</w:t>
      </w:r>
      <w:r>
        <w:t xml:space="preserve">kalibroidun luottamuksen</w:t>
      </w:r>
      <w:r>
        <w:t xml:space="preserve">”</w:t>
      </w:r>
      <w:r>
        <w:t xml:space="preserve"> </w:t>
      </w:r>
      <w:r>
        <w:t xml:space="preserve">rajapintaa; DWS-mukautus korvaa kutsun läpinäkyvällä additiivisella heuristiikalla saman signaaliraportin yli, jolloin jokainen päätös on selitettävissä näyttölohkosta ja reititin on EU-suvereeni rakenteeltaan — mikään ei poistu koneelta.</w:t>
      </w:r>
      <w:r>
        <w:t xml:space="preserve"> </w:t>
      </w:r>
      <w:r>
        <w:rPr>
          <w:rStyle w:val="VerbatimChar"/>
        </w:rPr>
        <w:t xml:space="preserve">escalate_human</w:t>
      </w:r>
      <w:r>
        <w:t xml:space="preserve"> </w:t>
      </w:r>
      <w:r>
        <w:t xml:space="preserve">nostetaan kovaksi pysäytykseksi, mikä on EU:n tekoälyasetuksen 14 artiklan interventiopiste ilmaistuna reitityskerroksessa.</w:t>
      </w:r>
    </w:p>
    <w:bookmarkEnd w:id="366"/>
    <w:bookmarkStart w:id="367" w:name="todennus-ja-tuotteistus"/>
    <w:p>
      <w:pPr>
        <w:pStyle w:val="Heading4"/>
      </w:pPr>
      <w:r>
        <w:t xml:space="preserve">10.28.3 Todennus ja tuotteistus</w:t>
      </w:r>
    </w:p>
    <w:p>
      <w:pPr>
        <w:pStyle w:val="FirstParagraph"/>
      </w:pPr>
      <w:r>
        <w:t xml:space="preserve">Viisitoista testiä varmentavat ilmaisinten ja tikkaiden tarkoituksen (silmukkatyypit, naiivilta silmukantunnistukselta piiloon jäävä uudelleenkirjoituskierre, portin kalibrointi, hystereesi, yksisuuntaisuusinvariantit, budjetin sekä vaihto-/uudelleenkäynnistyskiintiöiden ehtyminen); koko repositorion testisarja läpäisi muuttumattomana. Kyvykkyys on agenttien käytettävissä tuotteistussäännön mukaisesti:</w:t>
      </w:r>
      <w:r>
        <w:t xml:space="preserve"> </w:t>
      </w:r>
      <w:r>
        <w:rPr>
          <w:rStyle w:val="VerbatimChar"/>
        </w:rPr>
        <w:t xml:space="preserve">npm run factory:route</w:t>
      </w:r>
      <w:r>
        <w:t xml:space="preserve"> </w:t>
      </w:r>
      <w:r>
        <w:t xml:space="preserve">tuottaa rakenteisen JSON-päätöksen poistumiskoodeilla 0/2/3/4, jolloin komentoriviputket haarautuvat ilman jäsentämistä, ja</w:t>
      </w:r>
      <w:r>
        <w:t xml:space="preserve"> </w:t>
      </w:r>
      <w:r>
        <w:rPr>
          <w:rStyle w:val="VerbatimChar"/>
        </w:rPr>
        <w:t xml:space="preserve">/factory-route</w:t>
      </w:r>
      <w:r>
        <w:t xml:space="preserve"> </w:t>
      </w:r>
      <w:r>
        <w:t xml:space="preserve">rekisteröi menettelyn taidoksi. Insinöörioppi peilaa §10.27:n artefakti–legitimiteetti-kuilua kuluttajan puolelta: 48 tunnissa agentin kirjoittama koodikanta voi olla jakelukelpoinen deterministisessä ytimessään ja samanaikaisesti käyttöönottokelvoton luottamusasetelmassaan — omaksumisen ratkaisi auditointiraja, ei koodin laatu.</w:t>
      </w:r>
    </w:p>
    <w:bookmarkEnd w:id="367"/>
    <w:bookmarkEnd w:id="368"/>
    <w:bookmarkStart w:id="369" w:name="X3d85608e6e90673c496d0c1d594451145b8b546"/>
    <w:p>
      <w:pPr>
        <w:pStyle w:val="Heading3"/>
      </w:pPr>
      <w:r>
        <w:t xml:space="preserve">10.30 OpenCode-ensisijainen DGX-ajoympäristö ja MCP-raja</w:t>
      </w:r>
    </w:p>
    <w:p>
      <w:pPr>
        <w:pStyle w:val="FirstParagraph"/>
      </w:pPr>
      <w:r>
        <w:t xml:space="preserve">Varmennettu DGX Spark -kehitysympäristö erottaa agentin valjakan mallintarjoajasta. OpenCode 1.18.18 on ensisijainen valjakka; Ollama tarjoaa paikallisten ja avoimien mallien polun, jossa nykyisiä NVIDIA-malleja suositaan vanhentuneen</w:t>
      </w:r>
      <w:r>
        <w:t xml:space="preserve"> </w:t>
      </w:r>
      <w:r>
        <w:rPr>
          <w:rStyle w:val="VerbatimChar"/>
        </w:rPr>
        <w:t xml:space="preserve">llama3.3:70b</w:t>
      </w:r>
      <w:r>
        <w:t xml:space="preserve">-oletuksen sijaan. Claude Code säilyy hot standby -vaihtoehtona eikä ensisijaisena ajona. Näin operaattorin pinta pysyy vakaana, vaikka malli vaihdetaan ilman repository-politiikan, taitojen tai valvontarajojen uudelleenkirjoittamista.</w:t>
      </w:r>
    </w:p>
    <w:p>
      <w:pPr>
        <w:pStyle w:val="BodyText"/>
      </w:pPr>
      <w:r>
        <w:t xml:space="preserve">Toteutus on operatiivisesti konkreettinen: DGX käyttää Linux-yhteensopivia OpenCode-asetuksia, eksplisiittistä</w:t>
      </w:r>
      <w:r>
        <w:t xml:space="preserve"> </w:t>
      </w:r>
      <w:r>
        <w:rPr>
          <w:rStyle w:val="VerbatimChar"/>
        </w:rPr>
        <w:t xml:space="preserve">~/.opencode/bin</w:t>
      </w:r>
      <w:r>
        <w:t xml:space="preserve"> </w:t>
      </w:r>
      <w:r>
        <w:t xml:space="preserve">PATH -varmistusta ei-login-SSH-kuorille sekä projektin virtuaaliympäristöä paikalliselle MCP-gatewaylle. Gateway vaatii</w:t>
      </w:r>
      <w:r>
        <w:t xml:space="preserve"> </w:t>
      </w:r>
      <w:r>
        <w:rPr>
          <w:rStyle w:val="VerbatimChar"/>
        </w:rPr>
        <w:t xml:space="preserve">mcp[cli]&gt;=1.9.0,&lt;2.0.0</w:t>
      </w:r>
      <w:r>
        <w:t xml:space="preserve">; MCP SDK 2.x ei ole yhteensopiva sen</w:t>
      </w:r>
      <w:r>
        <w:t xml:space="preserve"> </w:t>
      </w:r>
      <w:r>
        <w:rPr>
          <w:rStyle w:val="VerbatimChar"/>
        </w:rPr>
        <w:t xml:space="preserve">mcp.server.fastmcp</w:t>
      </w:r>
      <w:r>
        <w:t xml:space="preserve">-tuontipolun kanssa. Varmennus tehdään komennoilla</w:t>
      </w:r>
      <w:r>
        <w:t xml:space="preserve"> </w:t>
      </w:r>
      <w:r>
        <w:rPr>
          <w:rStyle w:val="VerbatimChar"/>
        </w:rPr>
        <w:t xml:space="preserve">opencode debug config --pure</w:t>
      </w:r>
      <w:r>
        <w:t xml:space="preserve"> </w:t>
      </w:r>
      <w:r>
        <w:t xml:space="preserve">ja</w:t>
      </w:r>
      <w:r>
        <w:t xml:space="preserve"> </w:t>
      </w:r>
      <w:r>
        <w:rPr>
          <w:rStyle w:val="VerbatimChar"/>
        </w:rPr>
        <w:t xml:space="preserve">opencode mcp list</w:t>
      </w:r>
      <w:r>
        <w:t xml:space="preserve">, joissa</w:t>
      </w:r>
      <w:r>
        <w:t xml:space="preserve"> </w:t>
      </w:r>
      <w:r>
        <w:rPr>
          <w:rStyle w:val="VerbatimChar"/>
        </w:rPr>
        <w:t xml:space="preserve">dws-gateway-local</w:t>
      </w:r>
      <w:r>
        <w:t xml:space="preserve"> </w:t>
      </w:r>
      <w:r>
        <w:t xml:space="preserve">näkyy yhdistettynä.</w:t>
      </w:r>
    </w:p>
    <w:p>
      <w:pPr>
        <w:pStyle w:val="BodyText"/>
      </w:pPr>
      <w:r>
        <w:t xml:space="preserve">Myös negatiivinen kyvykkyys on toteutusnäyttöä.</w:t>
      </w:r>
      <w:r>
        <w:t xml:space="preserve"> </w:t>
      </w:r>
      <w:r>
        <w:rPr>
          <w:rStyle w:val="VerbatimChar"/>
        </w:rPr>
        <w:t xml:space="preserve">dws-agents-local</w:t>
      </w:r>
      <w:r>
        <w:t xml:space="preserve"> </w:t>
      </w:r>
      <w:r>
        <w:t xml:space="preserve">on poistettu käytöstä, koska</w:t>
      </w:r>
      <w:r>
        <w:t xml:space="preserve"> </w:t>
      </w:r>
      <w:r>
        <w:rPr>
          <w:rStyle w:val="VerbatimChar"/>
        </w:rPr>
        <w:t xml:space="preserve">localhost:3001/mcp</w:t>
      </w:r>
      <w:r>
        <w:t xml:space="preserve">-osoitteessa ei kuuntele palvelua; muita havaittuja portteja ei korvata ilman näyttöä. Näin käytöstä puuttuvaa ulosvirtauspolkua ei muuteta vääräksi terveystiedoksi. Runtime ei siis tarkoita</w:t>
      </w:r>
      <w:r>
        <w:t xml:space="preserve"> </w:t>
      </w:r>
      <w:r>
        <w:t xml:space="preserve">“</w:t>
      </w:r>
      <w:r>
        <w:t xml:space="preserve">kaikki työkalut käytössä</w:t>
      </w:r>
      <w:r>
        <w:t xml:space="preserve">”</w:t>
      </w:r>
      <w:r>
        <w:t xml:space="preserve">, vaan rajattua paikallista valjakkaa, jolla on yksi varmennettu gateway ja eksplisiittinen käytöstä puuttuvan palvelun raja.</w:t>
      </w:r>
    </w:p>
    <w:p>
      <w:pPr>
        <w:pStyle w:val="BodyText"/>
      </w:pPr>
      <w:r>
        <w:rPr>
          <w:iCs/>
          <w:i/>
        </w:rPr>
        <w:t xml:space="preserve">Toteutusartefaktit:</w:t>
      </w:r>
      <w:r>
        <w:rPr>
          <w:iCs/>
          <w:i/>
        </w:rPr>
        <w:t xml:space="preserve"> </w:t>
      </w:r>
      <w:r>
        <w:rPr>
          <w:rStyle w:val="VerbatimChar"/>
          <w:iCs/>
          <w:i/>
        </w:rPr>
        <w:t xml:space="preserve">opencode.json</w:t>
      </w:r>
      <w:r>
        <w:rPr>
          <w:iCs/>
          <w:i/>
        </w:rPr>
        <w:t xml:space="preserve">,</w:t>
      </w:r>
      <w:r>
        <w:rPr>
          <w:iCs/>
          <w:i/>
        </w:rPr>
        <w:t xml:space="preserve"> </w:t>
      </w:r>
      <w:r>
        <w:rPr>
          <w:rStyle w:val="VerbatimChar"/>
          <w:iCs/>
          <w:i/>
        </w:rPr>
        <w:t xml:space="preserve">mcp-servers/cloud-run-gateway/server.py</w:t>
      </w:r>
      <w:r>
        <w:rPr>
          <w:iCs/>
          <w:i/>
        </w:rPr>
        <w:t xml:space="preserve">,</w:t>
      </w:r>
      <w:r>
        <w:rPr>
          <w:iCs/>
          <w:i/>
        </w:rPr>
        <w:t xml:space="preserve"> </w:t>
      </w:r>
      <w:r>
        <w:rPr>
          <w:rStyle w:val="VerbatimChar"/>
          <w:iCs/>
          <w:i/>
        </w:rPr>
        <w:t xml:space="preserve">mcp-servers/cloud-run-gateway/requirements.txt</w:t>
      </w:r>
      <w:r>
        <w:rPr>
          <w:iCs/>
          <w:i/>
        </w:rPr>
        <w:t xml:space="preserve">,</w:t>
      </w:r>
      <w:r>
        <w:rPr>
          <w:iCs/>
          <w:i/>
        </w:rPr>
        <w:t xml:space="preserve"> </w:t>
      </w:r>
      <w:r>
        <w:rPr>
          <w:rStyle w:val="VerbatimChar"/>
          <w:iCs/>
          <w:i/>
        </w:rPr>
        <w:t xml:space="preserve">docs/field-notes/2026-08-13-opencode-dgx-runtime-alignment.md</w:t>
      </w:r>
      <w:r>
        <w:rPr>
          <w:iCs/>
          <w:i/>
        </w:rPr>
        <w:t xml:space="preserve">.</w:t>
      </w:r>
    </w:p>
    <w:bookmarkEnd w:id="369"/>
    <w:bookmarkStart w:id="370" w:name="X53841776665cbad06a3fad543654836a18c662b"/>
    <w:p>
      <w:pPr>
        <w:pStyle w:val="Heading3"/>
      </w:pPr>
      <w:r>
        <w:t xml:space="preserve">10.31 Lifetime Studios — asiantuntijuus- ja sisältötuotantokone</w:t>
      </w:r>
    </w:p>
    <w:p>
      <w:pPr>
        <w:pStyle w:val="FirstParagraph"/>
      </w:pPr>
      <w:r>
        <w:t xml:space="preserve">Blogiartikkeleiden kertakohtainen työnkulku on siirretty systemaattisen tuotantokoneen alaisuuteen, jonka dokumentaatio on</w:t>
      </w:r>
      <w:r>
        <w:t xml:space="preserve"> </w:t>
      </w:r>
      <w:r>
        <w:rPr>
          <w:rStyle w:val="VerbatimChar"/>
        </w:rPr>
        <w:t xml:space="preserve">docs/LIFETIME_STUDIOS_ADMIN.md</w:t>
      </w:r>
      <w:r>
        <w:t xml:space="preserve">. Postaukset tuotetaan 25 × 5 -sisältömatriisin (125 ydinaihetta) riveinä yksittäisinä Business Case -kortteina, ei yleisinä compliance-artikkeleina.</w:t>
      </w:r>
    </w:p>
    <w:p>
      <w:pPr>
        <w:pStyle w:val="BodyText"/>
      </w:pPr>
      <w:r>
        <w:rPr>
          <w:bCs/>
          <w:b/>
        </w:rPr>
        <w:t xml:space="preserve">Business Case -kortti — seitsemän pakollista kenttää.</w:t>
      </w:r>
      <w:r>
        <w:t xml:space="preserve"> </w:t>
      </w:r>
      <w:r>
        <w:t xml:space="preserve">Jokainen matriisin rivi kiinnittää ennen kirjoittamista täsmälleen nämä kentät: (1) yksi toimiala ja yksi yritysostaja; (2) yksi täsmällinen compliance-tilanne; (3) yksi näkyvä taloudellinen tai toiminnallinen seuraus; (4) yksi DWS IQ -tuote tai teknologia, joka ratkaisee rajatun ongelman; (5) yksi demo-workflow; (6) yksi hyväksymiskriteeri tai mitattava lopputulos; (7) yksi seuraava askel: demo, discovery tai paid pilot. Esimerkki:</w:t>
      </w:r>
      <w:r>
        <w:t xml:space="preserve"> </w:t>
      </w:r>
      <w:r>
        <w:t xml:space="preserve">“</w:t>
      </w:r>
      <w:r>
        <w:t xml:space="preserve">Ruostumatonta terästä valmistava yritys, konsernin compliance-johtaja, laitostasolta puuttuva päästönäyttö CBAM- ja hankintaketjusta, Aegis/AASS tuottaa jäljitettävän näyttöpakkauksen, demo näyttää 304L/Tornio-datan käsittelyn ja ERP-siirron, seuraava askel on 30 päivän paid pilot.</w:t>
      </w:r>
      <w:r>
        <w:t xml:space="preserve">”</w:t>
      </w:r>
    </w:p>
    <w:p>
      <w:pPr>
        <w:pStyle w:val="BodyText"/>
      </w:pPr>
      <w:r>
        <w:rPr>
          <w:bCs/>
          <w:b/>
        </w:rPr>
        <w:t xml:space="preserve">Ristiinoppiminen.</w:t>
      </w:r>
      <w:r>
        <w:t xml:space="preserve"> </w:t>
      </w:r>
      <w:r>
        <w:t xml:space="preserve">25 toimialaa rakentuu ristiinoppimismallille: tarina näyttää, mitä lukijan omalla toimialalla on ratkaistava, miten toinen toimiala ratkaisi vastaavan ongelman ja mikä soveltuu lukijan yritykseen. Jokainen tarina päättyy CxO-tason kysymykseen, ei myyntipuheeseen.</w:t>
      </w:r>
    </w:p>
    <w:p>
      <w:pPr>
        <w:pStyle w:val="BodyText"/>
      </w:pPr>
      <w:r>
        <w:rPr>
          <w:bCs/>
          <w:b/>
        </w:rPr>
        <w:t xml:space="preserve">Lokalisointi.</w:t>
      </w:r>
      <w:r>
        <w:t xml:space="preserve"> </w:t>
      </w:r>
      <w:r>
        <w:t xml:space="preserve">Jokainen kantajuttu lokalisoidaan viiteen kieleen (FI/SV/DE/FR/EN); sama rakenne muunnetaan blogipostaukseksi, LinkedIn-postaukseksi ja Facebookin long-tail-tekstiksi. Tavoite: 800 kantajuttua → ≈4 000 kieliversiota.</w:t>
      </w:r>
    </w:p>
    <w:p>
      <w:pPr>
        <w:pStyle w:val="BodyText"/>
      </w:pPr>
      <w:r>
        <w:rPr>
          <w:bCs/>
          <w:b/>
        </w:rPr>
        <w:t xml:space="preserve">Journalistiset reunaehdot (Outokumpu-malli).</w:t>
      </w:r>
      <w:r>
        <w:t xml:space="preserve"> </w:t>
      </w:r>
      <w:r>
        <w:t xml:space="preserve">Yrityskohtaiset Business Case -kortit ovat journalistista tutkimusta: vain julkiset lähteet, lähteistetyt faktat eroteltu analyysista ja hypoteeseista, ei lainrikkomisväitteitä ilman julkista näyttöä, kommentointimahdollisuus ennen julkaisua, ei vihjausta suosituksesta tai asiakassuhteesta. Täysi sääntökokonaisuus:</w:t>
      </w:r>
      <w:r>
        <w:t xml:space="preserve"> </w:t>
      </w:r>
      <w:r>
        <w:rPr>
          <w:rStyle w:val="VerbatimChar"/>
        </w:rPr>
        <w:t xml:space="preserve">docs/LIFETIME_STUDIOS_ADMIN.md</w:t>
      </w:r>
      <w:r>
        <w:t xml:space="preserve"> </w:t>
      </w:r>
      <w:r>
        <w:t xml:space="preserve">§6.</w:t>
      </w:r>
    </w:p>
    <w:p>
      <w:pPr>
        <w:pStyle w:val="BodyText"/>
      </w:pPr>
      <w:r>
        <w:rPr>
          <w:bCs/>
          <w:b/>
        </w:rPr>
        <w:t xml:space="preserve">Itsevahvistuva tuotemalli.</w:t>
      </w:r>
      <w:r>
        <w:t xml:space="preserve"> </w:t>
      </w:r>
      <w:r>
        <w:t xml:space="preserve">Jokainen Business Case ruokkii DWS-ontologiaa ja graafia, joka ruokkii yrityksen omaa World Modelia, joka ruokkii toimialakohtaista demoa, joka ruokkii Captain-keskustelua, joka muuttuu paid pilotiksi. Asiakas ostaa pääsyn kehittyvään teollisuuden compliance-ympäristöön, ei yksittäistä raporttia. LWM:n raja on eksplisiittinen: ei koskaan totuuskone, ei koskaan automaattinen compliance-päätöksentekijä; tulokset sidottu lähteisiin, käyttöoikeuksiin, versioihin ja ihmisen hyväksyntään.</w:t>
      </w:r>
    </w:p>
    <w:p>
      <w:pPr>
        <w:pStyle w:val="BodyText"/>
      </w:pPr>
      <w:r>
        <w:rPr>
          <w:iCs/>
          <w:i/>
        </w:rPr>
        <w:t xml:space="preserve">Toteutusartefaktit:</w:t>
      </w:r>
      <w:r>
        <w:rPr>
          <w:iCs/>
          <w:i/>
        </w:rPr>
        <w:t xml:space="preserve"> </w:t>
      </w:r>
      <w:r>
        <w:rPr>
          <w:rStyle w:val="VerbatimChar"/>
          <w:iCs/>
          <w:i/>
        </w:rPr>
        <w:t xml:space="preserve">docs/LIFETIME_STUDIOS_ADMIN.md</w:t>
      </w:r>
      <w:r>
        <w:rPr>
          <w:iCs/>
          <w:i/>
        </w:rPr>
        <w:t xml:space="preserve">,</w:t>
      </w:r>
      <w:r>
        <w:rPr>
          <w:iCs/>
          <w:i/>
        </w:rPr>
        <w:t xml:space="preserve"> </w:t>
      </w:r>
      <w:r>
        <w:rPr>
          <w:rStyle w:val="VerbatimChar"/>
          <w:iCs/>
          <w:i/>
        </w:rPr>
        <w:t xml:space="preserve">docs/BLOG_STANDARD.md</w:t>
      </w:r>
      <w:r>
        <w:rPr>
          <w:iCs/>
          <w:i/>
        </w:rPr>
        <w:t xml:space="preserve"> </w:t>
      </w:r>
      <w:r>
        <w:rPr>
          <w:iCs/>
          <w:i/>
        </w:rPr>
        <w:t xml:space="preserve">§15,</w:t>
      </w:r>
      <w:r>
        <w:rPr>
          <w:iCs/>
          <w:i/>
        </w:rPr>
        <w:t xml:space="preserve"> </w:t>
      </w:r>
      <w:r>
        <w:rPr>
          <w:rStyle w:val="VerbatimChar"/>
          <w:iCs/>
          <w:i/>
        </w:rPr>
        <w:t xml:space="preserve">scripts/update-blog-index.mjs</w:t>
      </w:r>
      <w:r>
        <w:rPr>
          <w:iCs/>
          <w:i/>
        </w:rPr>
        <w:t xml:space="preserve">, onelifetime.world-julkaisukone (44 day-sarjan postia korjattu skandien osalta, viisikielinen lokalisointi, blogi-indeksin automaattinen päivitys). Matriisin rivit, enterprise-klusterit ja korttityökalut ovat työn alla.</w:t>
      </w:r>
    </w:p>
    <w:bookmarkEnd w:id="370"/>
    <w:bookmarkEnd w:id="371"/>
    <w:bookmarkEnd w:id="3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28">
        <w:r>
          <w:rPr>
            <w:rStyle w:val="Hyperlink"/>
          </w:rPr>
          <w:t xml:space="preserve">https://onelifetime.world/posts/sovereignty-field-note-2-three-pillars.fi.html</w:t>
        </w:r>
      </w:hyperlink>
      <w:r>
        <w:t xml:space="preserve">. Päivätty 28.5.2026.</w:t>
      </w:r>
    </w:p>
  </w:footnote>
  <w:footnote w:id="329">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30">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31">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3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36">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4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2">
        <w:r>
          <w:rPr>
            <w:rStyle w:val="Hyperlink"/>
          </w:rPr>
          <w:t xml:space="preserve">https://csrc.nist.gov/pubs/fips/203/final</w:t>
        </w:r>
      </w:hyperlink>
      <w:r>
        <w:t xml:space="preserve">.</w:t>
      </w:r>
    </w:p>
  </w:footnote>
  <w:footnote w:id="34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4">
        <w:r>
          <w:rPr>
            <w:rStyle w:val="Hyperlink"/>
          </w:rPr>
          <w:t xml:space="preserve">https://csrc.nist.gov/pubs/fips/204/final</w:t>
        </w:r>
      </w:hyperlink>
      <w:r>
        <w:t xml:space="preserve">.</w:t>
      </w:r>
    </w:p>
  </w:footnote>
  <w:footnote w:id="34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6">
        <w:r>
          <w:rPr>
            <w:rStyle w:val="Hyperlink"/>
          </w:rPr>
          <w:t xml:space="preserve">https://csrc.nist.gov/pubs/fips/205/final</w:t>
        </w:r>
      </w:hyperlink>
      <w:r>
        <w:t xml:space="preserve">.</w:t>
      </w:r>
    </w:p>
  </w:footnote>
  <w:footnote w:id="347">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48">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9">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2026-08-22T04:35:04Z</dcterms:created>
  <dcterms:modified xsi:type="dcterms:W3CDTF">2026-08-22T04:35:04Z</dcterms:modified>
</cp:coreProperties>
</file>

<file path=docProps/custom.xml><?xml version="1.0" encoding="utf-8"?>
<Properties xmlns="http://schemas.openxmlformats.org/officeDocument/2006/custom-properties" xmlns:vt="http://schemas.openxmlformats.org/officeDocument/2006/docPropsVTypes"/>
</file>