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e2010f00c5514ef46c008dcc0b884024dd4e9fc"/>
    <w:p>
      <w:pPr>
        <w:pStyle w:val="Heading1"/>
      </w:pPr>
      <w:r>
        <w:t xml:space="preserve">Field Note — The Published Thesis Carries the Wrong Title, and Why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2026-07-25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Author:</w:t>
      </w:r>
      <w:r>
        <w:t xml:space="preserve"> </w:t>
      </w:r>
      <w:r>
        <w:t xml:space="preserve">Risto Anton Päärni (Founder, CEO · Lifetime Oy) — via Claude Code session</w:t>
      </w:r>
      <w:r>
        <w:t xml:space="preserve"> </w:t>
      </w:r>
      <w:r>
        <w:rPr>
          <w:rStyle w:val="VerbatimChar"/>
        </w:rPr>
        <w:t xml:space="preserve">claude/greg-isenberg-field-notes-a2r544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Europe &gt; Finland &gt; Espoo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Context:</w:t>
      </w:r>
      <w:r>
        <w:t xml:space="preserve"> </w:t>
      </w:r>
      <w:r>
        <w:t xml:space="preserve">DWS6 — Metropolia YAMK thesis, Theseus deposit</w:t>
      </w:r>
      <w:r>
        <w:t xml:space="preserve"> </w:t>
      </w:r>
      <w:r>
        <w:rPr>
          <w:rStyle w:val="VerbatimChar"/>
        </w:rPr>
        <w:t xml:space="preserve">URN:NBN:fi:amk-2026062725698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Confidence:</w:t>
      </w:r>
      <w:r>
        <w:t xml:space="preserve"> </w:t>
      </w:r>
      <w:r>
        <w:t xml:space="preserve">High for the facts (HIC-confirmed cause; Drive-verified artifact).</w:t>
      </w:r>
      <w:r>
        <w:t xml:space="preserve"> </w:t>
      </w:r>
      <w:r>
        <w:rPr>
          <w:bCs/>
          <w:b/>
        </w:rPr>
        <w:t xml:space="preserve">Unknown</w:t>
      </w:r>
      <w:r>
        <w:t xml:space="preserve"> </w:t>
      </w:r>
      <w:r>
        <w:t xml:space="preserve">for correctability — explicitly left open.</w:t>
      </w:r>
    </w:p>
    <w:bookmarkStart w:id="20" w:name="ontology-tags"/>
    <w:p>
      <w:pPr>
        <w:pStyle w:val="Heading2"/>
      </w:pPr>
      <w:r>
        <w:t xml:space="preserve">Ontology Tags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Geography:</w:t>
      </w:r>
      <w:r>
        <w:t xml:space="preserve"> </w:t>
      </w:r>
      <w:r>
        <w:t xml:space="preserve">Europe &gt; EU &gt; Finland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Sector:</w:t>
      </w:r>
      <w:r>
        <w:t xml:space="preserve"> </w:t>
      </w:r>
      <w:r>
        <w:t xml:space="preserve">Education &gt; Higher_Education &gt; Thesis publication; Governance &gt; Records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Entities:</w:t>
      </w:r>
      <w:r>
        <w:t xml:space="preserve"> </w:t>
      </w:r>
      <w:r>
        <w:t xml:space="preserve">Metropolia YAMK, Theseus,</w:t>
      </w:r>
      <w:r>
        <w:t xml:space="preserve"> </w:t>
      </w:r>
      <w:r>
        <w:rPr>
          <w:rStyle w:val="VerbatimChar"/>
        </w:rPr>
        <w:t xml:space="preserve">V41_Final_Thesis_FI</w:t>
      </w:r>
      <w:r>
        <w:t xml:space="preserve">,</w:t>
      </w:r>
      <w:r>
        <w:t xml:space="preserve"> </w:t>
      </w:r>
      <w:r>
        <w:rPr>
          <w:rStyle w:val="VerbatimChar"/>
        </w:rPr>
        <w:t xml:space="preserve">V3Thesis_FI</w:t>
      </w:r>
      <w:r>
        <w:t xml:space="preserve">, backlog A9,</w:t>
      </w:r>
      <w:r>
        <w:t xml:space="preserve"> </w:t>
      </w:r>
      <w:r>
        <w:rPr>
          <w:rStyle w:val="VerbatimChar"/>
        </w:rPr>
        <w:t xml:space="preserve">docs/metropolia/master-thesis/arviointi/README.md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Temporal Context:</w:t>
      </w:r>
      <w:r>
        <w:t xml:space="preserve"> </w:t>
      </w:r>
      <w:r>
        <w:t xml:space="preserve">2026-Q2 → 2026-Q3</w:t>
      </w:r>
    </w:p>
    <w:p>
      <w:r>
        <w:pict>
          <v:rect style="width:0;height:1.5pt" o:hralign="center" o:hrstd="t" o:hr="t"/>
        </w:pict>
      </w:r>
    </w:p>
    <w:bookmarkEnd w:id="20"/>
    <w:bookmarkStart w:id="22" w:name="what-is-true"/>
    <w:p>
      <w:pPr>
        <w:pStyle w:val="Heading2"/>
      </w:pPr>
      <w:r>
        <w:t xml:space="preserve">What is true</w:t>
      </w:r>
    </w:p>
    <w:p>
      <w:pPr>
        <w:pStyle w:val="FirstParagraph"/>
      </w:pPr>
      <w:r>
        <w:t xml:space="preserve">The Metropolia YAMK thesis is published, graded</w:t>
      </w:r>
      <w:r>
        <w:t xml:space="preserve"> </w:t>
      </w:r>
      <w:r>
        <w:rPr>
          <w:bCs/>
          <w:b/>
        </w:rPr>
        <w:t xml:space="preserve">5</w:t>
      </w:r>
      <w:r>
        <w:t xml:space="preserve">, and permanently archived at</w:t>
      </w:r>
      <w:r>
        <w:t xml:space="preserve"> </w:t>
      </w:r>
      <w:hyperlink r:id="rId21">
        <w:r>
          <w:rPr>
            <w:rStyle w:val="Hyperlink"/>
          </w:rPr>
          <w:t xml:space="preserve">https://urn.fi/URN:NBN:fi:amk-2026062725698</w:t>
        </w:r>
      </w:hyperlink>
      <w:r>
        <w:t xml:space="preserve"> </w:t>
      </w:r>
      <w:r>
        <w:t xml:space="preserve">(deposit 10.07.2026). Its cover page reads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Omnichannel First -toimintamallin käyttöönotto Lifetime World palveluissa</w:t>
      </w:r>
      <w:r>
        <w:rPr>
          <w:iCs/>
          <w:i/>
        </w:rPr>
        <w:t xml:space="preserve">”</w:t>
      </w:r>
      <w:r>
        <w:t xml:space="preserve">. Its abstract, on the same page range, opens: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This thesis examines the Firehorse product manufacturing operating model, a hybrid cloud-edge architecture…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The document contradicts itself on its own front matter.</w:t>
      </w:r>
      <w:r>
        <w:t xml:space="preserve"> </w:t>
      </w:r>
      <w:r>
        <w:t xml:space="preserve">That is not a metadata drift between systems — it is inside the deposited PDF.</w:t>
      </w:r>
    </w:p>
    <w:bookmarkEnd w:id="22"/>
    <w:bookmarkStart w:id="23" w:name="X5044ea10d945d709276c8999f674f7b52cfd82d"/>
    <w:p>
      <w:pPr>
        <w:pStyle w:val="Heading2"/>
      </w:pPr>
      <w:r>
        <w:t xml:space="preserve">Why it happened — the causal chain, HIC-confirmed</w:t>
      </w:r>
    </w:p>
    <w:p>
      <w:pPr>
        <w:pStyle w:val="FirstParagraph"/>
      </w:pPr>
      <w:r>
        <w:t xml:space="preserve">Six confirmations from the HIC over the course of this session assembled the full chain, and each one narrowed it:</w:t>
      </w:r>
    </w:p>
    <w:p>
      <w:pPr>
        <w:numPr>
          <w:ilvl w:val="0"/>
          <w:numId w:val="1003"/>
        </w:numPr>
        <w:pStyle w:val="Compact"/>
      </w:pPr>
      <w:r>
        <w:t xml:space="preserve">The work was</w:t>
      </w:r>
      <w:r>
        <w:t xml:space="preserve"> </w:t>
      </w:r>
      <w:r>
        <w:rPr>
          <w:bCs/>
          <w:b/>
        </w:rPr>
        <w:t xml:space="preserve">registered</w:t>
      </w:r>
      <w:r>
        <w:t xml:space="preserve"> </w:t>
      </w:r>
      <w:r>
        <w:t xml:space="preserve">under an early title. Its content moved on; the title was updated to match.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HIC misread the guidance</w:t>
      </w:r>
      <w:r>
        <w:t xml:space="preserve"> </w:t>
      </w:r>
      <w:r>
        <w:t xml:space="preserve">as requiring the final version to carry the originally registered title.</w:t>
      </w:r>
    </w:p>
    <w:p>
      <w:pPr>
        <w:numPr>
          <w:ilvl w:val="0"/>
          <w:numId w:val="1003"/>
        </w:numPr>
        <w:pStyle w:val="Compact"/>
      </w:pPr>
      <w:r>
        <w:t xml:space="preserve">Acting on that reading, the HIC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corrected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the title backwards</w:t>
      </w:r>
      <w:r>
        <w:t xml:space="preserve"> </w:t>
      </w:r>
      <w:r>
        <w:t xml:space="preserve">and submitted that version to the thesis service.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person handling the matter went on holiday.</w:t>
      </w:r>
      <w:r>
        <w:t xml:space="preserve"> </w:t>
      </w:r>
      <w:r>
        <w:t xml:space="preserve">The correction window closed without anyone closing it.</w:t>
      </w:r>
    </w:p>
    <w:p>
      <w:pPr>
        <w:numPr>
          <w:ilvl w:val="0"/>
          <w:numId w:val="1003"/>
        </w:numPr>
        <w:pStyle w:val="Compact"/>
      </w:pPr>
      <w:r>
        <w:t xml:space="preserve">The wrong title therefore reached</w:t>
      </w:r>
      <w:r>
        <w:t xml:space="preserve"> </w:t>
      </w:r>
      <w:r>
        <w:rPr>
          <w:bCs/>
          <w:b/>
        </w:rPr>
        <w:t xml:space="preserve">the assessment (5.6.2026)</w:t>
      </w:r>
      <w:r>
        <w:t xml:space="preserve"> </w:t>
      </w:r>
      <w:r>
        <w:t xml:space="preserve">and then</w:t>
      </w:r>
      <w:r>
        <w:t xml:space="preserve"> </w:t>
      </w:r>
      <w:r>
        <w:rPr>
          <w:bCs/>
          <w:b/>
        </w:rPr>
        <w:t xml:space="preserve">Theseus (10.7.2026)</w:t>
      </w:r>
      <w:r>
        <w:t xml:space="preserve">.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hic virheellisesti tulkitsi ohjeita että työn alkuperäinen nimi tulee olla sen lopullisen version nimi.</w:t>
      </w:r>
      <w:r>
        <w:rPr>
          <w:iCs/>
          <w:i/>
        </w:rPr>
        <w:t xml:space="preserve">”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hic vei vääräksi korjatun version thesis palveluun eikä virhettä enää korjattu.</w:t>
      </w:r>
      <w:r>
        <w:rPr>
          <w:iCs/>
          <w:i/>
        </w:rPr>
        <w:t xml:space="preserve">”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asiaa hoitava henkilö jäi lomille eikä virhettä enää korjattu.</w:t>
      </w:r>
      <w:r>
        <w:rPr>
          <w:iCs/>
          <w:i/>
        </w:rPr>
        <w:t xml:space="preserve">”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en tiedä voiko sitä enää korjata. virhe tuli arviointiin joka tapauksessa.</w:t>
      </w:r>
      <w:r>
        <w:rPr>
          <w:iCs/>
          <w:i/>
        </w:rPr>
        <w:t xml:space="preserve">”</w:t>
      </w:r>
    </w:p>
    <w:bookmarkEnd w:id="23"/>
    <w:bookmarkStart w:id="24" w:name="the-scope-question-is-now-closed"/>
    <w:p>
      <w:pPr>
        <w:pStyle w:val="Heading2"/>
      </w:pPr>
      <w:r>
        <w:t xml:space="preserve">The scope question is now closed</w:t>
      </w:r>
    </w:p>
    <w:p>
      <w:pPr>
        <w:pStyle w:val="FirstParagraph"/>
      </w:pPr>
      <w:r>
        <w:t xml:space="preserve">Earlier in this session the archived record carried an open question: is the error only in registry metadata, or also on the cover page of the submitted PDF? It mattered, because a metadata fix is light and a re-deposit is heavy.</w:t>
      </w:r>
    </w:p>
    <w:p>
      <w:pPr>
        <w:pStyle w:val="BodyText"/>
      </w:pPr>
      <w:r>
        <w:rPr>
          <w:bCs/>
          <w:b/>
        </w:rPr>
        <w:t xml:space="preserve">Answered by the HIC: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2 versiota ovat identtisiä pl. kansilehdellä oleva nimi.</w:t>
      </w:r>
      <w:r>
        <w:rPr>
          <w:iCs/>
          <w:i/>
        </w:rPr>
        <w:t xml:space="preserve">”</w:t>
      </w:r>
      <w:r>
        <w:t xml:space="preserve"> </w:t>
      </w:r>
      <w:r>
        <w:t xml:space="preserve">Two versions, byte-for-byte the same argument,</w:t>
      </w:r>
      <w:r>
        <w:t xml:space="preserve"> </w:t>
      </w:r>
      <w:r>
        <w:rPr>
          <w:bCs/>
          <w:b/>
        </w:rPr>
        <w:t xml:space="preserve">one line of difference — the cover page title.</w:t>
      </w:r>
      <w:r>
        <w:t xml:space="preserve"> </w:t>
      </w:r>
      <w:r>
        <w:t xml:space="preserve">So there is no second thesis, no divergent content, and no scholarly ambiguity about which work was assessed. There is one work wearing the wrong name.</w:t>
      </w:r>
    </w:p>
    <w:bookmarkEnd w:id="24"/>
    <w:bookmarkStart w:id="25" w:name="what-i-got-wrong-along-the-way"/>
    <w:p>
      <w:pPr>
        <w:pStyle w:val="Heading2"/>
      </w:pPr>
      <w:r>
        <w:t xml:space="preserve">What I got wrong along the way</w:t>
      </w:r>
    </w:p>
    <w:p>
      <w:pPr>
        <w:pStyle w:val="FirstParagraph"/>
      </w:pPr>
      <w:r>
        <w:t xml:space="preserve">Worth recording, because the correction sequence is the interesting part: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First reading:</w:t>
      </w:r>
      <w:r>
        <w:t xml:space="preserve"> </w:t>
      </w:r>
      <w:r>
        <w:t xml:space="preserve">I inferred from the title mismatch that</w:t>
      </w:r>
      <w:r>
        <w:t xml:space="preserve"> </w:t>
      </w:r>
      <w:r>
        <w:rPr>
          <w:rStyle w:val="VerbatimChar"/>
        </w:rPr>
        <w:t xml:space="preserve">V3Thesis_FI</w:t>
      </w:r>
      <w:r>
        <w:t xml:space="preserve"> </w:t>
      </w:r>
      <w:r>
        <w:t xml:space="preserve">and the published work were</w:t>
      </w:r>
      <w:r>
        <w:t xml:space="preserve"> </w:t>
      </w:r>
      <w:r>
        <w:rPr>
          <w:bCs/>
          <w:b/>
        </w:rPr>
        <w:t xml:space="preserve">two different documents</w:t>
      </w:r>
      <w:r>
        <w:t xml:space="preserve">. They are not. The inference was reasonable from the evidence available and wrong.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Second reading:</w:t>
      </w:r>
      <w:r>
        <w:t xml:space="preserve"> </w:t>
      </w:r>
      <w:r>
        <w:t xml:space="preserve">having learned it was one work, I assumed the error originated in</w:t>
      </w:r>
      <w:r>
        <w:t xml:space="preserve"> </w:t>
      </w:r>
      <w:r>
        <w:rPr>
          <w:bCs/>
          <w:b/>
        </w:rPr>
        <w:t xml:space="preserve">process registration</w:t>
      </w:r>
      <w:r>
        <w:t xml:space="preserve"> </w:t>
      </w:r>
      <w:r>
        <w:t xml:space="preserve">— a name inherited from a form nobody revisited. Also wrong. The name was actively changed back, by hand, on a misreading.</w:t>
      </w:r>
    </w:p>
    <w:p>
      <w:pPr>
        <w:pStyle w:val="FirstParagraph"/>
      </w:pPr>
      <w:r>
        <w:t xml:space="preserve">Both errors share a shape: I explained an anomaly with an impersonal mechanism when the actual cause was a specific human decision at a specific moment.</w:t>
      </w:r>
      <w:r>
        <w:t xml:space="preserve"> </w:t>
      </w:r>
      <w:r>
        <w:rPr>
          <w:bCs/>
          <w:b/>
        </w:rPr>
        <w:t xml:space="preserve">Institutional artifacts fail through people, not through systems, and a record that names the mechanism instead of the decision cannot support a correction request.</w:t>
      </w:r>
      <w:r>
        <w:t xml:space="preserve"> </w:t>
      </w:r>
      <w:r>
        <w:t xml:space="preserve">The mechanism story has no one to write to. The decision story does.</w:t>
      </w:r>
    </w:p>
    <w:bookmarkEnd w:id="25"/>
    <w:bookmarkStart w:id="26" w:name="what-follows"/>
    <w:p>
      <w:pPr>
        <w:pStyle w:val="Heading2"/>
      </w:pPr>
      <w:r>
        <w:t xml:space="preserve">What follows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A9 (patent window) is unaffected.</w:t>
      </w:r>
      <w:r>
        <w:t xml:space="preserve"> </w:t>
      </w:r>
      <w:r>
        <w:t xml:space="preserve">The controlling fact is the date, not the name: the deposit (10.07.2026) precedes §10.26/§10.27 by fifteen days, so those mechanisms cannot be in the published work under any title. Nothing in the naming question moves that.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Correctability is genuinely open.</w:t>
      </w:r>
      <w:r>
        <w:t xml:space="preserve"> </w:t>
      </w:r>
      <w:r>
        <w:t xml:space="preserve">The route is the Metropolia library, not Theseus (</w:t>
      </w:r>
      <w:r>
        <w:rPr>
          <w:iCs/>
          <w:i/>
        </w:rPr>
        <w:t xml:space="preserve">“</w:t>
      </w:r>
      <w:r>
        <w:rPr>
          <w:iCs/>
          <w:i/>
        </w:rPr>
        <w:t xml:space="preserve">Myös mahdolliset muutokset tehdään siellä.</w:t>
      </w:r>
      <w:r>
        <w:rPr>
          <w:iCs/>
          <w:i/>
        </w:rPr>
        <w:t xml:space="preserve">”</w:t>
      </w:r>
      <w:r>
        <w:t xml:space="preserve">). The question to them is two-part: can the cover page be fixed in the deposited file, and if not, can the record’s title metadata be fixed. The error</w:t>
      </w:r>
      <w:r>
        <w:t xml:space="preserve"> </w:t>
      </w:r>
      <w:r>
        <w:rPr>
          <w:bCs/>
          <w:b/>
        </w:rPr>
        <w:t xml:space="preserve">has already reached the assessment</w:t>
      </w:r>
      <w:r>
        <w:t xml:space="preserve"> </w:t>
      </w:r>
      <w:r>
        <w:t xml:space="preserve">— that part is a fact, not a risk to be managed.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self-contradiction is an asset for the request.</w:t>
      </w:r>
      <w:r>
        <w:t xml:space="preserve"> </w:t>
      </w:r>
      <w:r>
        <w:t xml:space="preserve">A correction that must be argued from external evidence is weak; one that can be shown from page 1 against page 2 of the same file is not. Whoever reviews the request can verify it without leaving the document.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If it cannot be fixed,</w:t>
      </w:r>
      <w:r>
        <w:t xml:space="preserve"> </w:t>
      </w:r>
      <w:r>
        <w:t xml:space="preserve">the archived record (</w:t>
      </w:r>
      <w:r>
        <w:rPr>
          <w:rStyle w:val="VerbatimChar"/>
        </w:rPr>
        <w:t xml:space="preserve">docs/metropolia/master-thesis/arviointi/README.md</w:t>
      </w:r>
      <w:r>
        <w:t xml:space="preserve">, v1.1) is the standing explanation — so the LUT application can dispose of the mismatch in one sentence and a link instead of a paragraph of apology.</w:t>
      </w:r>
    </w:p>
    <w:bookmarkEnd w:id="26"/>
    <w:bookmarkStart w:id="27" w:name="rule-this-earns"/>
    <w:p>
      <w:pPr>
        <w:pStyle w:val="Heading2"/>
      </w:pPr>
      <w:r>
        <w:t xml:space="preserve">Rule this earns</w:t>
      </w:r>
    </w:p>
    <w:p>
      <w:pPr>
        <w:pStyle w:val="FirstParagraph"/>
      </w:pPr>
      <w:r>
        <w:rPr>
          <w:bCs/>
          <w:b/>
        </w:rPr>
        <w:t xml:space="preserve">When a public, permanent record is wrong, record the decision that made it wrong — not just the discrepancy.</w:t>
      </w:r>
      <w:r>
        <w:t xml:space="preserve"> </w:t>
      </w:r>
      <w:r>
        <w:t xml:space="preserve">A discrepancy is a fact about two strings. A decision has an owner, a date, a reason, and a moment where a different choice was available. Only the second one is actionable, and only the second one keeps a person from repeating it.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urn.fi/URN:NBN:fi:amk-202606272569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urn.fi/URN:NBN:fi:amk-202606272569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2026-07-25T06:28:00Z</dcterms:created>
  <dcterms:modified xsi:type="dcterms:W3CDTF">2026-07-25T06:28:00Z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