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e5f3b4628134c27fcbfeb15ab78d4889d98e77"/>
    <w:p>
      <w:pPr>
        <w:pStyle w:val="Heading1"/>
      </w:pPr>
      <w:r>
        <w:t xml:space="preserve">2026-08-05 — Doctorate/Post-Doctorate Intelligence Catalog Gate</w:t>
      </w:r>
    </w:p>
    <w:p>
      <w:pPr>
        <w:pStyle w:val="FirstParagraph"/>
      </w:pPr>
      <w:r>
        <w:t xml:space="preserve">Supersedes</w:t>
      </w:r>
      <w:r>
        <w:t xml:space="preserve"> </w:t>
      </w:r>
      <w:r>
        <w:rPr>
          <w:rStyle w:val="VerbatimChar"/>
        </w:rPr>
        <w:t xml:space="preserve">2026-08-05-doctorate-strategy-research-in-progress.md</w:t>
      </w:r>
      <w:r>
        <w:t xml:space="preserve"> </w:t>
      </w:r>
      <w:r>
        <w:t xml:space="preserve">(research now complete).</w:t>
      </w:r>
    </w:p>
    <w:bookmarkStart w:id="20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HIC’s own working framing from the loop: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doctorate-level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must mean reproducible</w:t>
      </w:r>
      <w:r>
        <w:rPr>
          <w:iCs/>
          <w:i/>
        </w:rPr>
        <w:t xml:space="preserve"> </w:t>
      </w:r>
      <w:r>
        <w:rPr>
          <w:iCs/>
          <w:i/>
        </w:rPr>
        <w:t xml:space="preserve">inquiry and defensible evidence, while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post-doctorate-level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must mean discovering</w:t>
      </w:r>
      <w:r>
        <w:rPr>
          <w:iCs/>
          <w:i/>
        </w:rPr>
        <w:t xml:space="preserve"> </w:t>
      </w:r>
      <w:r>
        <w:rPr>
          <w:iCs/>
          <w:i/>
        </w:rPr>
        <w:t xml:space="preserve">and validating new enterprise knowledge.</w:t>
      </w:r>
      <w:r>
        <w:t xml:space="preserve"> </w:t>
      </w:r>
      <w:r>
        <w:t xml:space="preserve">This note converts that into a testable</w:t>
      </w:r>
      <w:r>
        <w:t xml:space="preserve"> </w:t>
      </w:r>
      <w:r>
        <w:t xml:space="preserve">gate and runs it against the current 121-SKU product catalog. It deliberately reuses</w:t>
      </w:r>
      <w:r>
        <w:t xml:space="preserve"> </w:t>
      </w:r>
      <w:r>
        <w:t xml:space="preserve">machinery already canonical in the repo rather than inventing new instruments — see</w:t>
      </w:r>
      <w:r>
        <w:t xml:space="preserve"> </w:t>
      </w:r>
      <w:r>
        <w:t xml:space="preserve">“</w:t>
      </w:r>
      <w:r>
        <w:t xml:space="preserve">Grounding</w:t>
      </w:r>
      <w:r>
        <w:t xml:space="preserve">”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rStyle w:val="VerbatimChar"/>
        </w:rPr>
        <w:t xml:space="preserve">Strategy_Loop.md</w:t>
      </w:r>
      <w:r>
        <w:t xml:space="preserve"> </w:t>
      </w:r>
      <w:r>
        <w:t xml:space="preserve">(claimed Copilot/DGX origin) remains unfound after a GitHub-wide</w:t>
      </w:r>
      <w:r>
        <w:t xml:space="preserve"> </w:t>
      </w:r>
      <w:r>
        <w:t xml:space="preserve">search and a scheduled 10-minute recheck; see the superseded note for the full</w:t>
      </w:r>
      <w:r>
        <w:t xml:space="preserve"> </w:t>
      </w:r>
      <w:r>
        <w:t xml:space="preserve">verification trail. Nothing in this note depends on that file existing.</w:t>
      </w:r>
    </w:p>
    <w:bookmarkEnd w:id="20"/>
    <w:bookmarkStart w:id="21" w:name="Xf1f85b5aceac8f722f27ff4027ba72b22c3bf70"/>
    <w:p>
      <w:pPr>
        <w:pStyle w:val="Heading2"/>
      </w:pPr>
      <w:r>
        <w:t xml:space="preserve">Grounding (what already exists in the repo)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KYA four-gate falsifiability criterion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docs/PHD_FIREHORSE_EN.md:3557</w:t>
      </w:r>
      <w:r>
        <w:t xml:space="preserve"> </w:t>
      </w:r>
      <w:r>
        <w:t xml:space="preserve">(§14.42)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standards/kya-open/SPEC.md:60</w:t>
      </w:r>
      <w:r>
        <w:t xml:space="preserve"> </w:t>
      </w:r>
      <w:r>
        <w:t xml:space="preserve">(§0.6), identical wording: (1) two+ independent</w:t>
      </w:r>
      <w:r>
        <w:t xml:space="preserve"> </w:t>
      </w:r>
      <w:r>
        <w:t xml:space="preserve">implementations, (2) a conformance suite an implementation can fail, (3) de jure</w:t>
      </w:r>
      <w:r>
        <w:t xml:space="preserve"> </w:t>
      </w:r>
      <w:r>
        <w:t xml:space="preserve">body acceptance or genuine de facto multi-party adoption, (4) change control that</w:t>
      </w:r>
      <w:r>
        <w:t xml:space="preserve"> </w:t>
      </w:r>
      <w:r>
        <w:t xml:space="preserve">outlives the originating organisation (</w:t>
      </w:r>
      <w:r>
        <w:t xml:space="preserve">“</w:t>
      </w:r>
      <w:r>
        <w:t xml:space="preserve">the decisive one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KYA’s own self-assessment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standards/kya-open/SPEC.md:207-209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conformance test suite exists yet…</w:t>
      </w:r>
      <w:r>
        <w:t xml:space="preserve"> </w:t>
      </w:r>
      <w:r>
        <w:t xml:space="preserve">‘</w:t>
      </w:r>
      <w:r>
        <w:t xml:space="preserve">KYA-compliant</w:t>
      </w:r>
      <w:r>
        <w:t xml:space="preserve">’</w:t>
      </w:r>
      <w:r>
        <w:t xml:space="preserve"> </w:t>
      </w:r>
      <w:r>
        <w:t xml:space="preserve">is an unverified</w:t>
      </w:r>
      <w:r>
        <w:t xml:space="preserve"> </w:t>
      </w:r>
      <w:r>
        <w:t xml:space="preserve">self-assertion.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DWS_TRUTH_STANDARD row 35 (KYA-S1)</w:t>
      </w:r>
      <w:r>
        <w:t xml:space="preserve">:</w:t>
      </w:r>
      <w:r>
        <w:t xml:space="preserve"> </w:t>
      </w:r>
      <w:r>
        <w:t xml:space="preserve">“</w:t>
      </w:r>
      <w:r>
        <w:t xml:space="preserve">self-attestation is not acceptable</w:t>
      </w:r>
      <w:r>
        <w:t xml:space="preserve"> </w:t>
      </w:r>
      <w:r>
        <w:t xml:space="preserve">evidence in any domain; Bronze/Silver/Gold differ on revocation + chain-termination</w:t>
      </w:r>
      <w:r>
        <w:t xml:space="preserve"> </w:t>
      </w:r>
      <w:r>
        <w:t xml:space="preserve">SLAs.</w:t>
      </w:r>
      <w:r>
        <w:t xml:space="preserve">”</w:t>
      </w:r>
      <w:r>
        <w:t xml:space="preserve"> </w:t>
      </w:r>
      <w:r>
        <w:t xml:space="preserve">Status: draft, public comment 04.08.2026–04.11.2026.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DWS_TRUTH_STANDARD row 29 (MGD)</w:t>
      </w:r>
      <w:r>
        <w:t xml:space="preserve">: a governed decision</w:t>
      </w:r>
      <w:r>
        <w:t xml:space="preserve"> </w:t>
      </w:r>
      <w:r>
        <w:t xml:space="preserve">“</w:t>
      </w:r>
      <w:r>
        <w:t xml:space="preserve">counts only when it…</w:t>
      </w:r>
      <w:r>
        <w:t xml:space="preserve"> </w:t>
      </w:r>
      <w:r>
        <w:t xml:space="preserve">carries full Article 12 reasoning lineage, and is audit-grade.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V1_FEATURE_LIST.md:358</w:t>
      </w:r>
      <w:r>
        <w:t xml:space="preserve">:</w:t>
      </w:r>
      <w:r>
        <w:t xml:space="preserve"> </w:t>
      </w:r>
      <w:r>
        <w:t xml:space="preserve">“</w:t>
      </w:r>
      <w:r>
        <w:t xml:space="preserve">⏳ Green ratification — every SKU stays Blue/pilot</w:t>
      </w:r>
      <w:r>
        <w:t xml:space="preserve"> </w:t>
      </w:r>
      <w:r>
        <w:t xml:space="preserve">until Risto signs it Green</w:t>
      </w:r>
      <w:r>
        <w:t xml:space="preserve">”</w:t>
      </w:r>
      <w:r>
        <w:t xml:space="preserve"> </w:t>
      </w:r>
      <w:r>
        <w:t xml:space="preserve">— the 64-SKU labor-anchored catalog is explicitly</w:t>
      </w:r>
      <w:r>
        <w:t xml:space="preserve"> </w:t>
      </w:r>
      <w:r>
        <w:t xml:space="preserve">pre-ratification.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Existing PhD RQ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docs/PHD_FIREHORSE_EN.md:158-178</w:t>
      </w:r>
      <w:r>
        <w:t xml:space="preserve">, §1.2): 7 RQs</w:t>
      </w:r>
      <w:r>
        <w:t xml:space="preserve"> </w:t>
      </w:r>
      <w:r>
        <w:t xml:space="preserve">(sovereignty frame, ontologies, KYA standard, standardization pathway, agentic</w:t>
      </w:r>
      <w:r>
        <w:t xml:space="preserve"> </w:t>
      </w:r>
      <w:r>
        <w:t xml:space="preserve">commerce, EU eWallet, transactions). None of the 7 currently formalizes a</w:t>
      </w:r>
      <w:r>
        <w:t xml:space="preserve"> </w:t>
      </w:r>
      <w:r>
        <w:t xml:space="preserve">catalog-wide evidence gate — this proposal is additive, not a replacement for any</w:t>
      </w:r>
      <w:r>
        <w:t xml:space="preserve"> </w:t>
      </w:r>
      <w:r>
        <w:t xml:space="preserve">of them.</w:t>
      </w:r>
    </w:p>
    <w:bookmarkEnd w:id="21"/>
    <w:bookmarkStart w:id="22" w:name="Xce89825aa81dfdbde99b01479bbf550f49dd129"/>
    <w:p>
      <w:pPr>
        <w:pStyle w:val="Heading2"/>
      </w:pPr>
      <w:r>
        <w:t xml:space="preserve">Proposed Research Question (draft, not yet added to §1.2 — see HIC action)</w:t>
      </w:r>
    </w:p>
    <w:p>
      <w:pPr>
        <w:pStyle w:val="BlockText"/>
      </w:pPr>
      <w:r>
        <w:rPr>
          <w:bCs/>
          <w:b/>
        </w:rPr>
        <w:t xml:space="preserve">RQ8 (proposed, catalog-scoped).</w:t>
      </w:r>
      <w:r>
        <w:t xml:space="preserve"> </w:t>
      </w:r>
      <w:r>
        <w:t xml:space="preserve">What evidentiary and reproducibility criteria</w:t>
      </w:r>
      <w:r>
        <w:t xml:space="preserve"> </w:t>
      </w:r>
      <w:r>
        <w:t xml:space="preserve">distinguish a DWS IQ product/service that merely generates enterprise output from</w:t>
      </w:r>
      <w:r>
        <w:t xml:space="preserve"> </w:t>
      </w:r>
      <w:r>
        <w:t xml:space="preserve">one that constitutes doctorate-level (reproducible, defensibly-evidenced) or</w:t>
      </w:r>
      <w:r>
        <w:t xml:space="preserve"> </w:t>
      </w:r>
      <w:r>
        <w:t xml:space="preserve">post-doctorate-level (novel, independently-validated) enterprise intelligence —</w:t>
      </w:r>
      <w:r>
        <w:t xml:space="preserve"> </w:t>
      </w:r>
      <w:r>
        <w:t xml:space="preserve">and what fraction of the current product catalog clears that bar?</w:t>
      </w:r>
    </w:p>
    <w:p>
      <w:pPr>
        <w:pStyle w:val="FirstParagraph"/>
      </w:pPr>
      <w:r>
        <w:t xml:space="preserve">This is the KYA four-gate instrument applied one level down: not</w:t>
      </w:r>
      <w:r>
        <w:t xml:space="preserve"> </w:t>
      </w:r>
      <w:r>
        <w:t xml:space="preserve">“</w:t>
      </w:r>
      <w:r>
        <w:t xml:space="preserve">is the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falsifiable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does each</w:t>
      </w:r>
      <w:r>
        <w:t xml:space="preserve"> </w:t>
      </w:r>
      <w:r>
        <w:rPr>
          <w:iCs/>
          <w:i/>
        </w:rPr>
        <w:t xml:space="preserve">product claim</w:t>
      </w:r>
      <w:r>
        <w:t xml:space="preserve"> </w:t>
      </w:r>
      <w:r>
        <w:t xml:space="preserve">built on top of it clear the same bar.</w:t>
      </w:r>
      <w:r>
        <w:t xml:space="preserve">”</w:t>
      </w:r>
    </w:p>
    <w:bookmarkEnd w:id="22"/>
    <w:bookmarkStart w:id="23" w:name="the-gate"/>
    <w:p>
      <w:pPr>
        <w:pStyle w:val="Heading2"/>
      </w:pPr>
      <w:r>
        <w:t xml:space="preserve">The gate</w:t>
      </w:r>
    </w:p>
    <w:p>
      <w:pPr>
        <w:pStyle w:val="FirstParagraph"/>
      </w:pPr>
      <w:r>
        <w:rPr>
          <w:bCs/>
          <w:b/>
        </w:rPr>
        <w:t xml:space="preserve">Doctorate-level (G1–G4, all required — reproducible inquiry + defensible evidence):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7"/>
        <w:gridCol w:w="5309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input reliably reproduces the same defensible output — independently re-derivable, not just a deterministic code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 — no existing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Evidence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Article 12 reasoning lineage, audit-grade; not self-attested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 row 29 (MGD), row 35 (KYA-S1)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Falsifiability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independent conformance check can fail the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SPEC §9 / four-gate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Provenance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Versioned, revocable, chain-terminating record survives the single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KYA-S1 Bronze/Silver/Gold SLA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Post-doctorate-level (G5–G6, on top of G1–G4 — discovering + validating new</w:t>
      </w:r>
      <w:r>
        <w:rPr>
          <w:bCs/>
          <w:b/>
        </w:rPr>
        <w:t xml:space="preserve"> </w:t>
      </w:r>
      <w:r>
        <w:rPr>
          <w:bCs/>
          <w:b/>
        </w:rPr>
        <w:t xml:space="preserve">enterprise knowledge):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4"/>
        <w:gridCol w:w="65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contains a claim not already contained in its inputs (synthesis, not retrieval/summarization)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 Independent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novel claim is checked against ground truth or an independent verifier before surfacing, not generated-and-shown</w:t>
            </w:r>
          </w:p>
        </w:tc>
      </w:tr>
    </w:tbl>
    <w:bookmarkEnd w:id="23"/>
    <w:bookmarkStart w:id="26" w:name="test-result-121-sku-catalog-against-g1g4"/>
    <w:p>
      <w:pPr>
        <w:pStyle w:val="Heading2"/>
      </w:pPr>
      <w:r>
        <w:t xml:space="preserve">Test result: 121-SKU catalog against G1–G4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dws10.com/config/products.json</w:t>
      </w:r>
      <w:r>
        <w:t xml:space="preserve"> </w:t>
      </w:r>
      <w:r>
        <w:t xml:space="preserve">(121 SKUs, byte-identical to the</w:t>
      </w:r>
      <w:r>
        <w:t xml:space="preserve"> </w:t>
      </w:r>
      <w:r>
        <w:rPr>
          <w:rStyle w:val="VerbatimChar"/>
        </w:rPr>
        <w:t xml:space="preserve">landing-pages/</w:t>
      </w:r>
      <w:r>
        <w:t xml:space="preserve"> </w:t>
      </w:r>
      <w:r>
        <w:t xml:space="preserve">mirror — dual-folder sync intact).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29 / 121 SKUs</w:t>
      </w:r>
      <w:r>
        <w:t xml:space="preserve"> </w:t>
      </w:r>
      <w:r>
        <w:t xml:space="preserve">carry any evidence-trail language (audit / attestation / signed</w:t>
      </w:r>
      <w:r>
        <w:t xml:space="preserve"> </w:t>
      </w:r>
      <w:r>
        <w:t xml:space="preserve">/ verified / watermark) in their product definition — the only candidates for G2.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92 / 121 SKUs</w:t>
      </w:r>
      <w:r>
        <w:t xml:space="preserve"> </w:t>
      </w:r>
      <w:r>
        <w:t xml:space="preserve">carry none — fail G2 outright by omission.</w:t>
      </w:r>
    </w:p>
    <w:p>
      <w:pPr>
        <w:numPr>
          <w:ilvl w:val="0"/>
          <w:numId w:val="1002"/>
        </w:numPr>
        <w:pStyle w:val="Compact"/>
      </w:pPr>
      <w:r>
        <w:t xml:space="preserve">Of the 29 candidates,</w:t>
      </w:r>
      <w:r>
        <w:t xml:space="preserve"> </w:t>
      </w:r>
      <w:r>
        <w:rPr>
          <w:bCs/>
          <w:b/>
        </w:rPr>
        <w:t xml:space="preserve">G3 fails catalog-wide</w:t>
      </w:r>
      <w:r>
        <w:t xml:space="preserve">: they rest on KYA, and KYA’s own</w:t>
      </w:r>
      <w:r>
        <w:t xml:space="preserve"> </w:t>
      </w:r>
      <w:r>
        <w:t xml:space="preserve">spec admits no conformance suite exists — a SKU cannot clear a gate its evidence</w:t>
      </w:r>
      <w:r>
        <w:t xml:space="preserve"> </w:t>
      </w:r>
      <w:r>
        <w:t xml:space="preserve">layer hasn’t cleared yet.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G4 is catalog-wide aspirational</w:t>
      </w:r>
      <w:r>
        <w:t xml:space="preserve">: the Bronze/Silver/Gold SLA it depends on is</w:t>
      </w:r>
      <w:r>
        <w:t xml:space="preserve"> </w:t>
      </w:r>
      <w:r>
        <w:t xml:space="preserve">still in public comment (closes 04.11.2026).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Finding: 0 of 121 SKUs currently clear the full doctorate-level gate.</w:t>
      </w:r>
      <w:r>
        <w:t xml:space="preserve"> </w:t>
      </w:r>
      <w:r>
        <w:t xml:space="preserve">Not a</w:t>
      </w:r>
      <w:r>
        <w:t xml:space="preserve"> </w:t>
      </w:r>
      <w:r>
        <w:t xml:space="preserve">product-logic defect — the evidence layer underneath (KYA) hasn’t cleared its own</w:t>
      </w:r>
      <w:r>
        <w:t xml:space="preserve"> </w:t>
      </w:r>
      <w:r>
        <w:t xml:space="preserve">four gates, so every downstream claim inherits that gap.</w:t>
      </w:r>
    </w:p>
    <w:bookmarkStart w:id="24" w:name="X3995cde56bb72f2c28727cd619c659b3b606909"/>
    <w:p>
      <w:pPr>
        <w:pStyle w:val="Heading3"/>
      </w:pPr>
      <w:r>
        <w:t xml:space="preserve">Candidate set (29 SKUs) — blocked only on KYA reaching its own gates, not on product logic</w:t>
      </w:r>
    </w:p>
    <w:p>
      <w:pPr>
        <w:pStyle w:val="FirstParagraph"/>
      </w:pPr>
      <w:r>
        <w:rPr>
          <w:rStyle w:val="VerbatimChar"/>
        </w:rPr>
        <w:t xml:space="preserve">DWS-AEGIS-PILOT-001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DWS-AEGIS-IMPL-001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DWS-CLIMATE-001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DWS-IQ-006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DWS-IQ-FREE-2026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FH-SIGN-001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FH-CMS-001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FH-SKILL-T3</w:t>
      </w:r>
      <w:r>
        <w:t xml:space="preserve">,</w:t>
      </w:r>
      <w:r>
        <w:t xml:space="preserve"> </w:t>
      </w:r>
      <w:r>
        <w:rPr>
          <w:rStyle w:val="VerbatimChar"/>
        </w:rPr>
        <w:t xml:space="preserve">CMP-T0/T1/T2</w:t>
      </w:r>
      <w:r>
        <w:t xml:space="preserve">,</w:t>
      </w:r>
      <w:r>
        <w:t xml:space="preserve"> </w:t>
      </w:r>
      <w:r>
        <w:rPr>
          <w:rStyle w:val="VerbatimChar"/>
        </w:rPr>
        <w:t xml:space="preserve">CMP-OC-STD/ENT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SS-T0/T1/T2</w:t>
      </w:r>
      <w:r>
        <w:t xml:space="preserve">,</w:t>
      </w:r>
      <w:r>
        <w:t xml:space="preserve"> </w:t>
      </w:r>
      <w:r>
        <w:rPr>
          <w:rStyle w:val="VerbatimChar"/>
        </w:rPr>
        <w:t xml:space="preserve">SS-OC-ENT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MO-T0/T1/T2</w:t>
      </w:r>
      <w:r>
        <w:t xml:space="preserve">,</w:t>
      </w:r>
      <w:r>
        <w:t xml:space="preserve"> </w:t>
      </w:r>
      <w:r>
        <w:rPr>
          <w:rStyle w:val="VerbatimChar"/>
        </w:rPr>
        <w:t xml:space="preserve">MO-OC-ENT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QG-T1/T2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SEO-T1/T2</w:t>
      </w:r>
      <w:r>
        <w:t xml:space="preserve">,</w:t>
      </w:r>
      <w:r>
        <w:t xml:space="preserve"> </w:t>
      </w:r>
      <w:r>
        <w:rPr>
          <w:rStyle w:val="VerbatimChar"/>
        </w:rPr>
        <w:t xml:space="preserve">GTM-T3</w:t>
      </w:r>
      <w:r>
        <w:t xml:space="preserve">,</w:t>
      </w:r>
      <w:r>
        <w:t xml:space="preserve"> </w:t>
      </w:r>
      <w:r>
        <w:rPr>
          <w:rStyle w:val="VerbatimChar"/>
        </w:rPr>
        <w:t xml:space="preserve">HSE-T3</w:t>
      </w:r>
      <w:r>
        <w:t xml:space="preserve">,</w:t>
      </w:r>
      <w:r>
        <w:t xml:space="preserve"> </w:t>
      </w:r>
      <w:r>
        <w:rPr>
          <w:rStyle w:val="VerbatimChar"/>
        </w:rPr>
        <w:t xml:space="preserve">AIS-EU-SOV-OC</w:t>
      </w:r>
      <w:r>
        <w:t xml:space="preserve">, plus the T2 tier of</w:t>
      </w:r>
      <w:r>
        <w:t xml:space="preserve"> </w:t>
      </w:r>
      <w:r>
        <w:t xml:space="preserve">the ED/SG/LOG/SOV/CSAT/LF/CS bundle family that carries</w:t>
      </w:r>
      <w:r>
        <w:t xml:space="preserve"> </w:t>
      </w:r>
      <w:r>
        <w:t xml:space="preserve">“</w:t>
      </w:r>
      <w:r>
        <w:t xml:space="preserve">audit</w:t>
      </w:r>
      <w:r>
        <w:t xml:space="preserve">”</w:t>
      </w:r>
      <w:r>
        <w:t xml:space="preserve"> </w:t>
      </w:r>
      <w:r>
        <w:t xml:space="preserve">language.</w:t>
      </w:r>
    </w:p>
    <w:bookmarkEnd w:id="24"/>
    <w:bookmarkStart w:id="25" w:name="X6111852c804636bf27711699340e07993551a2f"/>
    <w:p>
      <w:pPr>
        <w:pStyle w:val="Heading3"/>
      </w:pPr>
      <w:r>
        <w:t xml:space="preserve">Does-not-meet list (92 SKUs) — no evidence/audit/attestation language at 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9 industry-vertical pods</w:t>
      </w:r>
      <w:r>
        <w:t xml:space="preserve">: IND-MARS, HELIOS, VULCAN, TALOS, GAIA, CERES,</w:t>
      </w:r>
      <w:r>
        <w:t xml:space="preserve"> </w:t>
      </w:r>
      <w:r>
        <w:t xml:space="preserve">NEPTUN, PROM, BESS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Nearly all consulting/training/coaching SKUs</w:t>
      </w:r>
      <w:r>
        <w:t xml:space="preserve">: consulting-hourly,</w:t>
      </w:r>
      <w:r>
        <w:t xml:space="preserve"> </w:t>
      </w:r>
      <w:r>
        <w:t xml:space="preserve">consulting-fit55, aws-consultancy, m365-consultancy, business-mentor-30,</w:t>
      </w:r>
      <w:r>
        <w:t xml:space="preserve"> </w:t>
      </w:r>
      <w:r>
        <w:t xml:space="preserve">ai-koulutus-3d, claude-code-coaching-* (4 SKUs), lean-project, ai-consultant-day,</w:t>
      </w:r>
      <w:r>
        <w:t xml:space="preserve"> </w:t>
      </w:r>
      <w:r>
        <w:t xml:space="preserve">firehorse-coach, ai-consulting-agentic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Edge hardware resale SKUs</w:t>
      </w:r>
      <w:r>
        <w:t xml:space="preserve">: edge-node-gn100, LF-JETSON-*, LF-DGX-SPARK,</w:t>
      </w:r>
      <w:r>
        <w:t xml:space="preserve"> </w:t>
      </w:r>
      <w:r>
        <w:t xml:space="preserve">LF-IGX-ORIN, LF-NVIDIA-INSTALL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Sovereign DB / cloud-migration consulting</w:t>
      </w:r>
      <w:r>
        <w:t xml:space="preserve">: DWS-SOVEREIGN-DB-001,</w:t>
      </w:r>
      <w:r>
        <w:t xml:space="preserve"> </w:t>
      </w:r>
      <w:r>
        <w:t xml:space="preserve">sovereignty-cloud-consulting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Marketing/comms/design/IT SKUs</w:t>
      </w:r>
      <w:r>
        <w:t xml:space="preserve">: firehorse-flow, omnichannel-multimodal,</w:t>
      </w:r>
      <w:r>
        <w:t xml:space="preserve"> </w:t>
      </w:r>
      <w:r>
        <w:t xml:space="preserve">FH-OMNI-001, professional-web-pages, secure-email-proton,</w:t>
      </w:r>
      <w:r>
        <w:t xml:space="preserve"> </w:t>
      </w:r>
      <w:r>
        <w:t xml:space="preserve">firehorse-data-services, digital-design-gold, cloud-ready-teams, devops-lead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Most single-domain agent SKUs below Pro tier</w:t>
      </w:r>
      <w:r>
        <w:t xml:space="preserve">: Emissions Data, Schedule</w:t>
      </w:r>
      <w:r>
        <w:t xml:space="preserve"> </w:t>
      </w:r>
      <w:r>
        <w:t xml:space="preserve">Genius, Logistics, Customer Sat, Lead Feedback, Competitor Surveillance,</w:t>
      </w:r>
      <w:r>
        <w:t xml:space="preserve"> </w:t>
      </w:r>
      <w:r>
        <w:t xml:space="preserve">Deepwiki Extractor, Viability, Themis Coordinator (T1)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Bundle/report/misc</w:t>
      </w:r>
      <w:r>
        <w:t xml:space="preserve">: LIFETIME-BUNDLE-2026, FH-RPT-001, FLEET-VIP-001,</w:t>
      </w:r>
      <w:r>
        <w:t xml:space="preserve"> </w:t>
      </w:r>
      <w:r>
        <w:t xml:space="preserve">DWS-US/EU-STARTER/PILOT, LAND-* overlay bundles not already listed above,</w:t>
      </w:r>
      <w:r>
        <w:t xml:space="preserve"> </w:t>
      </w:r>
      <w:r>
        <w:t xml:space="preserve">AIS-OUTCOME-PILOT, DWS365-CMP-T3, AC365-T3</w:t>
      </w:r>
    </w:p>
    <w:p>
      <w:pPr>
        <w:pStyle w:val="FirstParagraph"/>
      </w:pPr>
      <w:r>
        <w:rPr>
          <w:bCs/>
          <w:b/>
        </w:rPr>
        <w:t xml:space="preserve">Caveat, stated plainly so the list isn’t misread</w:t>
      </w:r>
      <w:r>
        <w:t xml:space="preserve">: several</w:t>
      </w:r>
      <w:r>
        <w:t xml:space="preserve"> </w:t>
      </w:r>
      <w:r>
        <w:t xml:space="preserve">“</w:t>
      </w:r>
      <w:r>
        <w:t xml:space="preserve">does-not-meet</w:t>
      </w:r>
      <w:r>
        <w:t xml:space="preserve">”</w:t>
      </w:r>
      <w:r>
        <w:t xml:space="preserve"> </w:t>
      </w:r>
      <w:r>
        <w:t xml:space="preserve">SKUs</w:t>
      </w:r>
      <w:r>
        <w:t xml:space="preserve"> </w:t>
      </w:r>
      <w:r>
        <w:t xml:space="preserve">were never meant to carry an evidence-chain claim — hardware resale and</w:t>
      </w:r>
      <w:r>
        <w:t xml:space="preserve"> </w:t>
      </w:r>
      <w:r>
        <w:t xml:space="preserve">human-delivered consulting are not intelligence claims by design, and</w:t>
      </w:r>
      <w:r>
        <w:t xml:space="preserve"> </w:t>
      </w:r>
      <w:r>
        <w:t xml:space="preserve">“</w:t>
      </w:r>
      <w:r>
        <w:t xml:space="preserve">no evidence</w:t>
      </w:r>
      <w:r>
        <w:t xml:space="preserve"> </w:t>
      </w:r>
      <w:r>
        <w:t xml:space="preserve">language</w:t>
      </w:r>
      <w:r>
        <w:t xml:space="preserve">”</w:t>
      </w:r>
      <w:r>
        <w:t xml:space="preserve"> </w:t>
      </w:r>
      <w:r>
        <w:t xml:space="preserve">on those is correct, not a defect. The gate applies to SKUs that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an intelligence outcome. First remediation step is tagging each SKU with whether it</w:t>
      </w:r>
      <w:r>
        <w:t xml:space="preserve"> </w:t>
      </w:r>
      <w:r>
        <w:t xml:space="preserve">makes an intelligence claim at all, before treating absence of evidence language as</w:t>
      </w:r>
      <w:r>
        <w:t xml:space="preserve"> </w:t>
      </w:r>
      <w:r>
        <w:t xml:space="preserve">a finding.</w:t>
      </w:r>
    </w:p>
    <w:bookmarkEnd w:id="25"/>
    <w:bookmarkEnd w:id="26"/>
    <w:bookmarkStart w:id="27" w:name="hic-decision-needed"/>
    <w:p>
      <w:pPr>
        <w:pStyle w:val="Heading2"/>
      </w:pPr>
      <w:r>
        <w:t xml:space="preserve">HIC decision needed</w:t>
      </w:r>
    </w:p>
    <w:p>
      <w:pPr>
        <w:pStyle w:val="FirstParagraph"/>
      </w:pPr>
      <w:r>
        <w:t xml:space="preserve">Should this gate (a) become a canonical</w:t>
      </w:r>
      <w:r>
        <w:t xml:space="preserve"> 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row plus a reusable</w:t>
      </w:r>
      <w:r>
        <w:t xml:space="preserve"> </w:t>
      </w:r>
      <w:r>
        <w:rPr>
          <w:rStyle w:val="VerbatimChar"/>
        </w:rPr>
        <w:t xml:space="preserve">/catalog-gate</w:t>
      </w:r>
      <w:r>
        <w:t xml:space="preserve"> </w:t>
      </w:r>
      <w:r>
        <w:t xml:space="preserve">skill — since re-running this by hand each time a SKU is added is</w:t>
      </w:r>
      <w:r>
        <w:t xml:space="preserve"> </w:t>
      </w:r>
      <w:r>
        <w:t xml:space="preserve">exactly the</w:t>
      </w:r>
      <w:r>
        <w:t xml:space="preserve"> </w:t>
      </w:r>
      <w:r>
        <w:t xml:space="preserve">“</w:t>
      </w:r>
      <w:r>
        <w:t xml:space="preserve">asked twice = failure</w:t>
      </w:r>
      <w:r>
        <w:t xml:space="preserve">”</w:t>
      </w:r>
      <w:r>
        <w:t xml:space="preserve"> </w:t>
      </w:r>
      <w:r>
        <w:t xml:space="preserve">pattern the Skill Codification Rule exists to</w:t>
      </w:r>
      <w:r>
        <w:t xml:space="preserve"> </w:t>
      </w:r>
      <w:r>
        <w:t xml:space="preserve">catch — and (b) be wired as a hard pre-condition for Green-ratifying any SKU, or</w:t>
      </w:r>
      <w:r>
        <w:t xml:space="preserve"> </w:t>
      </w:r>
      <w:r>
        <w:t xml:space="preserve">stay advisory until KYA itself clears its own four gates? A third option is to do</w:t>
      </w:r>
      <w:r>
        <w:t xml:space="preserve"> </w:t>
      </w:r>
      <w:r>
        <w:t xml:space="preserve">neither yet and treat this note as a one-time audit.</w:t>
      </w:r>
    </w:p>
    <w:bookmarkEnd w:id="27"/>
    <w:bookmarkStart w:id="28" w:name="X6ecfeadedabd212f3f217b67634f2192af23561"/>
    <w:p>
      <w:pPr>
        <w:pStyle w:val="Heading2"/>
      </w:pPr>
      <w:r>
        <w:t xml:space="preserve">Also surfaced this session (parked, not this task’s scope)</w:t>
      </w:r>
    </w:p>
    <w:p>
      <w:pPr>
        <w:pStyle w:val="FirstParagraph"/>
      </w:pPr>
      <w:r>
        <w:rPr>
          <w:rStyle w:val="VerbatimChar"/>
        </w:rPr>
        <w:t xml:space="preserve">docs/blog-drafts/kya-s1-one-signed-page.md</w:t>
      </w:r>
      <w:r>
        <w:t xml:space="preserve"> </w:t>
      </w:r>
      <w:r>
        <w:t xml:space="preserve">is a drafted-but-unpublished blog post</w:t>
      </w:r>
      <w:r>
        <w:t xml:space="preserve"> </w:t>
      </w:r>
      <w:r>
        <w:t xml:space="preserve">flagged by the session-stop hook. Parked — not read or acted on here; a separate</w:t>
      </w:r>
      <w:r>
        <w:t xml:space="preserve"> </w:t>
      </w:r>
      <w:r>
        <w:rPr>
          <w:rStyle w:val="VerbatimChar"/>
        </w:rPr>
        <w:t xml:space="preserve">/blog-draft</w:t>
      </w:r>
      <w:r>
        <w:t xml:space="preserve"> </w:t>
      </w:r>
      <w:r>
        <w:t xml:space="preserve">pass is needed to show the HIC the full text and get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 </w:t>
      </w:r>
      <w:r>
        <w:t xml:space="preserve">per Non-Negotiable Rule 13. Not touched in this session (out of scope,</w:t>
      </w:r>
      <w:r>
        <w:t xml:space="preserve"> </w:t>
      </w:r>
      <w:r>
        <w:t xml:space="preserve">Rule 3 surgical changes).</w: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t xml:space="preserve">HIC answers the decision above.</w:t>
      </w:r>
    </w:p>
    <w:p>
      <w:pPr>
        <w:numPr>
          <w:ilvl w:val="0"/>
          <w:numId w:val="1004"/>
        </w:numPr>
        <w:pStyle w:val="Compact"/>
      </w:pPr>
      <w:r>
        <w:t xml:space="preserve">If canonicalized: add</w:t>
      </w:r>
      <w:r>
        <w:t xml:space="preserve"> 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row, register</w:t>
      </w:r>
      <w:r>
        <w:t xml:space="preserve"> </w:t>
      </w:r>
      <w:r>
        <w:rPr>
          <w:rStyle w:val="VerbatimChar"/>
        </w:rPr>
        <w:t xml:space="preserve">/catalog-gate</w:t>
      </w:r>
      <w:r>
        <w:t xml:space="preserve"> </w:t>
      </w:r>
      <w:r>
        <w:t xml:space="preserve">skill in</w:t>
      </w:r>
      <w:r>
        <w:t xml:space="preserve"> </w:t>
      </w:r>
      <w:r>
        <w:rPr>
          <w:rStyle w:val="VerbatimChar"/>
        </w:rPr>
        <w:t xml:space="preserve">skills/manifest.json</w:t>
      </w:r>
      <w:r>
        <w:t xml:space="preserve">, sync</w:t>
      </w:r>
      <w:r>
        <w:t xml:space="preserve"> </w:t>
      </w:r>
      <w:r>
        <w:rPr>
          <w:rStyle w:val="VerbatimChar"/>
        </w:rPr>
        <w:t xml:space="preserve">docs/DWS_SKILLS_GUIDE.md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RQ8 is wanted in the formal PhD RQ set: that’s a</w:t>
      </w:r>
      <w:r>
        <w:t xml:space="preserve"> </w:t>
      </w:r>
      <w:r>
        <w:rPr>
          <w:bCs/>
          <w:b/>
        </w:rPr>
        <w:t xml:space="preserve">structural thesis edit</w:t>
      </w:r>
      <w:r>
        <w:t xml:space="preserve"> </w:t>
      </w:r>
      <w:r>
        <w:t xml:space="preserve">(new numbered RQ in §1.2) — RED zone, requires explicit HIC go-ahead per the</w:t>
      </w:r>
      <w:r>
        <w:t xml:space="preserve"> </w:t>
      </w:r>
      <w:r>
        <w:t xml:space="preserve">Thesis Autonomy Boundary, and the four-file lockstep (master’s EN/FI + PhD EN/FI)</w:t>
      </w:r>
      <w:r>
        <w:t xml:space="preserve"> </w:t>
      </w:r>
      <w:r>
        <w:t xml:space="preserve">applies once approved.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2026-08-05T03:33:20Z</dcterms:created>
  <dcterms:modified xsi:type="dcterms:W3CDTF">2026-08-05T03:33:20Z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