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uyer-procurement-faq"/>
    <w:p>
      <w:pPr>
        <w:pStyle w:val="Heading1"/>
      </w:pPr>
      <w:r>
        <w:t xml:space="preserve">Buyer &amp; Procurement FAQ</w:t>
      </w:r>
    </w:p>
    <w:bookmarkStart w:id="20" w:name="enstill-corporate-workforce"/>
    <w:p>
      <w:pPr>
        <w:pStyle w:val="Heading2"/>
      </w:pPr>
      <w:r>
        <w:t xml:space="preserve">enStill Corporate Workforce</w:t>
      </w:r>
    </w:p>
    <w:p>
      <w:pPr>
        <w:pStyle w:val="FirstParagraph"/>
      </w:pPr>
      <w:r>
        <w:rPr>
          <w:iCs/>
          <w:i/>
        </w:rPr>
        <w:t xml:space="preserve">For wellness, HR, employee-experience, benefits, procurement, privacy, legal, and occupational-health reviewers. Answers are brief and evidence-disciplined; fuller detail is available in the proposal, statement of work, and evidence brief.</w:t>
      </w:r>
    </w:p>
    <w:p>
      <w:r>
        <w:pict>
          <v:rect style="width:0;height:1.5pt" o:hralign="center" o:hrstd="t" o:hr="t"/>
        </w:pict>
      </w:r>
    </w:p>
    <w:p>
      <w:pPr>
        <w:pStyle w:val="FirstParagraph"/>
      </w:pPr>
      <w:r>
        <w:rPr>
          <w:bCs/>
          <w:b/>
        </w:rPr>
        <w:t xml:space="preserve">1. What is enStill Corporate Workforce?</w:t>
      </w:r>
      <w:r>
        <w:t xml:space="preserve"> </w:t>
      </w:r>
      <w:r>
        <w:t xml:space="preserve">A structured workplace awareness practice for employees, delivered in two stages: a 60–75 minute introductory workshop,</w:t>
      </w:r>
      <w:r>
        <w:t xml:space="preserve"> </w:t>
      </w:r>
      <w:r>
        <w:rPr>
          <w:iCs/>
          <w:i/>
        </w:rPr>
        <w:t xml:space="preserve">Steadiness Under Sustained Load</w:t>
      </w:r>
      <w:r>
        <w:t xml:space="preserve">, and a six-week program,</w:t>
      </w:r>
      <w:r>
        <w:t xml:space="preserve"> </w:t>
      </w:r>
      <w:r>
        <w:rPr>
          <w:iCs/>
          <w:i/>
        </w:rPr>
        <w:t xml:space="preserve">Steadiness at Work</w:t>
      </w:r>
      <w:r>
        <w:t xml:space="preserve">. It helps employees pause, notice, and return during ordinary workday transitions.</w:t>
      </w:r>
    </w:p>
    <w:p>
      <w:pPr>
        <w:pStyle w:val="BodyText"/>
      </w:pPr>
      <w:r>
        <w:rPr>
          <w:bCs/>
          <w:b/>
        </w:rPr>
        <w:t xml:space="preserve">2. What is a structured workplace awareness practice?</w:t>
      </w:r>
      <w:r>
        <w:t xml:space="preserve"> </w:t>
      </w:r>
      <w:r>
        <w:t xml:space="preserve">A professionally facilitated, non-clinical practice that helps employees relate more steadily to the demands of the workday through greater awareness of their internal experience. It begins with simple, optional contact with present physical and environmental cues.</w:t>
      </w:r>
    </w:p>
    <w:p>
      <w:pPr>
        <w:pStyle w:val="BodyText"/>
      </w:pPr>
      <w:r>
        <w:rPr>
          <w:bCs/>
          <w:b/>
        </w:rPr>
        <w:t xml:space="preserve">3. Is this mindfulness or meditation training?</w:t>
      </w:r>
      <w:r>
        <w:t xml:space="preserve"> </w:t>
      </w:r>
      <w:r>
        <w:t xml:space="preserve">It shares some lineage but is narrower and more bounded: a structured practice for noticing internal experience and creating a little room before reacting, scoped to the workday. It is not a meditation curriculum or a belief system.</w:t>
      </w:r>
    </w:p>
    <w:p>
      <w:pPr>
        <w:pStyle w:val="BodyText"/>
      </w:pPr>
      <w:r>
        <w:rPr>
          <w:bCs/>
          <w:b/>
        </w:rPr>
        <w:t xml:space="preserve">4. Is this therapy?</w:t>
      </w:r>
      <w:r>
        <w:t xml:space="preserve"> </w:t>
      </w:r>
      <w:r>
        <w:t xml:space="preserve">No. It is non-clinical and non-disclosing. Facilitators do not diagnose, treat, counsel, or interpret. Clinical concerns fall outside enStill’s scope and should be addressed through appropriate organizational resources or a qualified licensed professional.</w:t>
      </w:r>
    </w:p>
    <w:p>
      <w:pPr>
        <w:pStyle w:val="BodyText"/>
      </w:pPr>
      <w:r>
        <w:rPr>
          <w:bCs/>
          <w:b/>
        </w:rPr>
        <w:t xml:space="preserve">5. Does the program reduce stress?</w:t>
      </w:r>
      <w:r>
        <w:t xml:space="preserve"> </w:t>
      </w:r>
      <w:r>
        <w:t xml:space="preserve">We don’t claim that. It offers a structured pause, not a stress treatment, and a single workshop cannot responsibly promise stress reduction.</w:t>
      </w:r>
    </w:p>
    <w:p>
      <w:pPr>
        <w:pStyle w:val="BodyText"/>
      </w:pPr>
      <w:r>
        <w:rPr>
          <w:bCs/>
          <w:b/>
        </w:rPr>
        <w:t xml:space="preserve">6. Why would an organization fund this?</w:t>
      </w:r>
      <w:r>
        <w:t xml:space="preserve"> </w:t>
      </w:r>
      <w:r>
        <w:t xml:space="preserve">Modern work often moves from one demand to the next with little room in between; organizations invest considerably in managing work and comparatively little in helping employees manage their own engagement with it. This gives employees a practical practice they can use, as one part of a broader approach.</w:t>
      </w:r>
    </w:p>
    <w:p>
      <w:pPr>
        <w:pStyle w:val="BodyText"/>
      </w:pPr>
      <w:r>
        <w:rPr>
          <w:bCs/>
          <w:b/>
        </w:rPr>
        <w:t xml:space="preserve">7. Does this replace organizational action on workload or working conditions?</w:t>
      </w:r>
      <w:r>
        <w:t xml:space="preserve"> </w:t>
      </w:r>
      <w:r>
        <w:t xml:space="preserve">No, and we say so in participant materials. Individual practice complements organizational action; it does not shift responsibility for working conditions onto employees.</w:t>
      </w:r>
    </w:p>
    <w:p>
      <w:pPr>
        <w:pStyle w:val="BodyText"/>
      </w:pPr>
      <w:r>
        <w:rPr>
          <w:bCs/>
          <w:b/>
        </w:rPr>
        <w:t xml:space="preserve">8. Why begin with a workshop?</w:t>
      </w:r>
      <w:r>
        <w:t xml:space="preserve"> </w:t>
      </w:r>
      <w:r>
        <w:t xml:space="preserve">The workshop is a credible first experience and a bounded evaluation point. It lets the organization and employees assess fit before any larger commitment.</w:t>
      </w:r>
    </w:p>
    <w:p>
      <w:pPr>
        <w:pStyle w:val="BodyText"/>
      </w:pPr>
      <w:r>
        <w:rPr>
          <w:bCs/>
          <w:b/>
        </w:rPr>
        <w:t xml:space="preserve">9. Why consider the six-week program after the workshop?</w:t>
      </w:r>
      <w:r>
        <w:t xml:space="preserve"> </w:t>
      </w:r>
      <w:r>
        <w:t xml:space="preserve">Repetition gives participants more opportunity to become familiar with the practice and assess whether it is useful in their own workday. Six weeks provides that opportunity; a single session cannot.</w:t>
      </w:r>
    </w:p>
    <w:p>
      <w:pPr>
        <w:pStyle w:val="BodyText"/>
      </w:pPr>
      <w:r>
        <w:rPr>
          <w:bCs/>
          <w:b/>
        </w:rPr>
        <w:t xml:space="preserve">10. What happens during the workshop?</w:t>
      </w:r>
      <w:r>
        <w:t xml:space="preserve"> </w:t>
      </w:r>
      <w:r>
        <w:t xml:space="preserve">A single arc: what the session is and is not; a non-clinical look at internal crowding; why calm isn’t the goal; one guided practice; quiet private reflection; a brief workplace return to take away; and how to use it. Practice content requires Intronaut protocol-authority review.</w:t>
      </w:r>
    </w:p>
    <w:p>
      <w:pPr>
        <w:pStyle w:val="BodyText"/>
      </w:pPr>
      <w:r>
        <w:rPr>
          <w:bCs/>
          <w:b/>
        </w:rPr>
        <w:t xml:space="preserve">11. Are employees expected to share personal information?</w:t>
      </w:r>
      <w:r>
        <w:t xml:space="preserve"> </w:t>
      </w:r>
      <w:r>
        <w:t xml:space="preserve">No. There is no sharing circle, paired exercise, or public reporting. Private reflection stays private.</w:t>
      </w:r>
    </w:p>
    <w:p>
      <w:pPr>
        <w:pStyle w:val="BodyText"/>
      </w:pPr>
      <w:r>
        <w:rPr>
          <w:bCs/>
          <w:b/>
        </w:rPr>
        <w:t xml:space="preserve">12. What happens if someone becomes uncomfortable?</w:t>
      </w:r>
      <w:r>
        <w:t xml:space="preserve"> </w:t>
      </w:r>
      <w:r>
        <w:t xml:space="preserve">Every element is optional, with eyes-open and external-focus alternatives, and participants can step back at any time without explanation. Facilitators follow a participant-discomfort response and referral procedure — pausing, reorienting, and pointing to support resources as appropriate.</w:t>
      </w:r>
    </w:p>
    <w:p>
      <w:pPr>
        <w:pStyle w:val="BodyText"/>
      </w:pPr>
      <w:r>
        <w:rPr>
          <w:bCs/>
          <w:b/>
        </w:rPr>
        <w:t xml:space="preserve">13. Is participation voluntary?</w:t>
      </w:r>
      <w:r>
        <w:t xml:space="preserve"> </w:t>
      </w:r>
      <w:r>
        <w:t xml:space="preserve">Yes — voluntary under the organization’s program terms. The organization confirms its own employment-related voluntariness language in its employee communication.</w:t>
      </w:r>
    </w:p>
    <w:p>
      <w:pPr>
        <w:pStyle w:val="BodyText"/>
      </w:pPr>
      <w:r>
        <w:rPr>
          <w:bCs/>
          <w:b/>
        </w:rPr>
        <w:t xml:space="preserve">14. How is employee privacy protected?</w:t>
      </w:r>
      <w:r>
        <w:t xml:space="preserve"> </w:t>
      </w:r>
      <w:r>
        <w:t xml:space="preserve">For the pilot, the organization administers the evaluation through its own platform and shares only de-identified, whole-cohort results with enStill. Attendance and evaluation data are kept separate, and no individual data reaches enStill, managers, or employment decisions.</w:t>
      </w:r>
    </w:p>
    <w:p>
      <w:pPr>
        <w:pStyle w:val="BodyText"/>
      </w:pPr>
      <w:r>
        <w:rPr>
          <w:bCs/>
          <w:b/>
        </w:rPr>
        <w:t xml:space="preserve">15. What information does the organization receive?</w:t>
      </w:r>
      <w:r>
        <w:t xml:space="preserve"> </w:t>
      </w:r>
      <w:r>
        <w:t xml:space="preserve">Whole-cohort, de-identified results only — acceptability, clarity, comfort, relevance, and interest in continuation. No individual responses.</w:t>
      </w:r>
    </w:p>
    <w:p>
      <w:pPr>
        <w:pStyle w:val="BodyText"/>
      </w:pPr>
      <w:r>
        <w:rPr>
          <w:bCs/>
          <w:b/>
        </w:rPr>
        <w:t xml:space="preserve">16. Are surveys anonymous?</w:t>
      </w:r>
      <w:r>
        <w:t xml:space="preserve"> </w:t>
      </w:r>
      <w:r>
        <w:t xml:space="preserve">Anonymous where the organization’s selected process genuinely supports it. Where a follow-up or small cohort makes true anonymity infeasible, responses are collected confidentially and reported only in de-identified aggregate form. We do not promise anonymity a process cannot support.</w:t>
      </w:r>
    </w:p>
    <w:p>
      <w:pPr>
        <w:pStyle w:val="BodyText"/>
      </w:pPr>
      <w:r>
        <w:rPr>
          <w:bCs/>
          <w:b/>
        </w:rPr>
        <w:t xml:space="preserve">17. How is this different from a mindfulness app?</w:t>
      </w:r>
      <w:r>
        <w:t xml:space="preserve"> </w:t>
      </w:r>
      <w:r>
        <w:t xml:space="preserve">It is delivered live within a defined organizational context, by a facilitator who can clarify choices, adjust pacing within approved boundaries, and respond to the room. It also places the practice within a defined organizational scope rather than leaving employees to interpret a self-guided tool on their own.</w:t>
      </w:r>
    </w:p>
    <w:p>
      <w:pPr>
        <w:pStyle w:val="BodyText"/>
      </w:pPr>
      <w:r>
        <w:rPr>
          <w:bCs/>
          <w:b/>
        </w:rPr>
        <w:t xml:space="preserve">18. What evidence supports the program?</w:t>
      </w:r>
      <w:r>
        <w:t xml:space="preserve"> </w:t>
      </w:r>
      <w:r>
        <w:t xml:space="preserve">It is evidence-aligned: its design is informed by adjacent research and recognized delivery guidance, not by direct validation of this specific program. An evidence brief is available.</w:t>
      </w:r>
    </w:p>
    <w:p>
      <w:pPr>
        <w:pStyle w:val="BodyText"/>
      </w:pPr>
      <w:r>
        <w:rPr>
          <w:bCs/>
          <w:b/>
        </w:rPr>
        <w:t xml:space="preserve">19. Has</w:t>
      </w:r>
      <w:r>
        <w:rPr>
          <w:bCs/>
          <w:b/>
        </w:rPr>
        <w:t xml:space="preserve"> </w:t>
      </w:r>
      <w:r>
        <w:rPr>
          <w:iCs/>
          <w:i/>
          <w:bCs/>
          <w:b/>
        </w:rPr>
        <w:t xml:space="preserve">Steadiness at Work</w:t>
      </w:r>
      <w:r>
        <w:rPr>
          <w:bCs/>
          <w:b/>
        </w:rPr>
        <w:t xml:space="preserve"> </w:t>
      </w:r>
      <w:r>
        <w:rPr>
          <w:bCs/>
          <w:b/>
        </w:rPr>
        <w:t xml:space="preserve">been independently validated?</w:t>
      </w:r>
      <w:r>
        <w:t xml:space="preserve"> </w:t>
      </w:r>
      <w:r>
        <w:t xml:space="preserve">No. The specific program has not been independently validated, and we do not claim it has.</w:t>
      </w:r>
    </w:p>
    <w:p>
      <w:pPr>
        <w:pStyle w:val="BodyText"/>
      </w:pPr>
      <w:r>
        <w:rPr>
          <w:bCs/>
          <w:b/>
        </w:rPr>
        <w:t xml:space="preserve">20. What does enStill not claim?</w:t>
      </w:r>
      <w:r>
        <w:t xml:space="preserve"> </w:t>
      </w:r>
      <w:r>
        <w:t xml:space="preserve">That the program reduces stress, prevents burnout, improves productivity or performance, builds resilience, regulates the nervous system, improves retention or absenteeism, lowers health-care costs, treats any condition, or benefits every employee.</w:t>
      </w:r>
    </w:p>
    <w:p>
      <w:pPr>
        <w:pStyle w:val="BodyText"/>
      </w:pPr>
      <w:r>
        <w:rPr>
          <w:bCs/>
          <w:b/>
        </w:rPr>
        <w:t xml:space="preserve">21. What facilitator qualifications are required?</w:t>
      </w:r>
      <w:r>
        <w:t xml:space="preserve"> </w:t>
      </w:r>
      <w:r>
        <w:t xml:space="preserve">Facilitators are approved by enStill for Corporate Workforce delivery and trained in the applicable practice content, in predictable, choice-based, low-disclosure delivery, and in clear referral boundaries. These delivery features are consistent with trauma-informed guidance.</w:t>
      </w:r>
    </w:p>
    <w:p>
      <w:pPr>
        <w:pStyle w:val="BodyText"/>
      </w:pPr>
      <w:r>
        <w:rPr>
          <w:bCs/>
          <w:b/>
        </w:rPr>
        <w:t xml:space="preserve">22. Can the workshop be recorded?</w:t>
      </w:r>
      <w:r>
        <w:t xml:space="preserve"> </w:t>
      </w:r>
      <w:r>
        <w:t xml:space="preserve">By default, no. Guided-practice content is not recorded or redistributed without written permission, and automated transcription or AI note-taking is disabled during guided-practice portions unless expressly approved.</w:t>
      </w:r>
    </w:p>
    <w:p>
      <w:pPr>
        <w:pStyle w:val="BodyText"/>
      </w:pPr>
      <w:r>
        <w:rPr>
          <w:bCs/>
          <w:b/>
        </w:rPr>
        <w:t xml:space="preserve">23. Can it be delivered virtually?</w:t>
      </w:r>
      <w:r>
        <w:t xml:space="preserve"> </w:t>
      </w:r>
      <w:r>
        <w:t xml:space="preserve">Yes. Virtual and in-person are the standard delivery formats.</w:t>
      </w:r>
    </w:p>
    <w:p>
      <w:pPr>
        <w:pStyle w:val="BodyText"/>
      </w:pPr>
      <w:r>
        <w:rPr>
          <w:bCs/>
          <w:b/>
        </w:rPr>
        <w:t xml:space="preserve">24. Can it be delivered in hybrid format?</w:t>
      </w:r>
      <w:r>
        <w:t xml:space="preserve"> </w:t>
      </w:r>
      <w:r>
        <w:t xml:space="preserve">Only where room, technology, staffing, and accessibility can adequately support both audiences, following a separate review. Hybrid is not offered as an equivalent default.</w:t>
      </w:r>
    </w:p>
    <w:p>
      <w:pPr>
        <w:pStyle w:val="BodyText"/>
      </w:pPr>
      <w:r>
        <w:rPr>
          <w:bCs/>
          <w:b/>
        </w:rPr>
        <w:t xml:space="preserve">25. What cohort size is recommended?</w:t>
      </w:r>
      <w:r>
        <w:t xml:space="preserve"> </w:t>
      </w:r>
      <w:r>
        <w:t xml:space="preserve">For the pilot workshop, 30–60 participants. For the six-week program, a provisional 15–30, subject to protocol-authority and facilitator-capacity review.</w:t>
      </w:r>
    </w:p>
    <w:p>
      <w:pPr>
        <w:pStyle w:val="BodyText"/>
      </w:pPr>
      <w:r>
        <w:rPr>
          <w:bCs/>
          <w:b/>
        </w:rPr>
        <w:t xml:space="preserve">26. Does the program work for global or multilingual teams?</w:t>
      </w:r>
      <w:r>
        <w:t xml:space="preserve"> </w:t>
      </w:r>
      <w:r>
        <w:t xml:space="preserve">Regional or multilingual delivery may be scoped as a client-specific adaptation, subject to facilitator capacity, translation, localization, accessibility, and local-resource review.</w:t>
      </w:r>
    </w:p>
    <w:p>
      <w:pPr>
        <w:pStyle w:val="BodyText"/>
      </w:pPr>
      <w:r>
        <w:rPr>
          <w:bCs/>
          <w:b/>
        </w:rPr>
        <w:t xml:space="preserve">27. How does accessibility work?</w:t>
      </w:r>
      <w:r>
        <w:t xml:space="preserve"> </w:t>
      </w:r>
      <w:r>
        <w:t xml:space="preserve">Digital materials are designed toward WCAG 2.1 AA, subject to client standards and applicable requirements. Live delivery also includes captions where available, multiple participation options, and an accommodations process.</w:t>
      </w:r>
    </w:p>
    <w:p>
      <w:pPr>
        <w:pStyle w:val="BodyText"/>
      </w:pPr>
      <w:r>
        <w:rPr>
          <w:bCs/>
          <w:b/>
        </w:rPr>
        <w:t xml:space="preserve">28. What is the relationship between the workshop and the six-week program?</w:t>
      </w:r>
      <w:r>
        <w:t xml:space="preserve"> </w:t>
      </w:r>
      <w:r>
        <w:t xml:space="preserve">The workshop introduces and evaluates; the six-week program develops the practice through repeated opportunities to become familiar with it. The program is a separate decision made on the strength of the pilot.</w:t>
      </w:r>
    </w:p>
    <w:p>
      <w:pPr>
        <w:pStyle w:val="BodyText"/>
      </w:pPr>
      <w:r>
        <w:rPr>
          <w:bCs/>
          <w:b/>
        </w:rPr>
        <w:t xml:space="preserve">29. Will employees be marketed private services?</w:t>
      </w:r>
      <w:r>
        <w:t xml:space="preserve"> </w:t>
      </w:r>
      <w:r>
        <w:t xml:space="preserve">No. No private services are promoted during the workshop, and no individual data is used to generate leads. Any continuation is voluntary, with employer-funded options presented before any public path.</w:t>
      </w:r>
    </w:p>
    <w:p>
      <w:pPr>
        <w:pStyle w:val="BodyText"/>
      </w:pPr>
      <w:r>
        <w:rPr>
          <w:bCs/>
          <w:b/>
        </w:rPr>
        <w:t xml:space="preserve">30. What happens after the pilot?</w:t>
      </w:r>
      <w:r>
        <w:t xml:space="preserve"> </w:t>
      </w:r>
      <w:r>
        <w:t xml:space="preserve">The organization chooses one of three outcomes: proceed to the six-week program, refine and retest, or conclude. Nothing in the pilot presumes continuation.</w:t>
      </w:r>
    </w:p>
    <w:p>
      <w:pPr>
        <w:pStyle w:val="BodyText"/>
      </w:pPr>
      <w:r>
        <w:rPr>
          <w:bCs/>
          <w:b/>
        </w:rPr>
        <w:t xml:space="preserve">31. What procurement documents can enStill provide?</w:t>
      </w:r>
      <w:r>
        <w:t xml:space="preserve"> </w:t>
      </w:r>
      <w:r>
        <w:t xml:space="preserve">enStill can currently provide the program scope and boundaries, the privacy and evaluation summary, the accessibility approach, the participant-choice standards, the recording policy, and the evidence position. Facilitator qualification and participant-response documentation is supplied as implementation readiness is completed. Certificates of insurance and limits, security questionnaires, data-processing terms, background checks, jurisdiction-specific documentation, and localization are handled according to the engagement and buyer requirements.</w:t>
      </w:r>
    </w:p>
    <w:p>
      <w:pPr>
        <w:pStyle w:val="BodyText"/>
      </w:pPr>
      <w:r>
        <w:rPr>
          <w:bCs/>
          <w:b/>
        </w:rPr>
        <w:t xml:space="preserve">32. What client responsibilities should we expect?</w:t>
      </w:r>
      <w:r>
        <w:t xml:space="preserve"> </w:t>
      </w:r>
      <w:r>
        <w:t xml:space="preserve">A voluntary-participation communication in your own voice, scheduling and space, administration of the evaluation through your approved platform, accessibility information, support-resource details, participant communications, a buyer contact, and any client-specific security or legal requirements.</w:t>
      </w:r>
    </w:p>
    <w:p>
      <w:pPr>
        <w:pStyle w:val="BodyText"/>
      </w:pPr>
      <w:r>
        <w:rPr>
          <w:bCs/>
          <w:b/>
        </w:rPr>
        <w:t xml:space="preserve">33. How is pricing determined?</w:t>
      </w:r>
      <w:r>
        <w:t xml:space="preserve"> </w:t>
      </w:r>
      <w:r>
        <w:t xml:space="preserve">Pricing reflects the delivery scope — format, facilitator requirements, number of cohorts, region and time zone, customization, and client-specific procurement requirements. Client-specific items are quoted separately from the base package.</w:t>
      </w:r>
    </w:p>
    <w:p>
      <w:pPr>
        <w:pStyle w:val="BodyText"/>
      </w:pPr>
      <w:r>
        <w:rPr>
          <w:bCs/>
          <w:b/>
        </w:rPr>
        <w:t xml:space="preserve">34. Can the program be customized?</w:t>
      </w:r>
      <w:r>
        <w:t xml:space="preserve"> </w:t>
      </w:r>
      <w:r>
        <w:t xml:space="preserve">Yes, within the boundaries of the frozen offer and claims — for example, scheduling, communications, regional delivery, and translation. Practice content and any facilitator pathway require Intronaut protocol-authority review.</w:t>
      </w:r>
    </w:p>
    <w:p>
      <w:pPr>
        <w:pStyle w:val="BodyText"/>
      </w:pPr>
      <w:r>
        <w:rPr>
          <w:bCs/>
          <w:b/>
        </w:rPr>
        <w:t xml:space="preserve">35. Is there a separate leadership track?</w:t>
      </w:r>
      <w:r>
        <w:t xml:space="preserve"> </w:t>
      </w:r>
      <w:r>
        <w:t xml:space="preserve">A leadership adaptation can be scoped separately. It is a distinct offer and is not the workforce workshop delivered to a room of senior titles.</w:t>
      </w:r>
    </w:p>
    <w:p>
      <w:r>
        <w:pict>
          <v:rect style="width:0;height:1.5pt" o:hralign="center" o:hrstd="t" o:hr="t"/>
        </w:pict>
      </w:r>
    </w:p>
    <w:p>
      <w:pPr>
        <w:pStyle w:val="FirstParagraph"/>
      </w:pPr>
      <w:r>
        <w:rPr>
          <w:iCs/>
          <w:i/>
        </w:rPr>
        <w:t xml:space="preserve">The program is evidence-aligned: its design is informed by adjacent research and recognized delivery guidance, not by direct validation of this specific program. This FAQ is for evaluation; privacy, accessibility, and legal questions should be reviewed by the relevant advisors based on program structure and jurisdiction.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40"/>
    </w:pPr>
    <w:name w:val="Normal"/>
    <w:qFormat/>
    <w:rPr>
      <w:sz w:val="21"/>
      <w:color w:val="252523"/>
      <w:rFonts w:ascii="Calibri" w:cs="Calibri" w:hAnsi="Calibri"/>
    </w:rPr>
  </w:style>
  <w:style w:styleId="BodyText" w:type="paragraph">
    <w:name w:val="Body Text"/>
    <w:basedOn w:val="Normal"/>
    <w:link w:val="BodyTextChar"/>
    <w:pPr>
      <w:spacing w:after="180" w:before="180"/>
    </w:pPr>
    <w:rPr>
      <w:sz w:val="21"/>
      <w:color w:val="252523"/>
      <w:rFonts w:ascii="Calibri" w:cs="Calibri" w:hAnsi="Calibri"/>
    </w:rPr>
    <w:qFormat/>
  </w:style>
  <w:style w:customStyle="1" w:styleId="FirstParagraph" w:type="paragraph">
    <w:name w:val="First Paragraph"/>
    <w:basedOn w:val="BodyText"/>
    <w:next w:val="BodyText"/>
    <w:qFormat/>
    <w:rPr>
      <w:sz w:val="21"/>
      <w:color w:val="252523"/>
      <w:rFonts w:ascii="Calibri" w:cs="Calibri" w:hAnsi="Calibri"/>
    </w:rPr>
  </w:style>
  <w:style w:customStyle="1" w:styleId="Compact" w:type="paragraph">
    <w:name w:val="Compact"/>
    <w:basedOn w:val="BodyText"/>
    <w:qFormat/>
    <w:pPr>
      <w:spacing w:after="36" w:before="36"/>
    </w:pPr>
    <w:rPr>
      <w:sz w:val="21"/>
      <w:color w:val="252523"/>
      <w:rFonts w:ascii="Calibri" w:cs="Calibri" w:hAnsi="Calibri"/>
    </w:rPr>
  </w:style>
  <w:style w:styleId="Title" w:type="paragraph">
    <w:name w:val="Title"/>
    <w:next w:val="BodyText"/>
    <w:qFormat/>
    <w:pPr>
      <w:spacing w:after="60"/>
      <w:keepNext/>
      <w:keepLines/>
      <w:jc w:val="center"/>
    </w:pPr>
    <w:rPr>
      <w:b w:val="1"/>
      <w:sz w:val="48"/>
      <w:color w:val="252523"/>
      <w:rFonts w:ascii="Cambria" w:cs="Cambria" w:hAnsi="Cambria"/>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next w:val="BodyText"/>
    <w:uiPriority w:val="9"/>
    <w:qFormat/>
    <w:pPr>
      <w:spacing w:after="120" w:before="320"/>
      <w:keepNext/>
      <w:keepLines/>
      <w:outlineLvl w:val="0"/>
    </w:pPr>
    <w:rPr>
      <w:b w:val="1"/>
      <w:sz w:val="30"/>
      <w:color w:val="BC9656"/>
      <w:rFonts w:ascii="Cambria" w:cs="Cambria" w:hAnsi="Cambria"/>
    </w:rPr>
  </w:style>
  <w:style w:styleId="Heading2" w:type="paragraph">
    <w:name w:val="Heading 2"/>
    <w:next w:val="BodyText"/>
    <w:uiPriority w:val="9"/>
    <w:unhideWhenUsed/>
    <w:qFormat/>
    <w:pPr>
      <w:spacing w:after="100" w:before="240"/>
      <w:keepNext/>
      <w:keepLines/>
      <w:outlineLvl w:val="1"/>
    </w:pPr>
    <w:rPr>
      <w:b w:val="1"/>
      <w:sz w:val="24"/>
      <w:color w:val="252523"/>
      <w:rFonts w:ascii="Cambria" w:cs="Cambria" w:hAnsi="Cambria"/>
    </w:rPr>
  </w:style>
  <w:style w:styleId="Heading3" w:type="paragraph">
    <w:name w:val="Heading 3"/>
    <w:next w:val="BodyText"/>
    <w:uiPriority w:val="9"/>
    <w:unhideWhenUsed/>
    <w:qFormat/>
    <w:pPr>
      <w:spacing w:after="80" w:before="180"/>
      <w:keepNext/>
      <w:keepLines/>
      <w:outlineLvl w:val="2"/>
    </w:pPr>
    <w:rPr>
      <w:b w:val="1"/>
      <w:sz w:val="20"/>
      <w:color w:val="9C7C3E"/>
      <w:rFonts w:ascii="Cambria" w:cs="Cambria" w:hAnsi="Cambria"/>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2026-07-12T21:23:57Z</dcterms:created>
  <dcterms:modified xsi:type="dcterms:W3CDTF">2026-07-12T21:23:57Z</dcterms:modified>
</cp:coreProperties>
</file>

<file path=docProps/custom.xml><?xml version="1.0" encoding="utf-8"?>
<Properties xmlns="http://schemas.openxmlformats.org/officeDocument/2006/custom-properties" xmlns:vt="http://schemas.openxmlformats.org/officeDocument/2006/docPropsVTypes"/>
</file>