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4476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 cy="438150"/>
                    </a:xfrm>
                    <a:prstGeom prst="rect">
                      <a:avLst/>
                    </a:prstGeom>
                  </pic:spPr>
                </pic:pic>
              </a:graphicData>
            </a:graphic>
          </wp:inline>
        </w:drawing>
      </w:r>
      <w:r>
        <w:rPr>
          <w:rFonts w:ascii="Lora" w:cs="Lora" w:eastAsia="Lora" w:hAnsi="Lora"/>
          <w:color w:val="252523"/>
          <w:sz w:val="30"/>
          <w:szCs w:val="30"/>
        </w:rPr>
        <w:t xml:space="preserve">   enStill</w:t>
      </w:r>
      <w:r>
        <w:rPr>
          <w:rFonts w:ascii="Calibri" w:cs="Calibri" w:eastAsia="Calibri" w:hAnsi="Calibri"/>
          <w:color w:val="6E6A63"/>
          <w:sz w:val="18"/>
          <w:szCs w:val="18"/>
        </w:rPr>
        <w:t xml:space="preserve">  ·  Corporate Workforce</w:t>
      </w:r>
    </w:p>
    <w:p>
      <w:pPr>
        <w:spacing w:after="20" w:before="120"/>
      </w:pPr>
      <w:r>
        <w:rPr>
          <w:rFonts w:ascii="Lora" w:cs="Lora" w:eastAsia="Lora" w:hAnsi="Lora"/>
          <w:b/>
          <w:bCs/>
          <w:color w:val="252523"/>
          <w:sz w:val="42"/>
          <w:szCs w:val="42"/>
        </w:rPr>
        <w:t xml:space="preserve">Steadiness at Work</w:t>
      </w:r>
    </w:p>
    <w:p>
      <w:pPr>
        <w:spacing w:after="40"/>
      </w:pPr>
      <w:r>
        <w:rPr>
          <w:rFonts w:ascii="Lora" w:cs="Lora" w:eastAsia="Lora" w:hAnsi="Lora"/>
          <w:i/>
          <w:iCs/>
          <w:color w:val="BC9656"/>
          <w:sz w:val="24"/>
          <w:szCs w:val="24"/>
        </w:rPr>
        <w:t xml:space="preserve">A structured workplace awareness practice for the modern workforce</w:t>
      </w:r>
    </w:p>
    <w:p>
      <w:pPr>
        <w:pBdr>
          <w:bottom w:val="single" w:color="BC9656" w:sz="8" w:space="8"/>
        </w:pBdr>
        <w:spacing w:after="220"/>
      </w:pPr>
      <w:r>
        <w:rPr>
          <w:rFonts w:ascii="Calibri" w:cs="Calibri" w:eastAsia="Calibri" w:hAnsi="Calibri"/>
          <w:color w:val="6E6A63"/>
          <w:sz w:val="17"/>
          <w:szCs w:val="17"/>
        </w:rPr>
        <w:t xml:space="preserve">Introductory workshop: Steadiness Under Sustained Load</w:t>
      </w:r>
    </w:p>
    <w:p>
      <w:pPr>
        <w:spacing w:after="130" w:line="268"/>
      </w:pPr>
      <w:r>
        <w:rPr>
          <w:rFonts w:ascii="Lora" w:cs="Lora" w:eastAsia="Lora" w:hAnsi="Lora"/>
          <w:b/>
          <w:bCs/>
          <w:color w:val="BC9656"/>
          <w:sz w:val="22"/>
          <w:szCs w:val="22"/>
        </w:rPr>
        <w:t xml:space="preserve">Why organizations deploy this.  </w:t>
      </w:r>
      <w:r>
        <w:rPr>
          <w:rFonts w:ascii="Calibri" w:cs="Calibri" w:eastAsia="Calibri" w:hAnsi="Calibri"/>
          <w:color w:val="252523"/>
          <w:sz w:val="21"/>
          <w:szCs w:val="21"/>
        </w:rPr>
        <w:t xml:space="preserve">Modern work moves from one demand to the next with little room in between. Organizations invest heavily in systems for managing work, but little in helping employees manage their own moment-to-moment engagement with it. Steadiness at Work gives employees a structured way to pause, notice, and return during ordinary work transitions. It is not designed to treat stress or improve productivity — it is a practical practice employees can use if they find it useful.</w:t>
      </w:r>
    </w:p>
    <w:p>
      <w:pPr>
        <w:spacing w:after="130" w:line="268"/>
      </w:pPr>
      <w:r>
        <w:rPr>
          <w:rFonts w:ascii="Lora" w:cs="Lora" w:eastAsia="Lora" w:hAnsi="Lora"/>
          <w:b/>
          <w:bCs/>
          <w:color w:val="BC9656"/>
          <w:sz w:val="22"/>
          <w:szCs w:val="22"/>
        </w:rPr>
        <w:t xml:space="preserve">What it is.  </w:t>
      </w:r>
      <w:r>
        <w:rPr>
          <w:rFonts w:ascii="Calibri" w:cs="Calibri" w:eastAsia="Calibri" w:hAnsi="Calibri"/>
          <w:color w:val="252523"/>
          <w:sz w:val="21"/>
          <w:szCs w:val="21"/>
        </w:rPr>
        <w:t xml:space="preserve">A professionally facilitated, non-clinical practice that helps employees meet the demands of the workday with greater steadiness through increased awareness of their internal experience. This structured workplace awareness practice begins with simple, optional contact with present physical and environmental cues, and gives participants a brief, repeatable way to pause, notice, and return with a little more room before the next action.</w:t>
      </w:r>
    </w:p>
    <w:p>
      <w:pPr>
        <w:spacing w:after="70"/>
      </w:pPr>
      <w:r>
        <w:rPr>
          <w:rFonts w:ascii="Lora" w:cs="Lora" w:eastAsia="Lora" w:hAnsi="Lora"/>
          <w:b/>
          <w:bCs/>
          <w:color w:val="BC9656"/>
          <w:sz w:val="22"/>
          <w:szCs w:val="22"/>
        </w:rPr>
        <w:t xml:space="preserve">What participants get.</w:t>
      </w:r>
    </w:p>
    <w:p>
      <w:pPr>
        <w:pStyle w:val="ListParagraph"/>
        <w:numPr>
          <w:ilvl w:val="0"/>
          <w:numId w:val="1"/>
        </w:numPr>
        <w:spacing w:after="100" w:line="264"/>
      </w:pPr>
      <w:r>
        <w:rPr>
          <w:rFonts w:ascii="Calibri" w:cs="Calibri" w:eastAsia="Calibri" w:hAnsi="Calibri"/>
          <w:b/>
          <w:bCs/>
          <w:color w:val="252523"/>
          <w:sz w:val="21"/>
          <w:szCs w:val="21"/>
        </w:rPr>
        <w:t xml:space="preserve">The workshop (60–75 min): </w:t>
      </w:r>
      <w:r>
        <w:rPr>
          <w:rFonts w:ascii="Calibri" w:cs="Calibri" w:eastAsia="Calibri" w:hAnsi="Calibri"/>
          <w:color w:val="252523"/>
          <w:sz w:val="21"/>
          <w:szCs w:val="21"/>
        </w:rPr>
        <w:t xml:space="preserve">one guided experience and one brief workplace return to use at common transitions — between meetings, before a high-stakes message, when shifting tasks.</w:t>
      </w:r>
    </w:p>
    <w:p>
      <w:pPr>
        <w:pStyle w:val="ListParagraph"/>
        <w:numPr>
          <w:ilvl w:val="0"/>
          <w:numId w:val="1"/>
        </w:numPr>
        <w:spacing w:after="100" w:line="264"/>
      </w:pPr>
      <w:r>
        <w:rPr>
          <w:rFonts w:ascii="Calibri" w:cs="Calibri" w:eastAsia="Calibri" w:hAnsi="Calibri"/>
          <w:b/>
          <w:bCs/>
          <w:color w:val="252523"/>
          <w:sz w:val="21"/>
          <w:szCs w:val="21"/>
        </w:rPr>
        <w:t xml:space="preserve">The six-week program: </w:t>
      </w:r>
      <w:r>
        <w:rPr>
          <w:rFonts w:ascii="Calibri" w:cs="Calibri" w:eastAsia="Calibri" w:hAnsi="Calibri"/>
          <w:color w:val="252523"/>
          <w:sz w:val="21"/>
          <w:szCs w:val="21"/>
        </w:rPr>
        <w:t xml:space="preserve">the same practice developed across six sessions — from noticing internal crowding, to planned transitions and unplanned disruption, to making the practice available as a self-directed daily habit.</w:t>
      </w:r>
    </w:p>
    <w:p>
      <w:pPr>
        <w:spacing w:after="130" w:line="268"/>
      </w:pPr>
      <w:r>
        <w:rPr>
          <w:rFonts w:ascii="Lora" w:cs="Lora" w:eastAsia="Lora" w:hAnsi="Lora"/>
          <w:b/>
          <w:bCs/>
          <w:color w:val="BC9656"/>
          <w:sz w:val="22"/>
          <w:szCs w:val="22"/>
        </w:rPr>
        <w:t xml:space="preserve">What this is not.  </w:t>
      </w:r>
      <w:r>
        <w:rPr>
          <w:rFonts w:ascii="Calibri" w:cs="Calibri" w:eastAsia="Calibri" w:hAnsi="Calibri"/>
          <w:color w:val="252523"/>
          <w:sz w:val="21"/>
          <w:szCs w:val="21"/>
        </w:rPr>
        <w:t xml:space="preserve">Not meditation training, resilience training, mental-health treatment, executive coaching, team building, or a mindfulness-app deployment — and not a promise to reduce stress, prevent burnout, or improve performance. It is a structured workplace awareness practice with a defined scope, delivered live by a trained facilitator.</w:t>
      </w:r>
    </w:p>
    <w:p>
      <w:pPr>
        <w:spacing w:after="130" w:line="268"/>
      </w:pPr>
      <w:r>
        <w:rPr>
          <w:rFonts w:ascii="Lora" w:cs="Lora" w:eastAsia="Lora" w:hAnsi="Lora"/>
          <w:b/>
          <w:bCs/>
          <w:color w:val="BC9656"/>
          <w:sz w:val="22"/>
          <w:szCs w:val="22"/>
        </w:rPr>
        <w:t xml:space="preserve">How it is delivered.  </w:t>
      </w:r>
      <w:r>
        <w:rPr>
          <w:rFonts w:ascii="Calibri" w:cs="Calibri" w:eastAsia="Calibri" w:hAnsi="Calibri"/>
          <w:color w:val="252523"/>
          <w:sz w:val="21"/>
          <w:szCs w:val="21"/>
        </w:rPr>
        <w:t xml:space="preserve">Voluntary and low-disclosure throughout: no required sharing, eyes may stay open, and any part can be declined. Standard delivery is virtual or in-person. Participation is voluntary under the organization's program terms, and it complements — rather than replaces — organizational action on working conditions.</w:t>
      </w:r>
    </w:p>
    <w:p>
      <w:pPr>
        <w:spacing w:after="130" w:line="268"/>
      </w:pPr>
      <w:r>
        <w:rPr>
          <w:rFonts w:ascii="Lora" w:cs="Lora" w:eastAsia="Lora" w:hAnsi="Lora"/>
          <w:b/>
          <w:bCs/>
          <w:color w:val="BC9656"/>
          <w:sz w:val="22"/>
          <w:szCs w:val="22"/>
        </w:rPr>
        <w:t xml:space="preserve">Evidence and boundaries.  </w:t>
      </w:r>
      <w:r>
        <w:rPr>
          <w:rFonts w:ascii="Calibri" w:cs="Calibri" w:eastAsia="Calibri" w:hAnsi="Calibri"/>
          <w:color w:val="252523"/>
          <w:sz w:val="21"/>
          <w:szCs w:val="21"/>
        </w:rPr>
        <w:t xml:space="preserve">Evidence-aligned: its design is informed by adjacent research and recognized delivery guidance, not by direct validation of this specific program.</w:t>
      </w:r>
    </w:p>
    <w:p>
      <w:pPr>
        <w:spacing w:after="130" w:line="268"/>
      </w:pPr>
      <w:r>
        <w:rPr>
          <w:rFonts w:ascii="Lora" w:cs="Lora" w:eastAsia="Lora" w:hAnsi="Lora"/>
          <w:b/>
          <w:bCs/>
          <w:color w:val="BC9656"/>
          <w:sz w:val="22"/>
          <w:szCs w:val="22"/>
        </w:rPr>
        <w:t xml:space="preserve">A disciplined way to decide.  </w:t>
      </w:r>
      <w:r>
        <w:rPr>
          <w:rFonts w:ascii="Calibri" w:cs="Calibri" w:eastAsia="Calibri" w:hAnsi="Calibri"/>
          <w:color w:val="252523"/>
          <w:sz w:val="21"/>
          <w:szCs w:val="21"/>
        </w:rPr>
        <w:t xml:space="preserve">The pilot is a low-risk way to determine whether a structured workplace awareness practice belongs in your organization: a short buyer-alignment conversation, one introductory workshop for 30–60 employees, an anonymous acceptability read, and an aggregate debrief. The workshop is an introduction and evaluation point, not a sales event; no individual participant data is reported to the organization.</w:t>
      </w:r>
    </w:p>
    <w:p>
      <w:pPr>
        <w:pBdr>
          <w:top w:val="single" w:color="BC9656" w:sz="8" w:space="8"/>
        </w:pBdr>
        <w:spacing w:before="200"/>
      </w:pPr>
      <w:r>
        <w:rPr>
          <w:rFonts w:ascii="Lora" w:cs="Lora" w:eastAsia="Lora" w:hAnsi="Lora"/>
          <w:color w:val="9C7C3E"/>
          <w:sz w:val="18"/>
          <w:szCs w:val="18"/>
        </w:rPr>
        <w:t xml:space="preserve">enStill   ·   enstill.life   ·   melo@enstill.life</w:t>
      </w:r>
    </w:p>
    <w:p>
      <w:r>
        <w:rPr>
          <w:rFonts w:ascii="Calibri" w:cs="Calibri" w:eastAsia="Calibri" w:hAnsi="Calibri"/>
          <w:i/>
          <w:iCs/>
          <w:color w:val="6E6A63"/>
          <w:sz w:val="15"/>
          <w:szCs w:val="15"/>
        </w:rPr>
        <w:t xml:space="preserve">For evaluation. Communications should be reviewed by legal, privacy, and accessibility advisors before external use.</w:t>
      </w:r>
    </w:p>
    <w:sectPr>
      <w:pgSz w:w="12240" w:h="15840" w:orient="portrait"/>
      <w:pgMar w:top="760" w:right="940" w:bottom="6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37ae498e3677ddbfcd607e3e8eeb1ac770f35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2026-07-12T15:38:24.653Z</dcterms:created>
  <dcterms:modified xsi:type="dcterms:W3CDTF">2026-07-12T15:38:24.653Z</dcterms:modified>
</cp:coreProperties>
</file>

<file path=docProps/custom.xml><?xml version="1.0" encoding="utf-8"?>
<Properties xmlns="http://schemas.openxmlformats.org/officeDocument/2006/custom-properties" xmlns:vt="http://schemas.openxmlformats.org/officeDocument/2006/docPropsVTypes"/>
</file>