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5CCF14">
      <w:pPr>
        <w:spacing w:line="360" w:lineRule="auto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Содержание</w:t>
      </w:r>
    </w:p>
    <w:p w14:paraId="45936FFA">
      <w:pPr>
        <w:spacing w:line="360" w:lineRule="auto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6644905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Введение .................................................................................................... 3</w:t>
      </w:r>
    </w:p>
    <w:p w14:paraId="3A652A9D">
      <w:pPr>
        <w:spacing w:line="360" w:lineRule="auto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 .................................................................................. 4</w:t>
      </w:r>
    </w:p>
    <w:p w14:paraId="0429E55B">
      <w:pPr>
        <w:numPr>
          <w:ilvl w:val="1"/>
          <w:numId w:val="1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Расчёт посадок гладких цилиндрических сопряжений ................. 4</w:t>
      </w:r>
    </w:p>
    <w:p w14:paraId="043898EB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посадок шпоночного соединения ......................... 6</w:t>
      </w:r>
    </w:p>
    <w:p w14:paraId="31009F92">
      <w:pPr>
        <w:numPr>
          <w:ilvl w:val="1"/>
          <w:numId w:val="1"/>
        </w:numPr>
        <w:spacing w:line="360" w:lineRule="auto"/>
        <w:ind w:left="0" w:leftChars="0" w:firstLine="0" w:firstLine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Выбор и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подшипников качения. Выбор допусков формы и расположения и параметров шероховатости поверхностей деталей, сопрягаемых с подшипниками ................................................................ 6</w:t>
      </w:r>
    </w:p>
    <w:p w14:paraId="63F80DDA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II.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>Нормирование точности сопряжений и деталей .................... 8</w:t>
      </w:r>
    </w:p>
    <w:p w14:paraId="7BA3EB44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Список литературы .................................................................................. 8</w:t>
      </w:r>
    </w:p>
    <w:p w14:paraId="3AC412C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Технические нормативные правовые акты ............................................ 6</w:t>
      </w:r>
    </w:p>
    <w:p w14:paraId="7FF685A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C4D7C2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08E0891D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2D7EA1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57E67B8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545CB8F5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60733C02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F1E1609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37EA112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4CC4368E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F51FAF1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710C6F0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1AAE9126">
      <w:pPr>
        <w:numPr>
          <w:ilvl w:val="0"/>
          <w:numId w:val="0"/>
        </w:numPr>
        <w:spacing w:line="360" w:lineRule="auto"/>
        <w:ind w:left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>Введение</w:t>
      </w:r>
    </w:p>
    <w:p w14:paraId="2857BF67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554B28C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На современном этапе развития машиностроения и приборостроения ключевым фактором конкурентоспособности является повышение надёжности и долговечности изделий. Решение этих задач неразрывно связано с вопросами обеспечения высокой точности изготовления деталей и их полной взаимозаменяемости. Взаимозаменяемость позволяет собирать сложные механизмы без дополнительной подгонки, что значительно упрощает производственные процессы, снижает себестоимость продукции и облегчает ремонт техники в процессе эксплуатации.</w:t>
      </w:r>
    </w:p>
    <w:p w14:paraId="61153C5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Основой для реализации принципов точности служит государственная система стандартизации. Нормирование точности регламентирует допустимые отклонения размеров, формы и расположения поверхностей, создавая единую техническую «базу» для конструкторов и технологов. Важнейшим инструментом контроля этих параметров выступают технические измерения. Без объективных методов оценки фактических размеров невозможно гарантировать качество выпускаемых изделий и их соответствие заданным эксплуатационным характеристикам.</w:t>
      </w:r>
    </w:p>
    <w:p w14:paraId="0E56878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В рамках данной курсовой работы рассматриваются прикладные аспекты применения единой системы допусков и посадок (ЕСДП), а также методы выбора средств измерений и расчёт параметров точности типовых соединений. Овладение этими навыками является фундаментом профессиональной подготовки инженера, обеспечивая возможность проектирования машин высокого технического уровня.</w:t>
      </w:r>
    </w:p>
    <w:p w14:paraId="7CC9AA6C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35689A99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6C7F1783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 w:firstLine="708" w:firstLineChars="0"/>
        <w:jc w:val="both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</w:p>
    <w:p w14:paraId="2397FED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right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Часть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 xml:space="preserve">I.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Установление и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расчёт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 точностных характеристик сопряжений и деталей, разработка методик контроля геометрических параметров деталей</w:t>
      </w:r>
    </w:p>
    <w:p w14:paraId="7550CC38">
      <w:pPr>
        <w:keepNext w:val="0"/>
        <w:keepLines w:val="0"/>
        <w:widowControl/>
        <w:numPr>
          <w:ilvl w:val="1"/>
          <w:numId w:val="2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  <w:t>Расчёт посадок гладких цилиндрических сопряжений</w:t>
      </w:r>
    </w:p>
    <w:p w14:paraId="2C419BCB">
      <w:pPr>
        <w:spacing w:line="360" w:lineRule="auto"/>
        <w:ind w:right="0" w:rightChars="0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Для двух заданных гладких цилиндрических соединений дать краткую характеристику посадок (вид, предпочтительность, принадлежность к системе, рекомендации по использованию). Построить схему распределения полей допусков, рассчитать предельные размеры сопрягаемых деталей, зазоры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(натяги) табличные и вероятные, а также допуски посадок. Для переходных посадок определить вероятности получения зазоров и натягов. Построить диаграмму распределения зазоров (натягов) партии соединения.</w:t>
      </w:r>
    </w:p>
    <w:p w14:paraId="60495A35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Исходные данные:</w:t>
      </w:r>
    </w:p>
    <w:p w14:paraId="4F9345F6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10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AC79DCF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 H8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/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n7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45D9C4A9">
      <w:p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6348CDC2">
      <w:pPr>
        <w:numPr>
          <w:ilvl w:val="1"/>
          <w:numId w:val="3"/>
        </w:numPr>
        <w:spacing w:line="360" w:lineRule="auto"/>
        <w:ind w:right="-284" w:firstLine="708" w:firstLine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Расчёт посадки с зазором</w:t>
      </w:r>
    </w:p>
    <w:p w14:paraId="4D9F272F">
      <w:pPr>
        <w:numPr>
          <w:ilvl w:val="0"/>
          <w:numId w:val="0"/>
        </w:numPr>
        <w:spacing w:line="360" w:lineRule="auto"/>
        <w:ind w:left="708" w:leftChars="0" w:right="-284" w:rightChars="0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</w:p>
    <w:p w14:paraId="6239866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 xml:space="preserve">10 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Н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d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– посадка с зазором в системе основного отверстия.</w:t>
      </w:r>
    </w:p>
    <w:p w14:paraId="5C6AE55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Данную посадку можно отнести к посадке со значительным гарантированным зазором («ходовая»). «Ходовые» посадки практически всегда обеспечивают свободное взаимное перемещение деталей в сопряжениях, и для их сборки не требуется применение специального прессового оборудования. Это посадки H7/d8, H8/d9, D9/h9 и т.д. Область применения таких посадок – соединения, в которых детали должны беспрепятственно вращаться или совершать продольно-поступательные движения в условиях возможных температурных деформаций, перекосов, а также при высоких рабочих скоростях.</w:t>
      </w:r>
    </w:p>
    <w:p w14:paraId="6AE28A2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Посадки с зазором применяют как подвижные в узлах трения для обеспечения надёжного размещения и циркуляции смазочного материала в сопряжении. Взаимная подвижность деталей соединения по посадке с зазором гарантируется за счёт разности фактических диаметров отверстия и вала. При высоких требованиях к лёгкости хода и необходимости компенсации тепловых зазоров назначают посадки с максимальными гарантированными зазорами типа H/d, H/e. Назначение данной посадки для малого диапазона размеров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>10 мм обеспечивает стабильное функционирование точных узлов и механизмов (например, подшипников скольжения или направляющих втулок), исключая риск заклинивания деталей при нагреве в процессе эксплуатации.</w:t>
      </w:r>
    </w:p>
    <w:p w14:paraId="2CDF00B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Рассчитываем предельные размеры отверстия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H8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.</w:t>
      </w:r>
    </w:p>
    <w:p w14:paraId="3B4EE2A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По ГОСТ 25346-89 «Основные нормы взаимозаменяемости. Единая система допусков и посадок. Общие положения, ряды допуском и основных отклонений» определяем значение допуска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(нижнего) отклонения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0B0FB5BD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Верхнее отклонение будет равно</w:t>
      </w:r>
    </w:p>
    <w:p w14:paraId="5797E1C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9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182B6A0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 = EI + IT8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0 + 22 = +22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5B41CC4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254F19F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Предельные размеры отверстия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6591BD1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297F1E7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EI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 = 10,000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>;</w:t>
      </w:r>
    </w:p>
    <w:p w14:paraId="173443F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+ ES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 10,000 + 0,022 = 10,022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en-US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>мм.</w:t>
      </w:r>
    </w:p>
    <w:p w14:paraId="01028F6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</w:pPr>
    </w:p>
    <w:p w14:paraId="6D06B17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baseline"/>
          <w:lang w:val="ru-RU" w:eastAsia="zh-CN" w:bidi="ar"/>
        </w:rPr>
        <w:t xml:space="preserve">Рассчитываем предельные размеры вала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>10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8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.</w:t>
      </w:r>
    </w:p>
    <w:p w14:paraId="64AE893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По ГОСТ 25346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-89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 определяем значения допуска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IT8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 xml:space="preserve">22 мкм и основного (верхнего) отклонения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мкм.</w:t>
      </w:r>
    </w:p>
    <w:p w14:paraId="653A31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Нижнее отклонение будет равно</w:t>
      </w:r>
    </w:p>
    <w:p w14:paraId="34CF0B0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2D9B38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ei = es - IT8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-25 -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22 = -47 мкм</w:t>
      </w:r>
    </w:p>
    <w:p w14:paraId="55CC8FE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3A34F65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Предельные размеры вала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5818E4A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1446D2E8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ei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10,000 - 0,047 = 9,953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6EC14764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0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es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0,025 = 9,975 мм.</w:t>
      </w:r>
    </w:p>
    <w:p w14:paraId="7F2DA929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2DE8E23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Результаты расчетов оформим в виде таблицы (табл. 1.1).</w:t>
      </w:r>
    </w:p>
    <w:p w14:paraId="4F8E36C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Таблица 1.1</w:t>
      </w:r>
    </w:p>
    <w:p w14:paraId="37795D2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Расчёт предельных размеров сопряжения</w:t>
      </w:r>
    </w:p>
    <w:tbl>
      <w:tblPr>
        <w:tblStyle w:val="10"/>
        <w:tblW w:w="974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3"/>
        <w:gridCol w:w="1515"/>
        <w:gridCol w:w="1695"/>
        <w:gridCol w:w="1635"/>
        <w:gridCol w:w="1729"/>
        <w:gridCol w:w="1603"/>
      </w:tblGrid>
      <w:tr w14:paraId="3C6EF7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1500EB6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Размер</w:t>
            </w:r>
          </w:p>
        </w:tc>
        <w:tc>
          <w:tcPr>
            <w:tcW w:w="1515" w:type="dxa"/>
            <w:vAlign w:val="center"/>
          </w:tcPr>
          <w:p w14:paraId="68F91C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IT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,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 xml:space="preserve"> мкм</w:t>
            </w:r>
          </w:p>
        </w:tc>
        <w:tc>
          <w:tcPr>
            <w:tcW w:w="1695" w:type="dxa"/>
            <w:vAlign w:val="center"/>
          </w:tcPr>
          <w:p w14:paraId="5F8EC61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ES (es)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635" w:type="dxa"/>
            <w:vAlign w:val="center"/>
          </w:tcPr>
          <w:p w14:paraId="7BA6D45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EI (ei)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мкм</w:t>
            </w:r>
          </w:p>
        </w:tc>
        <w:tc>
          <w:tcPr>
            <w:tcW w:w="1729" w:type="dxa"/>
            <w:vAlign w:val="center"/>
          </w:tcPr>
          <w:p w14:paraId="219C79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min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  <w:tc>
          <w:tcPr>
            <w:tcW w:w="1603" w:type="dxa"/>
            <w:vAlign w:val="center"/>
          </w:tcPr>
          <w:p w14:paraId="032BBF2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 (d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subscript"/>
                <w:lang w:val="en-US" w:eastAsia="zh-CN" w:bidi="ar"/>
              </w:rPr>
              <w:t>max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)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 xml:space="preserve">, </w:t>
            </w: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  <w:t>мм</w:t>
            </w:r>
          </w:p>
        </w:tc>
      </w:tr>
      <w:tr w14:paraId="14D6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2ECD13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H8</w:t>
            </w:r>
          </w:p>
        </w:tc>
        <w:tc>
          <w:tcPr>
            <w:tcW w:w="1515" w:type="dxa"/>
            <w:vAlign w:val="center"/>
          </w:tcPr>
          <w:p w14:paraId="0561314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9EE836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+22</w:t>
            </w:r>
          </w:p>
        </w:tc>
        <w:tc>
          <w:tcPr>
            <w:tcW w:w="1635" w:type="dxa"/>
            <w:vAlign w:val="center"/>
          </w:tcPr>
          <w:p w14:paraId="7AE27DD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0</w:t>
            </w:r>
          </w:p>
        </w:tc>
        <w:tc>
          <w:tcPr>
            <w:tcW w:w="1729" w:type="dxa"/>
            <w:vAlign w:val="center"/>
          </w:tcPr>
          <w:p w14:paraId="3A8371A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10,000</w:t>
            </w:r>
          </w:p>
        </w:tc>
        <w:tc>
          <w:tcPr>
            <w:tcW w:w="1603" w:type="dxa"/>
            <w:vAlign w:val="center"/>
          </w:tcPr>
          <w:p w14:paraId="182C4B8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10,022</w:t>
            </w:r>
          </w:p>
        </w:tc>
      </w:tr>
      <w:tr w14:paraId="1E7C5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3" w:type="dxa"/>
            <w:vAlign w:val="center"/>
          </w:tcPr>
          <w:p w14:paraId="1DADBC9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</w:rPr>
              <w:sym w:font="Symbol" w:char="F0C6"/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kern w:val="0"/>
                <w:sz w:val="28"/>
                <w:szCs w:val="28"/>
                <w:u w:val="none"/>
                <w:lang w:val="en-US" w:eastAsia="zh-CN" w:bidi="ar"/>
              </w:rPr>
              <w:t>10</w:t>
            </w:r>
            <w:r>
              <w:rPr>
                <w:rStyle w:val="6"/>
                <w:rFonts w:hint="default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d</w:t>
            </w:r>
            <w:r>
              <w:rPr>
                <w:rStyle w:val="6"/>
                <w:rFonts w:hint="default" w:ascii="Times New Roman" w:hAnsi="Times New Roman" w:eastAsia="Arial" w:cs="Times New Roman"/>
                <w:b w:val="0"/>
                <w:bCs w:val="0"/>
                <w:i/>
                <w:iCs/>
                <w:kern w:val="0"/>
                <w:sz w:val="28"/>
                <w:szCs w:val="28"/>
                <w:u w:val="none"/>
                <w:lang w:val="en-US" w:eastAsia="zh-CN" w:bidi="ar"/>
              </w:rPr>
              <w:t>8</w:t>
            </w:r>
          </w:p>
        </w:tc>
        <w:tc>
          <w:tcPr>
            <w:tcW w:w="1515" w:type="dxa"/>
            <w:vAlign w:val="center"/>
          </w:tcPr>
          <w:p w14:paraId="60281EF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22</w:t>
            </w:r>
          </w:p>
        </w:tc>
        <w:tc>
          <w:tcPr>
            <w:tcW w:w="1695" w:type="dxa"/>
            <w:vAlign w:val="center"/>
          </w:tcPr>
          <w:p w14:paraId="1689AD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-25</w:t>
            </w:r>
          </w:p>
        </w:tc>
        <w:tc>
          <w:tcPr>
            <w:tcW w:w="1635" w:type="dxa"/>
            <w:vAlign w:val="center"/>
          </w:tcPr>
          <w:p w14:paraId="62A1914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-47</w:t>
            </w:r>
          </w:p>
        </w:tc>
        <w:tc>
          <w:tcPr>
            <w:tcW w:w="1729" w:type="dxa"/>
            <w:vAlign w:val="center"/>
          </w:tcPr>
          <w:p w14:paraId="1A6E20D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9,953</w:t>
            </w:r>
          </w:p>
        </w:tc>
        <w:tc>
          <w:tcPr>
            <w:tcW w:w="1603" w:type="dxa"/>
            <w:vAlign w:val="center"/>
          </w:tcPr>
          <w:p w14:paraId="312EED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240" w:lineRule="auto"/>
              <w:ind w:right="0"/>
              <w:jc w:val="center"/>
              <w:textAlignment w:val="auto"/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</w:pPr>
            <w:r>
              <w:rPr>
                <w:rStyle w:val="6"/>
                <w:rFonts w:hint="default" w:eastAsia="Arial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u w:val="none"/>
                <w:vertAlign w:val="baseline"/>
                <w:lang w:val="en-US" w:eastAsia="zh-CN" w:bidi="ar"/>
              </w:rPr>
              <w:t>9,975</w:t>
            </w:r>
          </w:p>
        </w:tc>
      </w:tr>
    </w:tbl>
    <w:p w14:paraId="6796652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right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</w:p>
    <w:p w14:paraId="72C1A9E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Строим схему расположения полей допусков сопрягаемых деталей (рис. 1.1) и рассчитываем предельные значения зазоров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:</w:t>
      </w:r>
    </w:p>
    <w:p w14:paraId="48A00DF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</w:pPr>
    </w:p>
    <w:p w14:paraId="522FB13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10,022 - 9,953 = 0,069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мм;</w:t>
      </w:r>
    </w:p>
    <w:p w14:paraId="1253477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D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- d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 xml:space="preserve"> = 10,000 - 9,975 = 0,025 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61EB449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right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drawing>
          <wp:inline distT="0" distB="0" distL="114300" distR="114300">
            <wp:extent cx="3663950" cy="3279140"/>
            <wp:effectExtent l="0" t="0" r="12700" b="16510"/>
            <wp:docPr id="9" name="Изображение 9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Фрагмент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6395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0CF7D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1.1. Схема расположения полей допусков сопрягаемых деталей</w:t>
      </w:r>
    </w:p>
    <w:p w14:paraId="2389689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ab/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Средний зазор</w:t>
      </w:r>
    </w:p>
    <w:p w14:paraId="00C0B7D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78A774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 (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>)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/2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 = (</w:t>
      </w:r>
      <w:r>
        <w:rPr>
          <w:rStyle w:val="6"/>
          <w:rFonts w:hint="default" w:eastAsia="Arial" w:cs="Times New Roman"/>
          <w:b w:val="0"/>
          <w:bCs w:val="0"/>
          <w:i w:val="0"/>
          <w:iCs w:val="0"/>
          <w:kern w:val="0"/>
          <w:sz w:val="28"/>
          <w:szCs w:val="28"/>
          <w:u w:val="none"/>
          <w:lang w:val="en-US" w:eastAsia="zh-CN" w:bidi="ar"/>
        </w:rPr>
        <w:t>0,069 + 0,025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)/2 = 0,047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7065CE6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49F25E8C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Допуск посадки</w:t>
      </w:r>
    </w:p>
    <w:p w14:paraId="031E8D96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7757F9E0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= IT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+ IT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d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vertAlign w:val="subscript"/>
          <w:lang w:val="en-US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  <w:t xml:space="preserve">= 0,022 + 0,022 = 0,044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мм.</w:t>
      </w:r>
    </w:p>
    <w:p w14:paraId="723F97F7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36ABBB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both"/>
        <w:textAlignment w:val="auto"/>
        <w:rPr>
          <w:rFonts w:hint="default"/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Среднеквадрическое</w:t>
      </w:r>
      <w:r>
        <w:rPr>
          <w:rFonts w:hint="default"/>
          <w:sz w:val="28"/>
          <w:szCs w:val="28"/>
          <w:lang w:val="ru-RU"/>
        </w:rPr>
        <w:t xml:space="preserve"> отклонение посадки</w:t>
      </w:r>
    </w:p>
    <w:p w14:paraId="7731D1F2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both"/>
        <w:textAlignment w:val="auto"/>
        <m:rPr/>
        <w:rPr>
          <w:rFonts w:hint="default" w:hAnsi="Cambria Math"/>
          <w:i w:val="0"/>
          <w:iCs w:val="0"/>
          <w:sz w:val="28"/>
          <w:szCs w:val="28"/>
          <w:lang w:val="ru-RU" w:eastAsia="zh-CN"/>
        </w:rPr>
      </w:pPr>
      <m:oMathPara>
        <m:oMath>
          <m:rad>
            <m:radPr>
              <m:degHide m:val="1"/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radPr>
            <m:deg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deg>
            <m:e>
              <m:sSubSup>
                <m:sSubSupP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r>
                <m:rPr>
                  <m:nor/>
                  <m:sty m:val="p"/>
                </m:rPr>
                <w:rPr>
                  <w:rStyle w:val="6"/>
                  <w:rFonts w:hint="default" w:ascii="Cambria Math" w:hAnsi="Cambria Math" w:eastAsia="Arial" w:cs="Times New Roman"/>
                  <w:b w:val="0"/>
                  <w:bCs w:val="0"/>
                  <w:i w:val="0"/>
                  <w:iCs w:val="0"/>
                  <w:kern w:val="0"/>
                  <w:sz w:val="28"/>
                  <w:szCs w:val="28"/>
                  <w:u w:val="none"/>
                  <w:lang w:val="en-US" w:eastAsia="zh-CN"/>
                </w:rPr>
                <m:t xml:space="preserve"> +</m:t>
              </m:r>
              <m:sSubSup>
                <m:sSubSupP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  <m:t>σ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e>
                <m:sub>
                  <m:r>
                    <m:rPr>
                      <m:nor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d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b>
                <m:sup>
                  <m:r>
                    <m:rPr>
                      <m:nor/>
                      <m:sty m:val="p"/>
                    </m:rPr>
                    <w:rPr>
                      <w:rStyle w:val="6"/>
                      <w:rFonts w:hint="default" w:ascii="Cambria Math" w:hAnsi="Cambria Math" w:eastAsia="Arial" w:cs="Times New Roman"/>
                      <w:b w:val="0"/>
                      <w:i w:val="0"/>
                      <w:iCs w:val="0"/>
                      <w:kern w:val="0"/>
                      <w:sz w:val="28"/>
                      <w:szCs w:val="28"/>
                      <w:u w:val="none"/>
                      <w:lang w:val="en-US" w:eastAsia="zh-CN"/>
                    </w:rPr>
                    <m:t>2</m:t>
                  </m:r>
                  <m:ctrlPr>
                    <w:rPr>
                      <w:rStyle w:val="6"/>
                      <w:rFonts w:hint="default" w:ascii="Cambria Math" w:hAnsi="Cambria Math" w:eastAsia="Arial" w:cs="Times New Roman"/>
                      <w:b w:val="0"/>
                      <w:bCs w:val="0"/>
                      <w:i/>
                      <w:iCs w:val="0"/>
                      <w:kern w:val="0"/>
                      <w:sz w:val="28"/>
                      <w:szCs w:val="28"/>
                      <w:u w:val="none"/>
                      <w:lang w:val="ru-RU" w:eastAsia="zh-CN"/>
                    </w:rPr>
                  </m:ctrlPr>
                </m:sup>
              </m:sSubSup>
              <m:ctrlPr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ru-RU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i w:val="0"/>
              <w:iCs w:val="0"/>
              <w:sz w:val="28"/>
              <w:szCs w:val="28"/>
              <w:lang w:val="en-US"/>
            </w:rPr>
            <m:t xml:space="preserve"> = </m:t>
          </m:r>
          <m:rad>
            <m:radPr>
              <m:degHide m:val="1"/>
              <m:ctrlPr>
                <m:rPr/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radPr>
            <m:deg>
              <m:ctrlPr>
                <m:rPr/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deg>
            <m:e>
              <m:sSup>
                <m:sSupPr>
                  <m:ctrlPr>
                    <m:rPr/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m:rPr/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m:rPr/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i w:val="0"/>
                  <w:iCs w:val="0"/>
                  <w:sz w:val="28"/>
                  <w:szCs w:val="28"/>
                  <w:lang w:val="en-US"/>
                </w:rPr>
                <m:t xml:space="preserve"> +</m:t>
              </m:r>
              <m:sSup>
                <m:sSupP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i w:val="0"/>
                      <w:iCs w:val="0"/>
                      <w:sz w:val="28"/>
                      <w:szCs w:val="28"/>
                      <w:lang w:val="en-US"/>
                    </w:rPr>
                    <m:t>(</m:t>
                  </m:r>
                  <m:f>
                    <m:fP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IT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  <m:t>d</m:t>
                          </m:r>
                          <m:ctrlPr>
                            <w:rPr>
                              <w:rFonts w:hint="default" w:ascii="Cambria Math" w:hAnsi="Cambria Math" w:cs="Times New Roman"/>
                              <w:i/>
                              <w:iCs w:val="0"/>
                              <w:sz w:val="28"/>
                              <w:szCs w:val="28"/>
                              <w:lang w:val="en-US"/>
                            </w:rPr>
                          </m:ctrlPr>
                        </m:sub>
                      </m:sSub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num>
                    <m:den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i w:val="0"/>
                          <w:iCs w:val="0"/>
                          <w:sz w:val="28"/>
                          <w:szCs w:val="28"/>
                          <w:lang w:val="en-US"/>
                        </w:rPr>
                        <m:t>6</m:t>
                      </m:r>
                      <m:ctrlPr>
                        <w:rPr>
                          <w:rFonts w:hint="default" w:ascii="Cambria Math" w:hAnsi="Cambria Math" w:cs="Times New Roman"/>
                          <w:i/>
                          <w:iCs w:val="0"/>
                          <w:sz w:val="28"/>
                          <w:szCs w:val="28"/>
                          <w:lang w:val="en-US"/>
                        </w:rPr>
                      </m:ctrlPr>
                    </m:den>
                  </m:f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i w:val="0"/>
                      <w:iCs w:val="0"/>
                      <w:sz w:val="28"/>
                      <w:szCs w:val="28"/>
                      <w:lang w:val="en-US"/>
                    </w:rPr>
                    <m:t>)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e>
                <m: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i w:val="0"/>
                      <w:iCs w:val="0"/>
                      <w:sz w:val="28"/>
                      <w:szCs w:val="28"/>
                      <w:lang w:val="en-US"/>
                    </w:rPr>
                    <m:t>2</m:t>
                  </m:r>
                  <m:ctrlPr>
                    <w:rPr>
                      <w:rFonts w:hint="default" w:ascii="Cambria Math" w:hAnsi="Cambria Math" w:cs="Times New Roman"/>
                      <w:i/>
                      <w:iCs w:val="0"/>
                      <w:sz w:val="28"/>
                      <w:szCs w:val="28"/>
                      <w:lang w:val="en-US"/>
                    </w:rPr>
                  </m:ctrlPr>
                </m:sup>
              </m:sSup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i w:val="0"/>
                  <w:iCs w:val="0"/>
                  <w:sz w:val="28"/>
                  <w:szCs w:val="28"/>
                  <w:lang w:val="en-US"/>
                </w:rPr>
                <m:t xml:space="preserve"> </m:t>
              </m:r>
              <m:ctrlPr>
                <m:rPr/>
                <w:rPr>
                  <w:rFonts w:hint="default" w:ascii="Cambria Math" w:hAnsi="Cambria Math" w:cs="Times New Roman"/>
                  <w:i/>
                  <w:iCs w:val="0"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i w:val="0"/>
              <w:iCs w:val="0"/>
              <w:sz w:val="28"/>
              <w:szCs w:val="28"/>
              <w:lang w:val="en-US"/>
            </w:rPr>
            <m:t xml:space="preserve"> =</m:t>
          </m:r>
          <m:rad>
            <m:radPr>
              <m:degHide m:val="1"/>
              <m:ctrlPr>
                <m:rPr/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radPr>
            <m:deg>
              <m:ctrlPr>
                <m:rPr/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g>
            <m:e>
              <m:f>
                <m:fPr>
                  <m:ctrlPr>
                    <m:rPr/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fPr>
                <m:num>
                  <m:sSup>
                    <m:sSupPr>
                      <m:ctrlPr>
                        <m:rPr/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22</m:t>
                      </m:r>
                      <m:ctrlPr>
                        <m:rPr/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m:rPr/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  <m:t xml:space="preserve"> + </m:t>
                  </m:r>
                  <m:sSup>
                    <m:sSupPr>
                      <m:ctrlPr>
                        <m:rPr/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SupPr>
                    <m:e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22</m:t>
                      </m:r>
                      <m:ctrlPr>
                        <m:rPr/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e>
                    <m:sup>
                      <m:r>
                        <m:rPr>
                          <m:nor/>
                          <m:sty m:val="p"/>
                        </m:rPr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  <m:t>2</m:t>
                      </m:r>
                      <m:ctrlPr>
                        <m:rPr/>
                        <w:rPr>
                          <w:rFonts w:hint="default" w:ascii="Cambria Math" w:hAnsi="Cambria Math" w:cs="Times New Roman"/>
                          <w:i w:val="0"/>
                          <w:iCs/>
                          <w:sz w:val="28"/>
                          <w:szCs w:val="28"/>
                          <w:lang w:val="en-US"/>
                        </w:rPr>
                      </m:ctrlPr>
                    </m:sup>
                  </m:sSup>
                  <m:ctrlPr>
                    <m:rPr/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num>
                <m:den>
                  <m:r>
                    <m:rPr>
                      <m:nor/>
                      <m:sty m:val="p"/>
                    </m:rPr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  <m:t>6</m:t>
                  </m:r>
                  <m:ctrlPr>
                    <m:rPr/>
                    <w:rPr>
                      <w:rFonts w:hint="default" w:ascii="Cambria Math" w:hAnsi="Cambria Math" w:cs="Times New Roman"/>
                      <w:i w:val="0"/>
                      <w:iCs/>
                      <w:sz w:val="28"/>
                      <w:szCs w:val="28"/>
                      <w:lang w:val="en-US"/>
                    </w:rPr>
                  </m:ctrlPr>
                </m:den>
              </m:f>
              <m:ctrlPr>
                <m:rPr/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e>
          </m:rad>
          <m:r>
            <m:rPr>
              <m:nor/>
              <m:sty m:val="p"/>
            </m:rPr>
            <w:rPr>
              <w:rFonts w:hint="default" w:ascii="Cambria Math" w:hAnsi="Cambria Math" w:cs="Times New Roman"/>
              <w:i w:val="0"/>
              <w:iCs/>
              <w:sz w:val="28"/>
              <w:szCs w:val="28"/>
              <w:lang w:val="en-US"/>
            </w:rPr>
            <m:t xml:space="preserve"> = </m:t>
          </m:r>
          <m:f>
            <m:fPr>
              <m:ctrlPr>
                <m:rPr/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fPr>
            <m:num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  <m:t>31,11</m:t>
              </m:r>
              <m:ctrlPr>
                <m:rPr/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num>
            <m:den>
              <m:r>
                <m:rPr>
                  <m:nor/>
                  <m:sty m:val="p"/>
                </m:rPr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  <m:t>6</m:t>
              </m:r>
              <m:ctrlPr>
                <m:rPr/>
                <w:rPr>
                  <w:rFonts w:hint="default" w:ascii="Cambria Math" w:hAnsi="Cambria Math" w:cs="Times New Roman"/>
                  <w:i w:val="0"/>
                  <w:iCs/>
                  <w:sz w:val="28"/>
                  <w:szCs w:val="28"/>
                  <w:lang w:val="en-US"/>
                </w:rPr>
              </m:ctrlPr>
            </m:den>
          </m:f>
          <m:r>
            <m:rPr>
              <m:nor/>
              <m:sty m:val="p"/>
            </m:rPr>
            <w:rPr>
              <w:rFonts w:hint="default" w:ascii="Cambria Math" w:hAnsi="Cambria Math" w:cs="Times New Roman"/>
              <w:i w:val="0"/>
              <w:iCs/>
              <w:sz w:val="28"/>
              <w:szCs w:val="28"/>
              <w:lang w:val="en-US"/>
            </w:rPr>
            <m:t xml:space="preserve"> = 5,19</m:t>
          </m:r>
          <m:r>
            <m:rPr>
              <m:nor/>
              <m:sty m:val="p"/>
            </m:rPr>
            <w:rPr>
              <w:rFonts w:hint="default" w:ascii="Cambria Math" w:hAnsi="Cambria Math" w:cs="Times New Roman"/>
              <w:i w:val="0"/>
              <w:iCs/>
              <w:sz w:val="28"/>
              <w:szCs w:val="28"/>
              <w:lang w:val="ru-RU"/>
            </w:rPr>
            <m:t xml:space="preserve"> мкм.</m:t>
          </m:r>
          <m:r>
            <m:rPr/>
            <w:rPr>
              <w:rFonts w:hint="default" w:ascii="Cambria Math" w:hAnsi="Cambria Math"/>
              <w:sz w:val="28"/>
              <w:szCs w:val="28"/>
              <w:lang w:val="en-US"/>
            </w:rPr>
            <m:t xml:space="preserve"> </m:t>
          </m:r>
        </m:oMath>
      </m:oMathPara>
    </w:p>
    <w:p w14:paraId="4B487FA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Расчёт предельных значений вероятных зазоров.</w:t>
      </w:r>
    </w:p>
    <w:p w14:paraId="1751E77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540BC3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max.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вер.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+ 3</w:t>
      </w:r>
      <w:r>
        <w:rPr>
          <w:rStyle w:val="6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lang w:val="ru-RU" w:eastAsia="zh-CN"/>
        </w:rPr>
        <w:t>σ</w:t>
      </w:r>
      <w:r>
        <w:rPr>
          <w:rStyle w:val="6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S</w:t>
      </w:r>
      <w:r>
        <w:rPr>
          <w:rStyle w:val="6"/>
          <w:rFonts w:hint="default" w:eastAsia="Arial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= 47 + 3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5,19 = 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 62,53 мкм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≈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0,063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мм;</w:t>
      </w:r>
    </w:p>
    <w:p w14:paraId="73B2189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</w:pP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 w:bidi="ar"/>
        </w:rPr>
        <w:t>min.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вер.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=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 xml:space="preserve"> S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ru-RU" w:eastAsia="zh-CN" w:bidi="ar"/>
        </w:rPr>
        <w:t>ср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en-US" w:eastAsia="zh-CN" w:bidi="ar"/>
        </w:rPr>
        <w:t>-</w:t>
      </w:r>
      <w:r>
        <w:rPr>
          <w:rStyle w:val="6"/>
          <w:rFonts w:hint="default" w:eastAsia="Arial" w:cs="Times New Roman"/>
          <w:b w:val="0"/>
          <w:bCs w:val="0"/>
          <w:i/>
          <w:iCs/>
          <w:kern w:val="0"/>
          <w:sz w:val="28"/>
          <w:szCs w:val="28"/>
          <w:u w:val="none"/>
          <w:lang w:val="ru-RU" w:eastAsia="zh-CN" w:bidi="ar"/>
        </w:rPr>
        <w:t xml:space="preserve"> 3</w:t>
      </w:r>
      <w:r>
        <w:rPr>
          <w:rStyle w:val="6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lang w:val="ru-RU" w:eastAsia="zh-CN"/>
        </w:rPr>
        <w:t>σ</w:t>
      </w:r>
      <w:r>
        <w:rPr>
          <w:rStyle w:val="6"/>
          <w:rFonts w:hint="default" w:eastAsia="Arial"/>
          <w:b w:val="0"/>
          <w:bCs w:val="0"/>
          <w:i/>
          <w:iCs/>
          <w:kern w:val="0"/>
          <w:sz w:val="28"/>
          <w:szCs w:val="28"/>
          <w:u w:val="none"/>
          <w:vertAlign w:val="subscript"/>
          <w:lang w:val="en-US" w:eastAsia="zh-CN"/>
        </w:rPr>
        <w:t>S</w:t>
      </w:r>
      <w:r>
        <w:rPr>
          <w:rStyle w:val="6"/>
          <w:rFonts w:hint="default" w:eastAsia="Arial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= 47 - 3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·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5,19 = 31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,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4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3 мкм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 xml:space="preserve">≈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0,0</w:t>
      </w: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>31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  <w:t xml:space="preserve"> </w:t>
      </w:r>
      <w:r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/>
        </w:rPr>
        <w:t>мм;</w:t>
      </w:r>
    </w:p>
    <w:p w14:paraId="464A261A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right="0" w:firstLine="709" w:firstLineChars="0"/>
        <w:jc w:val="center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/>
        </w:rPr>
      </w:pPr>
    </w:p>
    <w:p w14:paraId="3B234C3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Схема распределения вероятных зазоров приведена на рис. 1.2</w:t>
      </w:r>
    </w:p>
    <w:p w14:paraId="70B22FBB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 w:firstLine="708" w:firstLineChars="0"/>
        <w:jc w:val="center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drawing>
          <wp:inline distT="0" distB="0" distL="114300" distR="114300">
            <wp:extent cx="3171190" cy="3483610"/>
            <wp:effectExtent l="0" t="0" r="10160" b="2540"/>
            <wp:docPr id="7" name="Изображение 7" descr="Фрагмен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Фрагмен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71190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7CC87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center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>Рисунок 1.2. Схема распределения вероятных зазоров</w:t>
      </w:r>
    </w:p>
    <w:p w14:paraId="1456EAD7">
      <w:pPr>
        <w:keepNext w:val="0"/>
        <w:keepLines w:val="0"/>
        <w:pageBreakBefore w:val="0"/>
        <w:widowControl/>
        <w:numPr>
          <w:ilvl w:val="1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right="-283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Расчёт посадки с зазором</w:t>
      </w:r>
    </w:p>
    <w:p w14:paraId="41AA5091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000B6E0E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 xml:space="preserve"> H8</w:t>
      </w:r>
      <w:r>
        <w:rPr>
          <w:rFonts w:hint="default" w:ascii="Times New Roman" w:hAnsi="Times New Roman" w:cs="Times New Roman"/>
          <w:i/>
          <w:iCs/>
          <w:sz w:val="28"/>
          <w:szCs w:val="28"/>
        </w:rPr>
        <w:t>/</w:t>
      </w:r>
      <w:r>
        <w:rPr>
          <w:rFonts w:hint="default" w:ascii="Times New Roman" w:hAnsi="Times New Roman" w:cs="Times New Roman"/>
          <w:i/>
          <w:iCs/>
          <w:sz w:val="28"/>
          <w:szCs w:val="28"/>
          <w:lang w:val="en-US"/>
        </w:rPr>
        <w:t>n7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– посадка переходная в системе основного отверстия.</w:t>
      </w:r>
    </w:p>
    <w:p w14:paraId="2F110A3F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Fonts w:hint="default" w:ascii="Times New Roman" w:hAnsi="Times New Roman" w:eastAsia="Arial" w:cs="Times New Roman"/>
          <w:sz w:val="28"/>
          <w:szCs w:val="28"/>
          <w:u w:val="none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Данную посадку можно отнести к посадке с преимущественным натягом («глухая»). «Глухие» посадки практически всегда обеспечивают натяги в сопряжениях, и для их сборки могут использоваться нагревательные, холодильные установки или прессы. Это посадки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H7/n6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N6/h5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N7/h6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и т.д. Область применения таких посадок – соединения, в которых не допускаются зазоры как возможные причины мёртвых ходов, а также ударов и других нежелательных динамических явлений.</w:t>
      </w:r>
    </w:p>
    <w:p w14:paraId="046F6AD3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auto"/>
        <w:ind w:left="0" w:right="0" w:firstLine="708" w:firstLineChars="0"/>
        <w:jc w:val="both"/>
        <w:textAlignment w:val="auto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Переходные посадки применяют как центрирующие в неподвижных соединениях деталей, подлежащих периодической разборке и сборке при условии сохранения заданного характера соединения. Взаимная неподвижность деталей соединения по переходной посадке обеспечивается с помощью дополнительных деталей. При высоких требованиях точности центрирования, при высоких нагрузках необходимо назначать переходные посадки с максимальной вероятностью натяга, типа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H/n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, </w:t>
      </w:r>
      <w:r>
        <w:rPr>
          <w:rFonts w:hint="default" w:ascii="Times New Roman" w:hAnsi="Times New Roman" w:eastAsia="Arial" w:cs="Times New Roman"/>
          <w:i/>
          <w:iCs/>
          <w:kern w:val="0"/>
          <w:sz w:val="28"/>
          <w:szCs w:val="28"/>
          <w:u w:val="none"/>
          <w:lang w:val="en-US" w:eastAsia="zh-CN" w:bidi="ar"/>
        </w:rPr>
        <w:t>N/h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. Назначение данной посадки для среднего диапазона размеров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sym w:font="Symbol" w:char="F0C6"/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95</w:t>
      </w:r>
      <w:r>
        <w:rPr>
          <w:rFonts w:hint="default" w:ascii="Times New Roman" w:hAnsi="Times New Roman" w:eastAsia="Arial" w:cs="Times New Roman"/>
          <w:kern w:val="0"/>
          <w:sz w:val="28"/>
          <w:szCs w:val="28"/>
          <w:u w:val="none"/>
          <w:lang w:val="en-US" w:eastAsia="zh-CN" w:bidi="ar"/>
        </w:rPr>
        <w:t xml:space="preserve"> мм обеспечивает жёсткое и плотное центрирование сопрягаемых деталей (например, зубчатых колес или шкивов на валах), гарантируя стабильную работу узла при воздействии знакопеременных и динамических нагрузок.</w:t>
      </w:r>
    </w:p>
    <w:p w14:paraId="38132495">
      <w:pPr>
        <w:keepNext w:val="0"/>
        <w:keepLines w:val="0"/>
        <w:pageBreakBefore w:val="0"/>
        <w:widowControl/>
        <w:suppressLineNumbers w:val="0"/>
        <w:pBdr>
          <w:bottom w:val="none" w:color="E6E8F0" w:sz="0" w:space="0"/>
        </w:pBdr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left="0" w:right="0"/>
        <w:jc w:val="both"/>
        <w:textAlignment w:val="auto"/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r>
        <w:rPr>
          <w:rStyle w:val="6"/>
          <w:rFonts w:hint="default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  <w:tab/>
      </w:r>
    </w:p>
    <w:p w14:paraId="23C33417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56D75B04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en-US" w:eastAsia="zh-CN" w:bidi="ar"/>
        </w:rPr>
      </w:pPr>
    </w:p>
    <w:p w14:paraId="10D3A044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2ECF4A20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6CB29CBF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73BC1425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</w:p>
    <w:p w14:paraId="23E2A729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360" w:beforeAutospacing="0" w:after="180" w:afterAutospacing="0"/>
        <w:ind w:left="0" w:right="0"/>
        <w:jc w:val="left"/>
        <w:rPr>
          <w:rFonts w:ascii="Arial" w:hAnsi="Arial" w:eastAsia="Arial" w:cs="Arial"/>
          <w:b/>
          <w:bCs/>
          <w:sz w:val="30"/>
          <w:szCs w:val="30"/>
          <w:u w:val="none"/>
        </w:rPr>
      </w:pPr>
      <w:r>
        <w:rPr>
          <w:rFonts w:hint="default" w:ascii="Arial" w:hAnsi="Arial" w:eastAsia="Arial" w:cs="Arial"/>
          <w:b/>
          <w:bCs/>
          <w:kern w:val="0"/>
          <w:sz w:val="30"/>
          <w:szCs w:val="30"/>
          <w:u w:val="none"/>
          <w:lang w:val="en-US" w:eastAsia="zh-CN" w:bidi="ar"/>
        </w:rPr>
        <w:t>Расчет сопряжения \(\varnothing 95\ H8/n7\)</w:t>
      </w:r>
    </w:p>
    <w:p w14:paraId="7BD2629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По ГОСТ 25346-89 «Основные нормы взаимозаменяемости. Единая система допусков и посадок. Общие положения, ряды допусков и основных отклонений» для номинального размера \(95\) мм (интервал размеров свыше 80 до 120 мм) определяем значение допуска отверстия \(IT8 = 54\) мкм и основного (нижнего) отклонения отверстия \(EI = 0\) мкм.</w:t>
      </w:r>
    </w:p>
    <w:p w14:paraId="7171FA55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Верхнее отклонение отверстия будет равно: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br w:type="textWrapping"/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\(ES=EI+IT8=0+54=+54\text{\ мкм.}\)</w:t>
      </w:r>
    </w:p>
    <w:p w14:paraId="1371CDF1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Предельные размеры отверстия: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br w:type="textWrapping"/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\(D_{min}=D_{0}+EI=95,000+0=95,000\text{\ мм;}\)\(D_{max}=D_{0}+ES=95,000+0,054=95,054\text{\ мм.}\)</w:t>
      </w:r>
    </w:p>
    <w:p w14:paraId="732FCA0A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360" w:beforeAutospacing="0" w:after="180" w:afterAutospacing="0"/>
        <w:ind w:left="0" w:right="0"/>
        <w:jc w:val="left"/>
        <w:rPr>
          <w:rFonts w:hint="default" w:ascii="Arial" w:hAnsi="Arial" w:eastAsia="Arial" w:cs="Arial"/>
          <w:b/>
          <w:bCs/>
          <w:sz w:val="30"/>
          <w:szCs w:val="30"/>
          <w:u w:val="none"/>
        </w:rPr>
      </w:pPr>
      <w:r>
        <w:rPr>
          <w:rFonts w:hint="default" w:ascii="Arial" w:hAnsi="Arial" w:eastAsia="Arial" w:cs="Arial"/>
          <w:b/>
          <w:bCs/>
          <w:kern w:val="0"/>
          <w:sz w:val="30"/>
          <w:szCs w:val="30"/>
          <w:u w:val="none"/>
          <w:lang w:val="en-US" w:eastAsia="zh-CN" w:bidi="ar"/>
        </w:rPr>
        <w:t>Рассчитываем предельные размеры вала \(\emptyset 95n7\).</w:t>
      </w:r>
    </w:p>
    <w:p w14:paraId="6825AA40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По ГОСТ 25346-89 для интервала размеров свыше 80 до 120 мм определяем значение допуска вала \(IT7 = 35\) мкм и основного (нижнего) отклонения вала \(ei = +17\) мкм.</w:t>
      </w:r>
    </w:p>
    <w:p w14:paraId="4E05FBDF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Верхнее отклонение вала будет равно: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br w:type="textWrapping"/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\(es=ei+IT7=17+35=+52\text{\ мкм.}\)</w:t>
      </w:r>
    </w:p>
    <w:p w14:paraId="61DE1824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Предельные размеры вала: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br w:type="textWrapping"/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\(d_{min}=d_{0}+ei=95,000+0,017=95,017\text{\ мм;}\)\(d_{max}=d_{0}+es=95,000+0,052=95,052\text{\ мм.}\)</w:t>
      </w:r>
    </w:p>
    <w:p w14:paraId="5AEEC90F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360" w:beforeAutospacing="0" w:after="180" w:afterAutospacing="0"/>
        <w:ind w:left="0" w:right="0"/>
        <w:jc w:val="left"/>
        <w:rPr>
          <w:rFonts w:hint="default" w:ascii="Arial" w:hAnsi="Arial" w:eastAsia="Arial" w:cs="Arial"/>
          <w:b/>
          <w:bCs/>
          <w:sz w:val="30"/>
          <w:szCs w:val="30"/>
          <w:u w:val="none"/>
        </w:rPr>
      </w:pPr>
      <w:r>
        <w:rPr>
          <w:rFonts w:hint="default" w:ascii="Arial" w:hAnsi="Arial" w:eastAsia="Arial" w:cs="Arial"/>
          <w:b/>
          <w:bCs/>
          <w:kern w:val="0"/>
          <w:sz w:val="30"/>
          <w:szCs w:val="30"/>
          <w:u w:val="none"/>
          <w:lang w:val="en-US" w:eastAsia="zh-CN" w:bidi="ar"/>
        </w:rPr>
        <w:t>Расчет параметров посадки.</w:t>
      </w:r>
    </w:p>
    <w:p w14:paraId="69F911BF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 xml:space="preserve">Поскольку поля допусков отверстия и вала перекрываются (\(EI &lt; es\) и \(ei &lt; ES\)), данное сопряжение образует </w:t>
      </w:r>
      <w:r>
        <w:rPr>
          <w:rStyle w:val="6"/>
          <w:rFonts w:hint="default" w:ascii="Arial" w:hAnsi="Arial" w:eastAsia="Arial" w:cs="Arial"/>
          <w:b/>
          <w:bCs/>
          <w:kern w:val="0"/>
          <w:sz w:val="24"/>
          <w:szCs w:val="24"/>
          <w:u w:val="none"/>
          <w:lang w:val="en-US" w:eastAsia="zh-CN" w:bidi="ar"/>
        </w:rPr>
        <w:t>переходную посадку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.</w:t>
      </w:r>
    </w:p>
    <w:p w14:paraId="7B09A5A3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Рассчитываем предельный зазор, предельный натяг и допуск посадки: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br w:type="textWrapping"/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\(S_{max}=D_{max}-d_{min}=95,054-95,017=0,037\text{\ мм\ }(37\text{\ мкм);}\)\(N_{max}=d_{max}-D_{min}=95,052-95,000=0,052\text{\ мм\ }(52\text{\ мкм).}\)</w:t>
      </w:r>
    </w:p>
    <w:p w14:paraId="02B9C568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Допуск посадки равен: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br w:type="textWrapping"/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\(TN(S)=TD+Td=54+35=89\text{\ мкм.}\)</w:t>
      </w:r>
    </w:p>
    <w:p w14:paraId="5B996FC6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Проверка: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br w:type="textWrapping"/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\(TN(S)=S_{max}+N_{max}=37+52=89\text{\ мкм.\ }(89=89-\text{расчет\ верен}).\)</w:t>
      </w:r>
    </w:p>
    <w:p w14:paraId="70AC5BBB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360" w:beforeAutospacing="0" w:after="180" w:afterAutospacing="0"/>
        <w:ind w:left="0" w:right="0"/>
        <w:jc w:val="left"/>
        <w:rPr>
          <w:rFonts w:hint="default" w:ascii="Arial" w:hAnsi="Arial" w:eastAsia="Arial" w:cs="Arial"/>
          <w:b/>
          <w:bCs/>
          <w:sz w:val="30"/>
          <w:szCs w:val="30"/>
          <w:u w:val="none"/>
        </w:rPr>
      </w:pPr>
      <w:r>
        <w:rPr>
          <w:rFonts w:hint="default" w:ascii="Arial" w:hAnsi="Arial" w:eastAsia="Arial" w:cs="Arial"/>
          <w:b/>
          <w:bCs/>
          <w:kern w:val="0"/>
          <w:sz w:val="30"/>
          <w:szCs w:val="30"/>
          <w:u w:val="none"/>
          <w:lang w:val="en-US" w:eastAsia="zh-CN" w:bidi="ar"/>
        </w:rPr>
        <w:t>Расчет вероятностных характеристик посадки.</w:t>
      </w:r>
    </w:p>
    <w:p w14:paraId="75F4C116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Координата середины поля допуска посадки (среднее значение сопряжения \(E_{m}\)):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br w:type="textWrapping"/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\(E_{m}=\frac{(ES+EI)-(es+ei)}{2}=\frac{(54+0)-(52+17)}{2}=\frac{54-69}{2}=-7,5\text{\ мкм.}\)Знак «минус» указывает на то, что центр группирования смещен в сторону натягов (средний натяг \(N_m = 7,5\) мкм).</w:t>
      </w:r>
    </w:p>
    <w:p w14:paraId="4E2DACB2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Среднеквадратическое отклонение посадки: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br w:type="textWrapping"/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\(\sigma _{\Sigma }=\frac{\sqrt{TD^{2}+Td^{2}}}{6}=\frac{\sqrt{54^{2}+35^{2}}}{6}=\frac{\sqrt{2916+1225}}{6}=\frac{\sqrt{4141}}{6}=\frac{64,35}{6}\approx 10,73\text{\ мкм.}\)</w:t>
      </w:r>
    </w:p>
    <w:p w14:paraId="00CB365D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Определяем предел интегрирования (аргумент функции Лапласа \(Z\)) для границы раздела зазоров и натягов (точки \(0\)):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br w:type="textWrapping"/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\(Z=\frac{|E_{m}|}{\sigma _{\Sigma }}=\frac{7,5}{10,73}\approx 0,70.\)</w:t>
      </w:r>
    </w:p>
    <w:p w14:paraId="5BB617D3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По таблице значений функции Лапласа \(\Phi(Z)\) находим:</w:t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br w:type="textWrapping"/>
      </w: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\(\Phi (0,70)=0,2580.\)</w:t>
      </w:r>
    </w:p>
    <w:p w14:paraId="217AF7AC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Определяем вероятности получения натягов и зазоров в сопряжении:</w:t>
      </w:r>
    </w:p>
    <w:p w14:paraId="2E88916A">
      <w:pPr>
        <w:keepNext w:val="0"/>
        <w:keepLines w:val="0"/>
        <w:widowControl/>
        <w:numPr>
          <w:ilvl w:val="0"/>
          <w:numId w:val="4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Вероятность натяга:</w:t>
      </w:r>
      <w:r>
        <w:rPr>
          <w:rFonts w:hint="default" w:ascii="Arial" w:hAnsi="Arial" w:eastAsia="Arial" w:cs="Arial"/>
          <w:sz w:val="24"/>
          <w:szCs w:val="24"/>
          <w:u w:val="none"/>
        </w:rPr>
        <w:t xml:space="preserve"> \(P(N) = 0,5 + \Phi(0,70) = 0,5 + 0,2580 = 0,758 \text{ или } \mathbf{75,8\%}.\)</w:t>
      </w:r>
    </w:p>
    <w:p w14:paraId="073EBB97">
      <w:pPr>
        <w:keepNext w:val="0"/>
        <w:keepLines w:val="0"/>
        <w:widowControl/>
        <w:numPr>
          <w:ilvl w:val="0"/>
          <w:numId w:val="4"/>
        </w:numPr>
        <w:suppressLineNumbers w:val="0"/>
        <w:pBdr>
          <w:bottom w:val="none" w:color="E6E8F0" w:sz="0" w:space="0"/>
        </w:pBdr>
        <w:spacing w:before="0" w:beforeAutospacing="0" w:after="180" w:afterAutospacing="0"/>
        <w:ind w:left="0" w:right="0" w:hanging="360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Style w:val="6"/>
          <w:rFonts w:hint="default" w:ascii="Arial" w:hAnsi="Arial" w:eastAsia="Arial" w:cs="Arial"/>
          <w:b/>
          <w:bCs/>
          <w:sz w:val="24"/>
          <w:szCs w:val="24"/>
          <w:u w:val="none"/>
        </w:rPr>
        <w:t>Вероятность зазора:</w:t>
      </w:r>
      <w:r>
        <w:rPr>
          <w:rFonts w:hint="default" w:ascii="Arial" w:hAnsi="Arial" w:eastAsia="Arial" w:cs="Arial"/>
          <w:sz w:val="24"/>
          <w:szCs w:val="24"/>
          <w:u w:val="none"/>
        </w:rPr>
        <w:t xml:space="preserve"> \(P(S) = 0,5 - \Phi(0,70) = 0,5 - 0,2580 = 0,242 \text{ или } \mathbf{24,2\%}.\)</w:t>
      </w:r>
    </w:p>
    <w:p w14:paraId="6E2B4AD0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Fonts w:hint="default" w:ascii="Arial" w:hAnsi="Arial" w:eastAsia="Arial" w:cs="Arial"/>
          <w:kern w:val="0"/>
          <w:sz w:val="24"/>
          <w:szCs w:val="24"/>
          <w:u w:val="none"/>
          <w:lang w:val="en-US" w:eastAsia="zh-CN" w:bidi="ar"/>
        </w:rPr>
        <w:t>Результаты расчетов оформим в виде таблицы (табл. 1.2).</w:t>
      </w:r>
    </w:p>
    <w:p w14:paraId="2831C19C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/>
        <w:ind w:left="0" w:right="0"/>
        <w:jc w:val="left"/>
        <w:rPr>
          <w:rFonts w:hint="default" w:ascii="Arial" w:hAnsi="Arial" w:eastAsia="Arial" w:cs="Arial"/>
          <w:sz w:val="24"/>
          <w:szCs w:val="24"/>
          <w:u w:val="none"/>
        </w:rPr>
      </w:pPr>
      <w:r>
        <w:rPr>
          <w:rStyle w:val="6"/>
          <w:rFonts w:hint="default" w:ascii="Arial" w:hAnsi="Arial" w:eastAsia="Arial" w:cs="Arial"/>
          <w:b/>
          <w:bCs/>
          <w:kern w:val="0"/>
          <w:sz w:val="24"/>
          <w:szCs w:val="24"/>
          <w:u w:val="none"/>
          <w:lang w:val="en-US" w:eastAsia="zh-CN" w:bidi="ar"/>
        </w:rPr>
        <w:t>Таблица 1.2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E6E8F0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63"/>
        <w:gridCol w:w="760"/>
        <w:gridCol w:w="1014"/>
        <w:gridCol w:w="922"/>
        <w:gridCol w:w="1739"/>
        <w:gridCol w:w="1805"/>
        <w:gridCol w:w="1725"/>
      </w:tblGrid>
      <w:tr w14:paraId="2A93D241">
        <w:tblPrEx>
          <w:tblBorders>
            <w:top w:val="none" w:color="auto" w:sz="0" w:space="0"/>
            <w:left w:val="none" w:color="auto" w:sz="0" w:space="0"/>
            <w:bottom w:val="none" w:color="E6E8F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77B807A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Размер / Сопряжение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7C56D1CE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\(IT\), мкм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5A532E9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\(ES (es)\), мкм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75D2075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\(EI (ei)\), мкм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229C704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\(D_{min} (d_{min})\), мм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7B8BDAA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\(D_{max} (d_{max})\), мм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1C9B066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center"/>
              <w:rPr>
                <w:rFonts w:hint="default" w:ascii="Arial" w:hAnsi="Arial" w:eastAsia="Arial" w:cs="Arial"/>
                <w:b/>
                <w:bCs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b/>
                <w:bCs/>
                <w:kern w:val="0"/>
                <w:sz w:val="21"/>
                <w:szCs w:val="21"/>
                <w:u w:val="none"/>
                <w:lang w:val="en-US" w:eastAsia="zh-CN" w:bidi="ar"/>
              </w:rPr>
              <w:t>Параметры посадки, мкм</w:t>
            </w:r>
          </w:p>
        </w:tc>
      </w:tr>
      <w:tr w14:paraId="2A26EC4E">
        <w:tblPrEx>
          <w:tblBorders>
            <w:top w:val="none" w:color="auto" w:sz="0" w:space="0"/>
            <w:left w:val="none" w:color="auto" w:sz="0" w:space="0"/>
            <w:bottom w:val="none" w:color="E6E8F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5B8B946A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\(\emptyset 95H8\)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44CBF4E1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54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0027A3D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+54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6D96536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0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749A870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95,000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7A42EC56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95,054</w:t>
            </w:r>
          </w:p>
        </w:tc>
        <w:tc>
          <w:tcPr>
            <w:tcW w:w="0" w:type="auto"/>
            <w:tcBorders>
              <w:bottom w:val="single" w:color="363840" w:sz="6" w:space="0"/>
            </w:tcBorders>
            <w:shd w:val="clear"/>
            <w:vAlign w:val="center"/>
          </w:tcPr>
          <w:p w14:paraId="32461E8C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\(S_{max} = 37\) </w:t>
            </w: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\(N_{max} = 52\)</w:t>
            </w:r>
          </w:p>
        </w:tc>
      </w:tr>
      <w:tr w14:paraId="17DC11B1">
        <w:tblPrEx>
          <w:tblBorders>
            <w:top w:val="none" w:color="auto" w:sz="0" w:space="0"/>
            <w:left w:val="none" w:color="auto" w:sz="0" w:space="0"/>
            <w:bottom w:val="none" w:color="E6E8F0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123A5B1B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\(\emptyset 95n7\)</w:t>
            </w:r>
          </w:p>
        </w:tc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7F17C6E0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35</w:t>
            </w:r>
          </w:p>
        </w:tc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53CEC6B4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+52</w:t>
            </w:r>
          </w:p>
        </w:tc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75977448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+17</w:t>
            </w:r>
          </w:p>
        </w:tc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58C0BE73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95,017</w:t>
            </w:r>
          </w:p>
        </w:tc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2CD14AB7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95,052</w:t>
            </w:r>
          </w:p>
        </w:tc>
        <w:tc>
          <w:tcPr>
            <w:tcW w:w="0" w:type="auto"/>
            <w:tcBorders>
              <w:bottom w:val="nil"/>
            </w:tcBorders>
            <w:shd w:val="clear"/>
            <w:vAlign w:val="center"/>
          </w:tcPr>
          <w:p w14:paraId="7439157D">
            <w:pPr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hint="default" w:ascii="Arial" w:hAnsi="Arial" w:eastAsia="Arial" w:cs="Arial"/>
                <w:sz w:val="21"/>
                <w:szCs w:val="21"/>
                <w:u w:val="none"/>
              </w:rPr>
            </w:pP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 xml:space="preserve">\(TN(S) = 89\) </w:t>
            </w: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br w:type="textWrapping"/>
            </w:r>
            <w:r>
              <w:rPr>
                <w:rFonts w:hint="default" w:ascii="Arial" w:hAnsi="Arial" w:eastAsia="Arial" w:cs="Arial"/>
                <w:kern w:val="0"/>
                <w:sz w:val="21"/>
                <w:szCs w:val="21"/>
                <w:u w:val="none"/>
                <w:lang w:val="en-US" w:eastAsia="zh-CN" w:bidi="ar"/>
              </w:rPr>
              <w:t>\(P(N) = 75,8\%\)</w:t>
            </w:r>
          </w:p>
        </w:tc>
      </w:tr>
    </w:tbl>
    <w:p w14:paraId="0EED60C7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="0" w:right="0"/>
        <w:jc w:val="both"/>
        <w:rPr>
          <w:rStyle w:val="6"/>
          <w:rFonts w:hint="default" w:ascii="Times New Roman" w:hAnsi="Times New Roman" w:eastAsia="Arial" w:cs="Times New Roman"/>
          <w:b w:val="0"/>
          <w:bCs w:val="0"/>
          <w:kern w:val="0"/>
          <w:sz w:val="28"/>
          <w:szCs w:val="28"/>
          <w:u w:val="none"/>
          <w:lang w:val="ru-RU" w:eastAsia="zh-CN" w:bidi="ar"/>
        </w:rPr>
      </w:pPr>
      <w:bookmarkStart w:id="0" w:name="_GoBack"/>
      <w:bookmarkEnd w:id="0"/>
    </w:p>
    <w:p w14:paraId="6076A81D">
      <w:pPr>
        <w:numPr>
          <w:ilvl w:val="0"/>
          <w:numId w:val="0"/>
        </w:numPr>
        <w:spacing w:line="360" w:lineRule="auto"/>
        <w:ind w:left="708" w:leftChars="0" w:right="-284" w:right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</w:pPr>
    </w:p>
    <w:p w14:paraId="660EFBD2">
      <w:pPr>
        <w:keepNext w:val="0"/>
        <w:keepLines w:val="0"/>
        <w:widowControl/>
        <w:numPr>
          <w:ilvl w:val="0"/>
          <w:numId w:val="0"/>
        </w:numPr>
        <w:suppressLineNumbers w:val="0"/>
        <w:pBdr>
          <w:bottom w:val="none" w:color="E6E8F0" w:sz="0" w:space="0"/>
        </w:pBdr>
        <w:spacing w:before="180" w:beforeAutospacing="0" w:after="240" w:afterAutospacing="0" w:line="360" w:lineRule="auto"/>
        <w:ind w:leftChars="0" w:right="0" w:rightChars="0"/>
        <w:jc w:val="both"/>
        <w:rPr>
          <w:rFonts w:hint="default" w:ascii="Times New Roman" w:hAnsi="Times New Roman" w:cs="Times New Roman"/>
          <w:sz w:val="32"/>
          <w:szCs w:val="32"/>
          <w:lang w:val="ru-RU" w:eastAsia="zh-CN"/>
        </w:rPr>
      </w:pPr>
    </w:p>
    <w:p w14:paraId="52A7F9BC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7F7A28B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32"/>
          <w:szCs w:val="32"/>
          <w:lang w:val="ru-RU"/>
        </w:rPr>
      </w:pPr>
    </w:p>
    <w:sectPr>
      <w:footerReference r:id="rId3" w:type="default"/>
      <w:pgSz w:w="11906" w:h="16838"/>
      <w:pgMar w:top="1134" w:right="567" w:bottom="1134" w:left="1701" w:header="720" w:footer="720" w:gutter="0"/>
      <w:pgNumType w:start="2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6FB5FF">
    <w:pPr>
      <w:pStyle w:val="9"/>
      <w:jc w:val="center"/>
      <w:rPr>
        <w:rFonts w:hint="default"/>
        <w:lang w:val="ru-RU"/>
      </w:rPr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3DDA18F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s0lY7tAAAAAFAQAADwAAAAAAAAABACAAAAAiAAAAZHJzL2Rv&#10;d25yZXYueG1sUEsBAhQAFAAAAAgAh07iQANI9ulCAgAAcwQAAA4AAAAAAAAAAQAgAAAAHw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3DDA18F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1BB115A"/>
    <w:multiLevelType w:val="multilevel"/>
    <w:tmpl w:val="D1BB115A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3C22470D"/>
    <w:multiLevelType w:val="multilevel"/>
    <w:tmpl w:val="3C22470D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43E80DEF"/>
    <w:multiLevelType w:val="multilevel"/>
    <w:tmpl w:val="43E80DE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58329DB5"/>
    <w:multiLevelType w:val="multilevel"/>
    <w:tmpl w:val="58329DB5"/>
    <w:lvl w:ilvl="0" w:tentative="0">
      <w:start w:val="1"/>
      <w:numFmt w:val="decimal"/>
      <w:suff w:val="space"/>
      <w:lvlText w:val="%1.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3613859"/>
    <w:rsid w:val="06681CC3"/>
    <w:rsid w:val="11BB6564"/>
    <w:rsid w:val="23613859"/>
    <w:rsid w:val="28C9004D"/>
    <w:rsid w:val="39E76F50"/>
    <w:rsid w:val="45725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ind w:left="6372" w:firstLine="708"/>
      <w:jc w:val="center"/>
      <w:outlineLvl w:val="0"/>
    </w:pPr>
    <w:rPr>
      <w:sz w:val="28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yperlink"/>
    <w:qFormat/>
    <w:uiPriority w:val="99"/>
    <w:rPr>
      <w:color w:val="0000FF"/>
      <w:u w:val="single"/>
    </w:rPr>
  </w:style>
  <w:style w:type="character" w:styleId="6">
    <w:name w:val="Strong"/>
    <w:basedOn w:val="3"/>
    <w:qFormat/>
    <w:uiPriority w:val="0"/>
    <w:rPr>
      <w:b/>
      <w:bCs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">
    <w:name w:val="toc 1"/>
    <w:basedOn w:val="1"/>
    <w:next w:val="1"/>
    <w:qFormat/>
    <w:uiPriority w:val="39"/>
    <w:pPr>
      <w:tabs>
        <w:tab w:val="right" w:leader="dot" w:pos="10065"/>
      </w:tabs>
      <w:spacing w:line="360" w:lineRule="auto"/>
      <w:ind w:left="540"/>
    </w:pPr>
    <w:rPr>
      <w:sz w:val="32"/>
      <w:szCs w:val="32"/>
    </w:r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table" w:styleId="10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2026-05-11T19:05:00Z</dcterms:created>
  <dc:creator>User</dc:creator>
  <cp:lastModifiedBy>User</cp:lastModifiedBy>
  <dcterms:modified xsi:type="dcterms:W3CDTF">2026-05-14T22:40:43Z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1049-12.2.0.23202</vt:lpwstr>
  </property>
  <property fmtid="{D5CDD505-2E9C-101B-9397-08002B2CF9AE}" pid="3" name="ICV">
    <vt:lpwstr>EAC4B01269EF467F83D0B50E40D2D71C_13</vt:lpwstr>
  </property>
</Properties>
</file>