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8"/>
          <w:szCs w:val="48"/>
        </w:rPr>
        <w:t xml:space="preserve">Sevaro Outpatient Clinical Note App</w:t>
      </w:r>
    </w:p>
    <w:p>
      <w:pPr>
        <w:spacing w:after="400"/>
        <w:jc w:val="center"/>
      </w:pPr>
      <w:r>
        <w:rPr>
          <w:rFonts w:ascii="Arial" w:cs="Arial" w:eastAsia="Arial" w:hAnsi="Arial"/>
          <w:color w:val="666666"/>
          <w:sz w:val="32"/>
          <w:szCs w:val="32"/>
        </w:rPr>
        <w:t xml:space="preserve">MVP Product Requirements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Version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1.1 - MVP (Revised)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Date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January 16, 2026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Product Owner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Jesse Conley (Senior Product Manager)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Clinical Lead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Steve (Neurologist, Technology Focus)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Target Clinic</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Continuity Neurology Clinic</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rPr>
              <w:t xml:space="preserve">Design Assets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rPr>
              <w:t xml:space="preserve">Figma Schedule View (completed), Plan Builder prototype (index.html)</w:t>
            </w:r>
          </w:p>
        </w:tc>
      </w:tr>
    </w:tbl>
    <w:p>
      <w:pPr>
        <w:spacing w:before="400"/>
      </w:pPr>
    </w:p>
    <w:p>
      <w:pPr>
        <w:pStyle w:val="Heading1"/>
      </w:pPr>
      <w:r>
        <w:t xml:space="preserve">1. Executive Summary</w:t>
      </w:r>
    </w:p>
    <w:p>
      <w:pPr>
        <w:spacing w:after="200"/>
      </w:pPr>
      <w:r>
        <w:rPr>
          <w:rFonts w:ascii="Arial" w:cs="Arial" w:eastAsia="Arial" w:hAnsi="Arial"/>
        </w:rPr>
        <w:t xml:space="preserve">This document defines the MVP requirements for the Sevaro Outpatient Clinical Note App, a key component of the Phase 1 launch strategy. The app will enable Sevaro neurologists to conduct virtual outpatient neurology visits through the existing Synapse platform, integrating the proven Plan Builder for clinical decision support.</w:t>
      </w:r>
    </w:p>
    <w:p>
      <w:pPr>
        <w:pStyle w:val="Heading2"/>
      </w:pPr>
      <w:r>
        <w:t xml:space="preserve">1.1 MVP Scope</w:t>
      </w:r>
    </w:p>
    <w:p>
      <w:pPr>
        <w:spacing w:after="120"/>
      </w:pPr>
      <w:r>
        <w:rPr>
          <w:rFonts w:ascii="Arial" w:cs="Arial" w:eastAsia="Arial" w:hAnsi="Arial"/>
        </w:rPr>
        <w:t xml:space="preserve">The MVP delivers a complete outpatient clinical documentation workflow with integrated clinical decision support. The primary target is the Continuity Neurology Clinic model, serving patients with ongoing neurological conditions. Key differentiators include validated clinical scales, billing-compliant neurological examination documentation, and AI-assisted prior visit summaries.</w:t>
      </w:r>
    </w:p>
    <w:p>
      <w:pPr>
        <w:pStyle w:val="Heading2"/>
      </w:pPr>
      <w:r>
        <w:t xml:space="preserve">1.2 Key Objectives</w:t>
      </w:r>
    </w:p>
    <w:p>
      <w:pPr>
        <w:pStyle w:val="ListParagraph"/>
        <w:numPr>
          <w:ilvl w:val="0"/>
          <w:numId w:val="2"/>
        </w:numPr>
      </w:pPr>
      <w:r>
        <w:rPr>
          <w:rFonts w:ascii="Arial" w:cs="Arial" w:eastAsia="Arial" w:hAnsi="Arial"/>
        </w:rPr>
        <w:t xml:space="preserve">Adapt the proven hospital clinical note workflow for outpatient neurology encounters</w:t>
      </w:r>
    </w:p>
    <w:p>
      <w:pPr>
        <w:pStyle w:val="ListParagraph"/>
        <w:numPr>
          <w:ilvl w:val="0"/>
          <w:numId w:val="2"/>
        </w:numPr>
      </w:pPr>
      <w:r>
        <w:rPr>
          <w:rFonts w:ascii="Arial" w:cs="Arial" w:eastAsia="Arial" w:hAnsi="Arial"/>
        </w:rPr>
        <w:t xml:space="preserve">Integrate the existing Plan Builder with ICD-10-based diagnosis selection</w:t>
      </w:r>
    </w:p>
    <w:p>
      <w:pPr>
        <w:pStyle w:val="ListParagraph"/>
        <w:numPr>
          <w:ilvl w:val="0"/>
          <w:numId w:val="2"/>
        </w:numPr>
      </w:pPr>
      <w:r>
        <w:rPr>
          <w:rFonts w:ascii="Arial" w:cs="Arial" w:eastAsia="Arial" w:hAnsi="Arial"/>
        </w:rPr>
        <w:t xml:space="preserve">Include validated clinical scales for common outpatient neurology conditions</w:t>
      </w:r>
    </w:p>
    <w:p>
      <w:pPr>
        <w:pStyle w:val="ListParagraph"/>
        <w:numPr>
          <w:ilvl w:val="0"/>
          <w:numId w:val="2"/>
        </w:numPr>
      </w:pPr>
      <w:r>
        <w:rPr>
          <w:rFonts w:ascii="Arial" w:cs="Arial" w:eastAsia="Arial" w:hAnsi="Arial"/>
        </w:rPr>
        <w:t xml:space="preserve">Ensure neurological exam documentation supports appropriate billing levels</w:t>
      </w:r>
    </w:p>
    <w:p>
      <w:pPr>
        <w:pStyle w:val="ListParagraph"/>
        <w:numPr>
          <w:ilvl w:val="0"/>
          <w:numId w:val="2"/>
        </w:numPr>
      </w:pPr>
      <w:r>
        <w:rPr>
          <w:rFonts w:ascii="Arial" w:cs="Arial" w:eastAsia="Arial" w:hAnsi="Arial"/>
        </w:rPr>
        <w:t xml:space="preserve">Connect to the existing Figma-designed Schedule View</w:t>
      </w:r>
    </w:p>
    <w:p>
      <w:pPr>
        <w:pStyle w:val="ListParagraph"/>
        <w:numPr>
          <w:ilvl w:val="0"/>
          <w:numId w:val="2"/>
        </w:numPr>
      </w:pPr>
      <w:r>
        <w:rPr>
          <w:rFonts w:ascii="Arial" w:cs="Arial" w:eastAsia="Arial" w:hAnsi="Arial"/>
        </w:rPr>
        <w:t xml:space="preserve">Enable dual output: plain-text copy-paste for EHR and structured Synapse storage</w:t>
      </w:r>
    </w:p>
    <w:p>
      <w:pPr>
        <w:pStyle w:val="ListParagraph"/>
        <w:numPr>
          <w:ilvl w:val="0"/>
          <w:numId w:val="2"/>
        </w:numPr>
        <w:spacing w:after="200"/>
      </w:pPr>
      <w:r>
        <w:rPr>
          <w:rFonts w:ascii="Arial" w:cs="Arial" w:eastAsia="Arial" w:hAnsi="Arial"/>
        </w:rPr>
        <w:t xml:space="preserve">Provide prior visit access with AI-generated summaries for continuity of care</w:t>
      </w:r>
    </w:p>
    <w:p>
      <w:r>
        <w:br w:type="page"/>
      </w:r>
    </w:p>
    <w:p>
      <w:pPr>
        <w:pStyle w:val="Heading1"/>
      </w:pPr>
      <w:r>
        <w:t xml:space="preserve">2. User Personas &amp; Workflows</w:t>
      </w:r>
    </w:p>
    <w:p>
      <w:pPr>
        <w:pStyle w:val="Heading2"/>
      </w:pPr>
      <w:r>
        <w:t xml:space="preserve">2.1 Primary Users</w:t>
      </w:r>
    </w:p>
    <w:p>
      <w:pPr>
        <w:pStyle w:val="Heading3"/>
      </w:pPr>
      <w:r>
        <w:t xml:space="preserve">Sevaro Neurologist</w:t>
      </w:r>
    </w:p>
    <w:p>
      <w:pPr>
        <w:pStyle w:val="ListParagraph"/>
        <w:numPr>
          <w:ilvl w:val="0"/>
          <w:numId w:val="2"/>
        </w:numPr>
      </w:pPr>
      <w:r>
        <w:rPr>
          <w:rFonts w:ascii="Arial" w:cs="Arial" w:eastAsia="Arial" w:hAnsi="Arial"/>
        </w:rPr>
        <w:t xml:space="preserve">Conducts virtual outpatient visits via telemedicine</w:t>
      </w:r>
    </w:p>
    <w:p>
      <w:pPr>
        <w:pStyle w:val="ListParagraph"/>
        <w:numPr>
          <w:ilvl w:val="0"/>
          <w:numId w:val="2"/>
        </w:numPr>
      </w:pPr>
      <w:r>
        <w:rPr>
          <w:rFonts w:ascii="Arial" w:cs="Arial" w:eastAsia="Arial" w:hAnsi="Arial"/>
        </w:rPr>
        <w:t xml:space="preserve">Reviews prior visits via left sidebar with AI summaries</w:t>
      </w:r>
    </w:p>
    <w:p>
      <w:pPr>
        <w:pStyle w:val="ListParagraph"/>
        <w:numPr>
          <w:ilvl w:val="0"/>
          <w:numId w:val="2"/>
        </w:numPr>
      </w:pPr>
      <w:r>
        <w:rPr>
          <w:rFonts w:ascii="Arial" w:cs="Arial" w:eastAsia="Arial" w:hAnsi="Arial"/>
        </w:rPr>
        <w:t xml:space="preserve">Documents encounters using Synapse clinical note interface</w:t>
      </w:r>
    </w:p>
    <w:p>
      <w:pPr>
        <w:pStyle w:val="ListParagraph"/>
        <w:numPr>
          <w:ilvl w:val="0"/>
          <w:numId w:val="2"/>
        </w:numPr>
      </w:pPr>
      <w:r>
        <w:rPr>
          <w:rFonts w:ascii="Arial" w:cs="Arial" w:eastAsia="Arial" w:hAnsi="Arial"/>
        </w:rPr>
        <w:t xml:space="preserve">Administers and documents validated clinical scales</w:t>
      </w:r>
    </w:p>
    <w:p>
      <w:pPr>
        <w:pStyle w:val="ListParagraph"/>
        <w:numPr>
          <w:ilvl w:val="0"/>
          <w:numId w:val="2"/>
        </w:numPr>
      </w:pPr>
      <w:r>
        <w:rPr>
          <w:rFonts w:ascii="Arial" w:cs="Arial" w:eastAsia="Arial" w:hAnsi="Arial"/>
        </w:rPr>
        <w:t xml:space="preserve">Uses Plan Builder for ICD-10-linked diagnosis-specific recommendations</w:t>
      </w:r>
    </w:p>
    <w:p>
      <w:pPr>
        <w:pStyle w:val="ListParagraph"/>
        <w:numPr>
          <w:ilvl w:val="0"/>
          <w:numId w:val="2"/>
        </w:numPr>
        <w:spacing w:after="200"/>
      </w:pPr>
      <w:r>
        <w:rPr>
          <w:rFonts w:ascii="Arial" w:cs="Arial" w:eastAsia="Arial" w:hAnsi="Arial"/>
        </w:rPr>
        <w:t xml:space="preserve">Generates plain-text notes optimized for EHR copy-paste</w:t>
      </w:r>
    </w:p>
    <w:p>
      <w:pPr>
        <w:pStyle w:val="Heading3"/>
      </w:pPr>
      <w:r>
        <w:t xml:space="preserve">Sevaro Medical Assistant (MA)</w:t>
      </w:r>
    </w:p>
    <w:p>
      <w:pPr>
        <w:pStyle w:val="ListParagraph"/>
        <w:numPr>
          <w:ilvl w:val="0"/>
          <w:numId w:val="2"/>
        </w:numPr>
      </w:pPr>
      <w:r>
        <w:rPr>
          <w:rFonts w:ascii="Arial" w:cs="Arial" w:eastAsia="Arial" w:hAnsi="Arial"/>
        </w:rPr>
        <w:t xml:space="preserve">Manages schedule and patient queue via Figma-designed Schedule View</w:t>
      </w:r>
    </w:p>
    <w:p>
      <w:pPr>
        <w:pStyle w:val="ListParagraph"/>
        <w:numPr>
          <w:ilvl w:val="0"/>
          <w:numId w:val="2"/>
        </w:numPr>
      </w:pPr>
      <w:r>
        <w:rPr>
          <w:rFonts w:ascii="Arial" w:cs="Arial" w:eastAsia="Arial" w:hAnsi="Arial"/>
        </w:rPr>
        <w:t xml:space="preserve">Pre-populates patient information and reason for visit</w:t>
      </w:r>
    </w:p>
    <w:p>
      <w:pPr>
        <w:pStyle w:val="ListParagraph"/>
        <w:numPr>
          <w:ilvl w:val="0"/>
          <w:numId w:val="2"/>
        </w:numPr>
        <w:spacing w:after="200"/>
      </w:pPr>
      <w:r>
        <w:rPr>
          <w:rFonts w:ascii="Arial" w:cs="Arial" w:eastAsia="Arial" w:hAnsi="Arial"/>
        </w:rPr>
        <w:t xml:space="preserve">Assists with intake scales and vitals documentation</w:t>
      </w:r>
    </w:p>
    <w:p>
      <w:pPr>
        <w:pStyle w:val="Heading2"/>
      </w:pPr>
      <w:r>
        <w:t xml:space="preserve">2.2 Typical Encounter Flow</w:t>
      </w:r>
    </w:p>
    <w:p>
      <w:pPr>
        <w:pStyle w:val="ListParagraph"/>
        <w:numPr>
          <w:ilvl w:val="0"/>
          <w:numId w:val="3"/>
        </w:numPr>
      </w:pPr>
      <w:r>
        <w:rPr>
          <w:rFonts w:ascii="Arial" w:cs="Arial" w:eastAsia="Arial" w:hAnsi="Arial"/>
          <w:b/>
          <w:bCs/>
        </w:rPr>
        <w:t xml:space="preserve">Pre-Visit: </w:t>
      </w:r>
      <w:r>
        <w:rPr>
          <w:rFonts w:ascii="Arial" w:cs="Arial" w:eastAsia="Arial" w:hAnsi="Arial"/>
        </w:rPr>
        <w:t xml:space="preserve">MA reviews schedule, prepares patient chart, confirms appointment</w:t>
      </w:r>
    </w:p>
    <w:p>
      <w:pPr>
        <w:pStyle w:val="ListParagraph"/>
        <w:numPr>
          <w:ilvl w:val="0"/>
          <w:numId w:val="3"/>
        </w:numPr>
      </w:pPr>
      <w:r>
        <w:rPr>
          <w:rFonts w:ascii="Arial" w:cs="Arial" w:eastAsia="Arial" w:hAnsi="Arial"/>
          <w:b/>
          <w:bCs/>
        </w:rPr>
        <w:t xml:space="preserve">Prior Visit Review: </w:t>
      </w:r>
      <w:r>
        <w:rPr>
          <w:rFonts w:ascii="Arial" w:cs="Arial" w:eastAsia="Arial" w:hAnsi="Arial"/>
        </w:rPr>
        <w:t xml:space="preserve">Neurologist reviews AI summary of previous encounters in left sidebar</w:t>
      </w:r>
    </w:p>
    <w:p>
      <w:pPr>
        <w:pStyle w:val="ListParagraph"/>
        <w:numPr>
          <w:ilvl w:val="0"/>
          <w:numId w:val="3"/>
        </w:numPr>
      </w:pPr>
      <w:r>
        <w:rPr>
          <w:rFonts w:ascii="Arial" w:cs="Arial" w:eastAsia="Arial" w:hAnsi="Arial"/>
          <w:b/>
          <w:bCs/>
        </w:rPr>
        <w:t xml:space="preserve">Intake: </w:t>
      </w:r>
      <w:r>
        <w:rPr>
          <w:rFonts w:ascii="Arial" w:cs="Arial" w:eastAsia="Arial" w:hAnsi="Arial"/>
        </w:rPr>
        <w:t xml:space="preserve">Document chief complaint, administer relevant clinical scales</w:t>
      </w:r>
    </w:p>
    <w:p>
      <w:pPr>
        <w:pStyle w:val="ListParagraph"/>
        <w:numPr>
          <w:ilvl w:val="0"/>
          <w:numId w:val="3"/>
        </w:numPr>
      </w:pPr>
      <w:r>
        <w:rPr>
          <w:rFonts w:ascii="Arial" w:cs="Arial" w:eastAsia="Arial" w:hAnsi="Arial"/>
          <w:b/>
          <w:bCs/>
        </w:rPr>
        <w:t xml:space="preserve">History: </w:t>
      </w:r>
      <w:r>
        <w:rPr>
          <w:rFonts w:ascii="Arial" w:cs="Arial" w:eastAsia="Arial" w:hAnsi="Arial"/>
        </w:rPr>
        <w:t xml:space="preserve">Capture HPI, review of systems, relevant prior results</w:t>
      </w:r>
    </w:p>
    <w:p>
      <w:pPr>
        <w:pStyle w:val="ListParagraph"/>
        <w:numPr>
          <w:ilvl w:val="0"/>
          <w:numId w:val="3"/>
        </w:numPr>
      </w:pPr>
      <w:r>
        <w:rPr>
          <w:rFonts w:ascii="Arial" w:cs="Arial" w:eastAsia="Arial" w:hAnsi="Arial"/>
          <w:b/>
          <w:bCs/>
        </w:rPr>
        <w:t xml:space="preserve">Exam: </w:t>
      </w:r>
      <w:r>
        <w:rPr>
          <w:rFonts w:ascii="Arial" w:cs="Arial" w:eastAsia="Arial" w:hAnsi="Arial"/>
        </w:rPr>
        <w:t xml:space="preserve">Perform billing-compliant neurological exam, document findings</w:t>
      </w:r>
    </w:p>
    <w:p>
      <w:pPr>
        <w:pStyle w:val="ListParagraph"/>
        <w:numPr>
          <w:ilvl w:val="0"/>
          <w:numId w:val="3"/>
        </w:numPr>
      </w:pPr>
      <w:r>
        <w:rPr>
          <w:rFonts w:ascii="Arial" w:cs="Arial" w:eastAsia="Arial" w:hAnsi="Arial"/>
          <w:b/>
          <w:bCs/>
        </w:rPr>
        <w:t xml:space="preserve">Plan: </w:t>
      </w:r>
      <w:r>
        <w:rPr>
          <w:rFonts w:ascii="Arial" w:cs="Arial" w:eastAsia="Arial" w:hAnsi="Arial"/>
        </w:rPr>
        <w:t xml:space="preserve">Select ICD-10 diagnosis, use Plan Builder for evidence-based recommendations</w:t>
      </w:r>
    </w:p>
    <w:p>
      <w:pPr>
        <w:pStyle w:val="ListParagraph"/>
        <w:numPr>
          <w:ilvl w:val="0"/>
          <w:numId w:val="3"/>
        </w:numPr>
      </w:pPr>
      <w:r>
        <w:rPr>
          <w:rFonts w:ascii="Arial" w:cs="Arial" w:eastAsia="Arial" w:hAnsi="Arial"/>
          <w:b/>
          <w:bCs/>
        </w:rPr>
        <w:t xml:space="preserve">Documentation: </w:t>
      </w:r>
      <w:r>
        <w:rPr>
          <w:rFonts w:ascii="Arial" w:cs="Arial" w:eastAsia="Arial" w:hAnsi="Arial"/>
        </w:rPr>
        <w:t xml:space="preserve">System generates plain-text clinical note</w:t>
      </w:r>
    </w:p>
    <w:p>
      <w:pPr>
        <w:pStyle w:val="ListParagraph"/>
        <w:numPr>
          <w:ilvl w:val="0"/>
          <w:numId w:val="3"/>
        </w:numPr>
        <w:spacing w:after="200"/>
      </w:pPr>
      <w:r>
        <w:rPr>
          <w:rFonts w:ascii="Arial" w:cs="Arial" w:eastAsia="Arial" w:hAnsi="Arial"/>
          <w:b/>
          <w:bCs/>
        </w:rPr>
        <w:t xml:space="preserve">Output: </w:t>
      </w:r>
      <w:r>
        <w:rPr>
          <w:rFonts w:ascii="Arial" w:cs="Arial" w:eastAsia="Arial" w:hAnsi="Arial"/>
        </w:rPr>
        <w:t xml:space="preserve">Copy note to partner EHR; Synapse stores structured record for future reference</w:t>
      </w:r>
    </w:p>
    <w:p>
      <w:r>
        <w:br w:type="page"/>
      </w:r>
    </w:p>
    <w:p>
      <w:pPr>
        <w:pStyle w:val="Heading1"/>
      </w:pPr>
      <w:r>
        <w:t xml:space="preserve">3. Interface Layout</w:t>
      </w:r>
    </w:p>
    <w:p>
      <w:pPr>
        <w:spacing w:after="200"/>
      </w:pPr>
      <w:r>
        <w:rPr>
          <w:rFonts w:ascii="Arial" w:cs="Arial" w:eastAsia="Arial" w:hAnsi="Arial"/>
        </w:rPr>
        <w:t xml:space="preserve">The clinical note interface uses a three-panel layout optimized for continuity care workflows.</w:t>
      </w:r>
    </w:p>
    <w:p>
      <w:pPr>
        <w:pStyle w:val="Heading2"/>
      </w:pPr>
      <w:r>
        <w:t xml:space="preserve">3.1 Left Sidebar: Prior Visits Panel</w:t>
      </w:r>
    </w:p>
    <w:p>
      <w:pPr>
        <w:spacing w:after="120"/>
      </w:pPr>
      <w:r>
        <w:rPr>
          <w:rFonts w:ascii="Arial" w:cs="Arial" w:eastAsia="Arial" w:hAnsi="Arial"/>
        </w:rPr>
        <w:t xml:space="preserve">Provides quick access to patient history without leaving the current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AI Visit 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Auto-generated summary of prior visits highlighting: key diagnoses, medication changes, pending workup, last exam findings. Regenerate button if context changes.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Visit List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Chronological list of previous encounters with date, visit type, and primary diagnosis. Click to expand full note in readable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Quick View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Expanded note displays in clean, readable format within sidebar. Scroll through without modal or page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Comparison Mode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Toggle to show side-by-side comparison of current vs. prior visit (e.g., exam findings, scale scores).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Collapse/Expand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Sidebar can be collapsed to maximize note workspace. Quick-access icon to reopen.</w:t>
            </w:r>
          </w:p>
        </w:tc>
      </w:tr>
    </w:tbl>
    <w:p>
      <w:pPr>
        <w:pStyle w:val="Heading2"/>
        <w:spacing w:before="300"/>
      </w:pPr>
      <w:r>
        <w:t xml:space="preserve">3.2 Center Panel: Clinical Note Tabs</w:t>
      </w:r>
    </w:p>
    <w:p>
      <w:pPr>
        <w:spacing w:after="120"/>
      </w:pPr>
      <w:r>
        <w:rPr>
          <w:rFonts w:ascii="Arial" w:cs="Arial" w:eastAsia="Arial" w:hAnsi="Arial"/>
        </w:rPr>
        <w:t xml:space="preserve">Four-tab structure for systematic documentation: History, Imaging/Results, Physical Exam, Recommendation.</w:t>
      </w:r>
    </w:p>
    <w:p>
      <w:pPr>
        <w:pStyle w:val="Heading2"/>
        <w:spacing w:before="200"/>
      </w:pPr>
      <w:r>
        <w:t xml:space="preserve">3.3 Right Panel: Context &amp; Actions</w:t>
      </w:r>
    </w:p>
    <w:p>
      <w:pPr>
        <w:pStyle w:val="ListParagraph"/>
        <w:numPr>
          <w:ilvl w:val="0"/>
          <w:numId w:val="2"/>
        </w:numPr>
      </w:pPr>
      <w:r>
        <w:rPr>
          <w:rFonts w:ascii="Arial" w:cs="Arial" w:eastAsia="Arial" w:hAnsi="Arial"/>
        </w:rPr>
        <w:t xml:space="preserve">Patient header (name, DOB, MRN) - always visible</w:t>
      </w:r>
    </w:p>
    <w:p>
      <w:pPr>
        <w:pStyle w:val="ListParagraph"/>
        <w:numPr>
          <w:ilvl w:val="0"/>
          <w:numId w:val="2"/>
        </w:numPr>
      </w:pPr>
      <w:r>
        <w:rPr>
          <w:rFonts w:ascii="Arial" w:cs="Arial" w:eastAsia="Arial" w:hAnsi="Arial"/>
        </w:rPr>
        <w:t xml:space="preserve">Timeline tracker (visit milestones, time on video, assessment time)</w:t>
      </w:r>
    </w:p>
    <w:p>
      <w:pPr>
        <w:pStyle w:val="ListParagraph"/>
        <w:numPr>
          <w:ilvl w:val="0"/>
          <w:numId w:val="2"/>
        </w:numPr>
      </w:pPr>
      <w:r>
        <w:rPr>
          <w:rFonts w:ascii="Arial" w:cs="Arial" w:eastAsia="Arial" w:hAnsi="Arial"/>
        </w:rPr>
        <w:t xml:space="preserve">Quick links: PACS viewer, VizAI, Epic (external EHR)</w:t>
      </w:r>
    </w:p>
    <w:p>
      <w:pPr>
        <w:pStyle w:val="ListParagraph"/>
        <w:numPr>
          <w:ilvl w:val="0"/>
          <w:numId w:val="2"/>
        </w:numPr>
        <w:spacing w:after="200"/>
      </w:pPr>
      <w:r>
        <w:rPr>
          <w:rFonts w:ascii="Arial" w:cs="Arial" w:eastAsia="Arial" w:hAnsi="Arial"/>
        </w:rPr>
        <w:t xml:space="preserve">Action buttons: Pend, Sign &amp; Complete</w:t>
      </w:r>
    </w:p>
    <w:p>
      <w:r>
        <w:br w:type="page"/>
      </w:r>
    </w:p>
    <w:p>
      <w:pPr>
        <w:pStyle w:val="Heading1"/>
      </w:pPr>
      <w:r>
        <w:t xml:space="preserve">4. Clinical Note Tab Features</w:t>
      </w:r>
    </w:p>
    <w:p>
      <w:pPr>
        <w:pStyle w:val="Heading2"/>
      </w:pPr>
      <w:r>
        <w:t xml:space="preserve">4.1 History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Reason for Consult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Chip/tag selection: Headache/Migraine, Seizure/Epilepsy, Memory Concerns, Movement Disorder, Neuropathy, Stroke Follow-up, Dizziness/Vertigo, MS Follow-up, Other. Selection triggers relevant scale suggestions.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History of Presenting Illness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Free-text field with character counter. Optional structured prompts based on reason for consult.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Clinical Scales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Expandable section with validated scales (see 4.1.1). Scores auto-calculate and persist for trending.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Review of Systems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Expandable checklist by system. Options: Reviewed (negative), Positive (expand for details), Unable to obtain.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Allergies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NKDA checkbox, Reviewed in EHR toggle, Unknown, or structured allergy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PMH/PSH/FH/SH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Toggle for availability. Expandable sections when available. Option to pull from prior visit.</w:t>
            </w:r>
          </w:p>
        </w:tc>
      </w:tr>
    </w:tbl>
    <w:p>
      <w:pPr>
        <w:pStyle w:val="Heading3"/>
        <w:spacing w:before="200"/>
      </w:pPr>
      <w:r>
        <w:t xml:space="preserve">4.1.1 Clinical Scales (MVP)</w:t>
      </w:r>
    </w:p>
    <w:p>
      <w:pPr>
        <w:spacing w:after="120"/>
      </w:pPr>
      <w:r>
        <w:rPr>
          <w:rFonts w:ascii="Arial" w:cs="Arial" w:eastAsia="Arial" w:hAnsi="Arial"/>
        </w:rPr>
        <w:t xml:space="preserve">Validated scales integrated into the History tab, triggered by reason for consult: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Scale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Purpose &amp;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Headache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Migraine Disability Assessment. 5 questions, scored 0-21+. Grades I-IV disability.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Headache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HIT-6</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Headache Impact Test. 6 items, 36-78 range. Measures headache impact on daily life.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Cognition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Montreal Cognitive Assessment. 30-point screening. Cutoff typically 26 for normal.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Cognition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Mini-Cog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3-word recall + clock draw. Quick screen, 0-5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Movement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UPDRS (Motor)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Unified Parkinson's Disease Rating Scale Part III. Motor examination section.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Movement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Hoehn &amp; Yahr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Parkinson's staging scale. Stages 1-5 for disease progression.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Epilepsy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Seizure 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Structured seizure frequency tracker: type, count, triggers, duration since last visit.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Epilepsy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Liverpool Seizure Severity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20-item severity assessment. Tracks ictal and post-ictal symptoms.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General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PHQ-9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Depression screening. 9 items, 0-27. Important comorbidity in neurological disease.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General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GAD-7</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Anxiety screening. 7 items, 0-21. Common comorbidity.</w:t>
            </w:r>
          </w:p>
        </w:tc>
      </w:tr>
    </w:tbl>
    <w:p>
      <w:pPr>
        <w:pStyle w:val="Heading2"/>
        <w:spacing w:before="300"/>
      </w:pPr>
      <w:r>
        <w:t xml:space="preserve">4.2 Imaging/Results Tab</w:t>
      </w:r>
    </w:p>
    <w:p>
      <w:pPr>
        <w:spacing w:after="120"/>
      </w:pPr>
      <w:r>
        <w:rPr>
          <w:rFonts w:ascii="Arial" w:cs="Arial" w:eastAsia="Arial" w:hAnsi="Arial"/>
        </w:rPr>
        <w:t xml:space="preserve">Expandable study entries replace simple yes/no toggles. Selecting a study type expands to capture structured data that persists for future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Study Type Selection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Multi-select chips for study categories: MRI Brain, MRI Spine, CT Head, EEG, EMG/NCS, Sleep Study, Echo/Cardiac, Labs, Other.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Expandable Study Entry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Each selected study expands to show: Study Date (date picker), Key Findings (free-text summary), Reference/Link (optional URL or accession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Findings 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Entered study data saved to patient record. Available in future visits for comparison and trending.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Lab Results Section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Expandable entry for relevant labs: Date, specific values (glucose, HbA1c, B12, etc.), Reference link.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Import from Prior Visit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Option to pull study entries from previous encounters with one click.</w:t>
            </w:r>
          </w:p>
        </w:tc>
      </w:tr>
    </w:tbl>
    <w:p>
      <w:pPr>
        <w:pStyle w:val="Heading3"/>
        <w:spacing w:before="200"/>
      </w:pPr>
      <w:r>
        <w:t xml:space="preserve">4.2.1 Study Entry Fields (Example: MRI Brain)</w:t>
      </w:r>
    </w:p>
    <w:p>
      <w:pPr>
        <w:pStyle w:val="ListParagraph"/>
        <w:numPr>
          <w:ilvl w:val="0"/>
          <w:numId w:val="2"/>
        </w:numPr>
      </w:pPr>
      <w:r>
        <w:rPr>
          <w:rFonts w:ascii="Arial" w:cs="Arial" w:eastAsia="Arial" w:hAnsi="Arial"/>
          <w:b/>
          <w:bCs/>
        </w:rPr>
        <w:t xml:space="preserve">Study Date: </w:t>
      </w:r>
      <w:r>
        <w:rPr>
          <w:rFonts w:ascii="Arial" w:cs="Arial" w:eastAsia="Arial" w:hAnsi="Arial"/>
        </w:rPr>
        <w:t xml:space="preserve">Date picker, defaults to blank</w:t>
      </w:r>
    </w:p>
    <w:p>
      <w:pPr>
        <w:pStyle w:val="ListParagraph"/>
        <w:numPr>
          <w:ilvl w:val="0"/>
          <w:numId w:val="2"/>
        </w:numPr>
      </w:pPr>
      <w:r>
        <w:rPr>
          <w:rFonts w:ascii="Arial" w:cs="Arial" w:eastAsia="Arial" w:hAnsi="Arial"/>
          <w:b/>
          <w:bCs/>
        </w:rPr>
        <w:t xml:space="preserve">Facility: </w:t>
      </w:r>
      <w:r>
        <w:rPr>
          <w:rFonts w:ascii="Arial" w:cs="Arial" w:eastAsia="Arial" w:hAnsi="Arial"/>
        </w:rPr>
        <w:t xml:space="preserve">Optional text field for where study was performed</w:t>
      </w:r>
    </w:p>
    <w:p>
      <w:pPr>
        <w:pStyle w:val="ListParagraph"/>
        <w:numPr>
          <w:ilvl w:val="0"/>
          <w:numId w:val="2"/>
        </w:numPr>
      </w:pPr>
      <w:r>
        <w:rPr>
          <w:rFonts w:ascii="Arial" w:cs="Arial" w:eastAsia="Arial" w:hAnsi="Arial"/>
          <w:b/>
          <w:bCs/>
        </w:rPr>
        <w:t xml:space="preserve">Key Findings: </w:t>
      </w:r>
      <w:r>
        <w:rPr>
          <w:rFonts w:ascii="Arial" w:cs="Arial" w:eastAsia="Arial" w:hAnsi="Arial"/>
        </w:rPr>
        <w:t xml:space="preserve">Free-text area for summary (e.g., "No acute intracranial abnormality. Chronic small vessel ischemic changes.")</w:t>
      </w:r>
    </w:p>
    <w:p>
      <w:pPr>
        <w:pStyle w:val="ListParagraph"/>
        <w:numPr>
          <w:ilvl w:val="0"/>
          <w:numId w:val="2"/>
        </w:numPr>
        <w:spacing w:after="200"/>
      </w:pPr>
      <w:r>
        <w:rPr>
          <w:rFonts w:ascii="Arial" w:cs="Arial" w:eastAsia="Arial" w:hAnsi="Arial"/>
          <w:b/>
          <w:bCs/>
        </w:rPr>
        <w:t xml:space="preserve">Reference: </w:t>
      </w:r>
      <w:r>
        <w:rPr>
          <w:rFonts w:ascii="Arial" w:cs="Arial" w:eastAsia="Arial" w:hAnsi="Arial"/>
        </w:rPr>
        <w:t xml:space="preserve">Optional link field for PACS viewer URL or accession number</w:t>
      </w:r>
    </w:p>
    <w:p>
      <w:r>
        <w:br w:type="page"/>
      </w:r>
    </w:p>
    <w:p>
      <w:pPr>
        <w:pStyle w:val="Heading2"/>
      </w:pPr>
      <w:r>
        <w:t xml:space="preserve">4.3 Physical Exam Tab</w:t>
      </w:r>
    </w:p>
    <w:p>
      <w:pPr>
        <w:spacing w:after="120"/>
      </w:pPr>
      <w:r>
        <w:rPr>
          <w:rFonts w:ascii="Arial" w:cs="Arial" w:eastAsia="Arial" w:hAnsi="Arial"/>
        </w:rPr>
        <w:t xml:space="preserve">Neurological examination structured for billing compliance and standard outpatient neurology documentation. Supports E/M coding levels through comprehensive documentation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Exam Date/Time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Date picker (default: today), Time picker with "Now" quick-select.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Vital Signs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Optional: BP, Pulse, Weight. Toggle for "Patient-reported" vs "From EHR".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General Appearance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Constitutional exam element: Appears well/ill, distress level, general observations.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Neurological Exam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Comprehensive structured exam (see 4.3.1). Supports both normal defaults and detailed abnormal documentation.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Exam Limitations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Telemedicine limitations checkbox with standard disclaimer. Documents what could not be assessed.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General Notes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Free-text area for additional exam observations, clinical impressions during exam, or other relevant findings not captured in structured fields.</w:t>
            </w:r>
          </w:p>
        </w:tc>
      </w:tr>
    </w:tbl>
    <w:p>
      <w:pPr>
        <w:pStyle w:val="Heading3"/>
        <w:spacing w:before="200"/>
      </w:pPr>
      <w:r>
        <w:t xml:space="preserve">4.3.1 Neurological Examination Structure</w:t>
      </w:r>
    </w:p>
    <w:p>
      <w:pPr>
        <w:spacing w:after="120"/>
      </w:pPr>
      <w:r>
        <w:rPr>
          <w:rFonts w:ascii="Arial" w:cs="Arial" w:eastAsia="Arial" w:hAnsi="Arial"/>
        </w:rPr>
        <w:t xml:space="preserve">Structured to support 1997 E/M documentation guidelines for neurological examination. Each section supports normal defaults with ability to document abnormalities in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Exam Section</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Elements (Billing-Compliant)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Mental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Level of consciousness (alert, drowsy, obtunded), Orientation (person, place, time, situation), Attention/concentration, Recent/remote memory, Language (fluency, comprehension, repetition, naming), Fund of knowledge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Cranial Nerves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CN II: Visual acuity, visual fields, pupil size/reactivity, fundoscopic (if applicable). CN III/IV/VI: Extraocular movements, nystagmus, ptosis. CN V: Facial sensation (V1/V2/V3), masseter strength. CN VII: Facial symmetry, strength (forehead, eye closure, smile). CN VIII: Hearing. CN IX/X: Palate elevation, gag. CN XI: Trapezius/SCM strength. CN XII: Tongue protrusion, atrophy, fasciculations.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Muscle bulk, Tone (normal, spastic, rigid, flaccid), Strength by muscle group (MRC 0-5 scale): Deltoid, Biceps, Triceps, Wrist extensors, Grip, Hip flexors, Knee extensors, Ankle dorsiflexors, Plantarflexors. Pronator drift, Tremor, Abnormal movements.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Sensory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Light touch (face, arms, legs bilateral), Pinprick (if indicated), Vibration sense (great toes, ankles), Proprioception, Temperature (if indicated), Cortical sensation (stereognosis, graphesthesia) if applicable.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Reflexes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Deep tendon reflexes (0-4+ scale): Biceps, Triceps, Brachioradialis, Patellar, Achilles. Pathological reflexes: Babinski, Hoffman, clonus.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Coordination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Finger-to-nose, Heel-to-shin, Rapid alternating movements, Romberg test.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Gait &amp; Station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Gait observation (normal, wide-based, shuffling, ataxic), Tandem gait, Heel/toe walking, Station stability. "Not evaluated" option with reason for telemedicine.</w:t>
            </w:r>
          </w:p>
        </w:tc>
      </w:tr>
    </w:tbl>
    <w:p>
      <w:pPr>
        <w:pStyle w:val="Heading3"/>
        <w:spacing w:before="200"/>
      </w:pPr>
      <w:r>
        <w:t xml:space="preserve">4.3.2 Exam Documentation Modes</w:t>
      </w:r>
    </w:p>
    <w:p>
      <w:pPr>
        <w:pStyle w:val="ListParagraph"/>
        <w:numPr>
          <w:ilvl w:val="0"/>
          <w:numId w:val="2"/>
        </w:numPr>
      </w:pPr>
      <w:r>
        <w:rPr>
          <w:rFonts w:ascii="Arial" w:cs="Arial" w:eastAsia="Arial" w:hAnsi="Arial"/>
          <w:b/>
          <w:bCs/>
        </w:rPr>
        <w:t xml:space="preserve">Quick Normal: </w:t>
      </w:r>
      <w:r>
        <w:rPr>
          <w:rFonts w:ascii="Arial" w:cs="Arial" w:eastAsia="Arial" w:hAnsi="Arial"/>
        </w:rPr>
        <w:t xml:space="preserve">One-click to set all elements to normal defaults. Generates complete normal exam.</w:t>
      </w:r>
    </w:p>
    <w:p>
      <w:pPr>
        <w:pStyle w:val="ListParagraph"/>
        <w:numPr>
          <w:ilvl w:val="0"/>
          <w:numId w:val="2"/>
        </w:numPr>
      </w:pPr>
      <w:r>
        <w:rPr>
          <w:rFonts w:ascii="Arial" w:cs="Arial" w:eastAsia="Arial" w:hAnsi="Arial"/>
          <w:b/>
          <w:bCs/>
        </w:rPr>
        <w:t xml:space="preserve">Section-by-Section: </w:t>
      </w:r>
      <w:r>
        <w:rPr>
          <w:rFonts w:ascii="Arial" w:cs="Arial" w:eastAsia="Arial" w:hAnsi="Arial"/>
        </w:rPr>
        <w:t xml:space="preserve">Expand each section, toggle individual elements as normal/abnormal.</w:t>
      </w:r>
    </w:p>
    <w:p>
      <w:pPr>
        <w:pStyle w:val="ListParagraph"/>
        <w:numPr>
          <w:ilvl w:val="0"/>
          <w:numId w:val="2"/>
        </w:numPr>
      </w:pPr>
      <w:r>
        <w:rPr>
          <w:rFonts w:ascii="Arial" w:cs="Arial" w:eastAsia="Arial" w:hAnsi="Arial"/>
          <w:b/>
          <w:bCs/>
        </w:rPr>
        <w:t xml:space="preserve">Detailed Abnormal: </w:t>
      </w:r>
      <w:r>
        <w:rPr>
          <w:rFonts w:ascii="Arial" w:cs="Arial" w:eastAsia="Arial" w:hAnsi="Arial"/>
        </w:rPr>
        <w:t xml:space="preserve">When abnormal selected, expands to show specific documentation options and free-text.</w:t>
      </w:r>
    </w:p>
    <w:p>
      <w:pPr>
        <w:pStyle w:val="ListParagraph"/>
        <w:numPr>
          <w:ilvl w:val="0"/>
          <w:numId w:val="2"/>
        </w:numPr>
        <w:spacing w:after="200"/>
      </w:pPr>
      <w:r>
        <w:rPr>
          <w:rFonts w:ascii="Arial" w:cs="Arial" w:eastAsia="Arial" w:hAnsi="Arial"/>
          <w:b/>
          <w:bCs/>
        </w:rPr>
        <w:t xml:space="preserve">Copy from Prior: </w:t>
      </w:r>
      <w:r>
        <w:rPr>
          <w:rFonts w:ascii="Arial" w:cs="Arial" w:eastAsia="Arial" w:hAnsi="Arial"/>
        </w:rPr>
        <w:t xml:space="preserve">Pull previous exam as template, modify as needed for current visit.</w:t>
      </w:r>
    </w:p>
    <w:p>
      <w:r>
        <w:br w:type="page"/>
      </w:r>
    </w:p>
    <w:p>
      <w:pPr>
        <w:pStyle w:val="Heading2"/>
      </w:pPr>
      <w:r>
        <w:t xml:space="preserve">4.4 Recommendation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Diagnosis 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Searchable dropdown backed by ICD-10 code database. Type diagnosis name or code to search. Supports multiple selections for multi-problem visits.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ICD-10 Display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Selected diagnoses show both description and ICD-10 code. Primary diagnosis marked. Codes included in note output for billing 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Assessment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Free-text clinical assessment. AI "Generate Assessment" button drafts based on HPI, exam, and selected diagnoses. User must review/edit.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Plan Builder Launch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Button opens existing Plan Builder with selected diagnosis pre-loaded. See Section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Recommendations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Editable text populated from Plan Builder selections. Supports free-text additions.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Follow-up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Structured options: 2 weeks, 1 month, 3 months, 6 months, 1 year, PRN, Custom. Return precautions field.</w:t>
            </w:r>
          </w:p>
        </w:tc>
      </w:tr>
    </w:tbl>
    <w:p>
      <w:pPr>
        <w:spacing w:before="400"/>
      </w:pPr>
      <w:r>
        <w:br w:type="page"/>
      </w:r>
    </w:p>
    <w:p>
      <w:pPr>
        <w:pStyle w:val="Heading1"/>
      </w:pPr>
      <w:r>
        <w:t xml:space="preserve">5. Plan Builder Integration</w:t>
      </w:r>
    </w:p>
    <w:p>
      <w:pPr>
        <w:spacing w:after="200"/>
      </w:pPr>
      <w:r>
        <w:rPr>
          <w:rFonts w:ascii="Arial" w:cs="Arial" w:eastAsia="Arial" w:hAnsi="Arial"/>
        </w:rPr>
        <w:t xml:space="preserve">The existing Plan Builder (prototype: index.html) provides diagnosis-specific clinical decision support. For the MVP, this proven tool integrates with the clinical note via the Recommendation tab.</w:t>
      </w:r>
    </w:p>
    <w:p>
      <w:pPr>
        <w:pStyle w:val="Heading2"/>
      </w:pPr>
      <w:r>
        <w:t xml:space="preserve">5.1 Existing Capabilities (Leverage)</w:t>
      </w:r>
    </w:p>
    <w:p>
      <w:pPr>
        <w:pStyle w:val="ListParagraph"/>
        <w:numPr>
          <w:ilvl w:val="0"/>
          <w:numId w:val="2"/>
        </w:numPr>
      </w:pPr>
      <w:r>
        <w:rPr>
          <w:rFonts w:ascii="Arial" w:cs="Arial" w:eastAsia="Arial" w:hAnsi="Arial"/>
        </w:rPr>
        <w:t xml:space="preserve">Diagnosis-specific recommendation sections: Laboratory, Imaging, Medications, Referrals, Patient Instructions</w:t>
      </w:r>
    </w:p>
    <w:p>
      <w:pPr>
        <w:pStyle w:val="ListParagraph"/>
        <w:numPr>
          <w:ilvl w:val="0"/>
          <w:numId w:val="2"/>
        </w:numPr>
      </w:pPr>
      <w:r>
        <w:rPr>
          <w:rFonts w:ascii="Arial" w:cs="Arial" w:eastAsia="Arial" w:hAnsi="Arial"/>
        </w:rPr>
        <w:t xml:space="preserve">Priority indicators (STAT, URGENT, ROUTINE) filtered by care setting (OPD)</w:t>
      </w:r>
    </w:p>
    <w:p>
      <w:pPr>
        <w:pStyle w:val="ListParagraph"/>
        <w:numPr>
          <w:ilvl w:val="0"/>
          <w:numId w:val="2"/>
        </w:numPr>
      </w:pPr>
      <w:r>
        <w:rPr>
          <w:rFonts w:ascii="Arial" w:cs="Arial" w:eastAsia="Arial" w:hAnsi="Arial"/>
        </w:rPr>
        <w:t xml:space="preserve">Checkbox selection interface with rationale on expand</w:t>
      </w:r>
    </w:p>
    <w:p>
      <w:pPr>
        <w:pStyle w:val="ListParagraph"/>
        <w:numPr>
          <w:ilvl w:val="0"/>
          <w:numId w:val="2"/>
        </w:numPr>
      </w:pPr>
      <w:r>
        <w:rPr>
          <w:rFonts w:ascii="Arial" w:cs="Arial" w:eastAsia="Arial" w:hAnsi="Arial"/>
        </w:rPr>
        <w:t xml:space="preserve">Quick Reference panels with definitions and clinical pearls</w:t>
      </w:r>
    </w:p>
    <w:p>
      <w:pPr>
        <w:pStyle w:val="ListParagraph"/>
        <w:numPr>
          <w:ilvl w:val="0"/>
          <w:numId w:val="2"/>
        </w:numPr>
      </w:pPr>
      <w:r>
        <w:rPr>
          <w:rFonts w:ascii="Arial" w:cs="Arial" w:eastAsia="Arial" w:hAnsi="Arial"/>
        </w:rPr>
        <w:t xml:space="preserve">Custom notes per section</w:t>
      </w:r>
    </w:p>
    <w:p>
      <w:pPr>
        <w:pStyle w:val="ListParagraph"/>
        <w:numPr>
          <w:ilvl w:val="0"/>
          <w:numId w:val="2"/>
        </w:numPr>
        <w:spacing w:after="200"/>
      </w:pPr>
      <w:r>
        <w:rPr>
          <w:rFonts w:ascii="Arial" w:cs="Arial" w:eastAsia="Arial" w:hAnsi="Arial"/>
        </w:rPr>
        <w:t xml:space="preserve">Copy to clipboard functionality</w:t>
      </w:r>
    </w:p>
    <w:p>
      <w:pPr>
        <w:pStyle w:val="Heading2"/>
      </w:pPr>
      <w:r>
        <w:t xml:space="preserve">5.2 MVP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Integration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Diagnosis Pass-through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Selected ICD-10 diagnosis from Recommendation tab auto-loads in Plan Builder.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Plan Transfer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"Add to Note" button transfers selected recommendations to Recommendation tab text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Venue Filter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Plan Builder defaults to OPD setting. Filters out ED/ICU-only recommendations.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Panel Display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Plan Builder opens in slide-out panel or modal over clinical note. Note remains visible.</w:t>
            </w:r>
          </w:p>
        </w:tc>
      </w:tr>
    </w:tbl>
    <w:p>
      <w:pPr>
        <w:pStyle w:val="Heading2"/>
        <w:spacing w:before="300"/>
      </w:pPr>
      <w:r>
        <w:t xml:space="preserve">5.3 ICD-10 Diagnosis Modules</w:t>
      </w:r>
    </w:p>
    <w:p>
      <w:pPr>
        <w:spacing w:after="120"/>
      </w:pPr>
      <w:r>
        <w:rPr>
          <w:rFonts w:ascii="Arial" w:cs="Arial" w:eastAsia="Arial" w:hAnsi="Arial"/>
        </w:rPr>
        <w:t xml:space="preserve">Plan Builder content organized by ICD-10 diagnosis codes. Initial MVP modules based on existing plan library:</w:t>
      </w:r>
    </w:p>
    <w:p>
      <w:pPr>
        <w:spacing w:after="120"/>
      </w:pPr>
      <w:r>
        <w:rPr>
          <w:rFonts w:ascii="Arial" w:cs="Arial" w:eastAsia="Arial" w:hAnsi="Arial"/>
          <w:i/>
          <w:iCs/>
        </w:rPr>
        <w:t xml:space="preserve">Note: Full diagnosis list and plan specifications to be provided via separate JSON configuration file containing ICD-10 codes and associated plan content.</w:t>
      </w:r>
    </w:p>
    <w:p>
      <w:pPr>
        <w:pStyle w:val="ListParagraph"/>
        <w:numPr>
          <w:ilvl w:val="0"/>
          <w:numId w:val="2"/>
        </w:numPr>
      </w:pPr>
      <w:r>
        <w:rPr>
          <w:rFonts w:ascii="Arial" w:cs="Arial" w:eastAsia="Arial" w:hAnsi="Arial"/>
          <w:b/>
          <w:bCs/>
        </w:rPr>
        <w:t xml:space="preserve">Epilepsy/Seizure: </w:t>
      </w:r>
      <w:r>
        <w:rPr>
          <w:rFonts w:ascii="Arial" w:cs="Arial" w:eastAsia="Arial" w:hAnsi="Arial"/>
        </w:rPr>
        <w:t xml:space="preserve">G40.x series - Ongoing management, ASM optimization, breakthrough evaluation</w:t>
      </w:r>
    </w:p>
    <w:p>
      <w:pPr>
        <w:pStyle w:val="ListParagraph"/>
        <w:numPr>
          <w:ilvl w:val="0"/>
          <w:numId w:val="2"/>
        </w:numPr>
      </w:pPr>
      <w:r>
        <w:rPr>
          <w:rFonts w:ascii="Arial" w:cs="Arial" w:eastAsia="Arial" w:hAnsi="Arial"/>
          <w:b/>
          <w:bCs/>
        </w:rPr>
        <w:t xml:space="preserve">Migraine: </w:t>
      </w:r>
      <w:r>
        <w:rPr>
          <w:rFonts w:ascii="Arial" w:cs="Arial" w:eastAsia="Arial" w:hAnsi="Arial"/>
        </w:rPr>
        <w:t xml:space="preserve">G43.x series - Chronic management, preventive therapy, acute treatment</w:t>
      </w:r>
    </w:p>
    <w:p>
      <w:pPr>
        <w:pStyle w:val="ListParagraph"/>
        <w:numPr>
          <w:ilvl w:val="0"/>
          <w:numId w:val="2"/>
        </w:numPr>
      </w:pPr>
      <w:r>
        <w:rPr>
          <w:rFonts w:ascii="Arial" w:cs="Arial" w:eastAsia="Arial" w:hAnsi="Arial"/>
          <w:b/>
          <w:bCs/>
        </w:rPr>
        <w:t xml:space="preserve">Stroke Follow-up: </w:t>
      </w:r>
      <w:r>
        <w:rPr>
          <w:rFonts w:ascii="Arial" w:cs="Arial" w:eastAsia="Arial" w:hAnsi="Arial"/>
        </w:rPr>
        <w:t xml:space="preserve">I63.x, I69.x - Secondary prevention, risk factor management</w:t>
      </w:r>
    </w:p>
    <w:p>
      <w:pPr>
        <w:pStyle w:val="ListParagraph"/>
        <w:numPr>
          <w:ilvl w:val="0"/>
          <w:numId w:val="2"/>
        </w:numPr>
      </w:pPr>
      <w:r>
        <w:rPr>
          <w:rFonts w:ascii="Arial" w:cs="Arial" w:eastAsia="Arial" w:hAnsi="Arial"/>
          <w:b/>
          <w:bCs/>
        </w:rPr>
        <w:t xml:space="preserve">Cognitive Impairment: </w:t>
      </w:r>
      <w:r>
        <w:rPr>
          <w:rFonts w:ascii="Arial" w:cs="Arial" w:eastAsia="Arial" w:hAnsi="Arial"/>
        </w:rPr>
        <w:t xml:space="preserve">F01.x, G30.x, R41.x - Workup, staging, caregiver support</w:t>
      </w:r>
    </w:p>
    <w:p>
      <w:pPr>
        <w:pStyle w:val="ListParagraph"/>
        <w:numPr>
          <w:ilvl w:val="0"/>
          <w:numId w:val="2"/>
        </w:numPr>
      </w:pPr>
      <w:r>
        <w:rPr>
          <w:rFonts w:ascii="Arial" w:cs="Arial" w:eastAsia="Arial" w:hAnsi="Arial"/>
          <w:b/>
          <w:bCs/>
        </w:rPr>
        <w:t xml:space="preserve">Neuropathy: </w:t>
      </w:r>
      <w:r>
        <w:rPr>
          <w:rFonts w:ascii="Arial" w:cs="Arial" w:eastAsia="Arial" w:hAnsi="Arial"/>
        </w:rPr>
        <w:t xml:space="preserve">G60.x, G62.x - Evaluation, etiology workup, symptom management</w:t>
      </w:r>
    </w:p>
    <w:p>
      <w:pPr>
        <w:pStyle w:val="ListParagraph"/>
        <w:numPr>
          <w:ilvl w:val="0"/>
          <w:numId w:val="2"/>
        </w:numPr>
      </w:pPr>
      <w:r>
        <w:rPr>
          <w:rFonts w:ascii="Arial" w:cs="Arial" w:eastAsia="Arial" w:hAnsi="Arial"/>
          <w:b/>
          <w:bCs/>
        </w:rPr>
        <w:t xml:space="preserve">Movement Disorders: </w:t>
      </w:r>
      <w:r>
        <w:rPr>
          <w:rFonts w:ascii="Arial" w:cs="Arial" w:eastAsia="Arial" w:hAnsi="Arial"/>
        </w:rPr>
        <w:t xml:space="preserve">G20, G25.x - Parkinson's, tremor, dystonia management</w:t>
      </w:r>
    </w:p>
    <w:p>
      <w:pPr>
        <w:pStyle w:val="ListParagraph"/>
        <w:numPr>
          <w:ilvl w:val="0"/>
          <w:numId w:val="2"/>
        </w:numPr>
        <w:spacing w:after="200"/>
      </w:pPr>
      <w:r>
        <w:rPr>
          <w:rFonts w:ascii="Arial" w:cs="Arial" w:eastAsia="Arial" w:hAnsi="Arial"/>
          <w:b/>
          <w:bCs/>
        </w:rPr>
        <w:t xml:space="preserve">Multiple Sclerosis: </w:t>
      </w:r>
      <w:r>
        <w:rPr>
          <w:rFonts w:ascii="Arial" w:cs="Arial" w:eastAsia="Arial" w:hAnsi="Arial"/>
        </w:rPr>
        <w:t xml:space="preserve">G35 - Disease monitoring, DMT management, symptom control</w:t>
      </w:r>
    </w:p>
    <w:p>
      <w:r>
        <w:br w:type="page"/>
      </w:r>
    </w:p>
    <w:p>
      <w:pPr>
        <w:pStyle w:val="Heading1"/>
      </w:pPr>
      <w:r>
        <w:t xml:space="preserve">6. Schedule View Integration</w:t>
      </w:r>
    </w:p>
    <w:p>
      <w:pPr>
        <w:spacing w:after="200"/>
      </w:pPr>
      <w:r>
        <w:rPr>
          <w:rFonts w:ascii="Arial" w:cs="Arial" w:eastAsia="Arial" w:hAnsi="Arial"/>
        </w:rPr>
        <w:t xml:space="preserve">The Schedule View has been designed in Figma and is ready for development. This section documents the integration between Schedule View and Clinical Note.</w:t>
      </w:r>
    </w:p>
    <w:p>
      <w:pPr>
        <w:pStyle w:val="Heading2"/>
      </w:pPr>
      <w:r>
        <w:t xml:space="preserve">6.1 Existing Figma Design (Reference)</w:t>
      </w:r>
    </w:p>
    <w:p>
      <w:pPr>
        <w:pStyle w:val="ListParagraph"/>
        <w:numPr>
          <w:ilvl w:val="0"/>
          <w:numId w:val="2"/>
        </w:numPr>
      </w:pPr>
      <w:r>
        <w:rPr>
          <w:rFonts w:ascii="Arial" w:cs="Arial" w:eastAsia="Arial" w:hAnsi="Arial"/>
        </w:rPr>
        <w:t xml:space="preserve">Daily/weekly schedule display with appointment slots</w:t>
      </w:r>
    </w:p>
    <w:p>
      <w:pPr>
        <w:pStyle w:val="ListParagraph"/>
        <w:numPr>
          <w:ilvl w:val="0"/>
          <w:numId w:val="2"/>
        </w:numPr>
      </w:pPr>
      <w:r>
        <w:rPr>
          <w:rFonts w:ascii="Arial" w:cs="Arial" w:eastAsia="Arial" w:hAnsi="Arial"/>
        </w:rPr>
        <w:t xml:space="preserve">Patient identification (name, MRN, appointment time)</w:t>
      </w:r>
    </w:p>
    <w:p>
      <w:pPr>
        <w:pStyle w:val="ListParagraph"/>
        <w:numPr>
          <w:ilvl w:val="0"/>
          <w:numId w:val="2"/>
        </w:numPr>
      </w:pPr>
      <w:r>
        <w:rPr>
          <w:rFonts w:ascii="Arial" w:cs="Arial" w:eastAsia="Arial" w:hAnsi="Arial"/>
        </w:rPr>
        <w:t xml:space="preserve">Status indicators (scheduled, in progress, completed)</w:t>
      </w:r>
    </w:p>
    <w:p>
      <w:pPr>
        <w:pStyle w:val="ListParagraph"/>
        <w:numPr>
          <w:ilvl w:val="0"/>
          <w:numId w:val="2"/>
        </w:numPr>
        <w:spacing w:after="200"/>
      </w:pPr>
      <w:r>
        <w:rPr>
          <w:rFonts w:ascii="Arial" w:cs="Arial" w:eastAsia="Arial" w:hAnsi="Arial"/>
        </w:rPr>
        <w:t xml:space="preserve">Visual design consistent with Synapse platform</w:t>
      </w:r>
    </w:p>
    <w:p>
      <w:pPr>
        <w:pStyle w:val="Heading2"/>
      </w:pPr>
      <w:r>
        <w:t xml:space="preserve">6.2 Schedule-to-Note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Function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 Encounter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Click patient in schedule opens Clinical Note with patient context pre-loaded.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Reason Pre-fill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Scheduled appointment reason auto-populates "Reason for Consult"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Status Sync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Note progress updates schedule status: Not started, In progress, Completed, Signed.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Return Navigation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"Back to Schedule" returns to Schedule View with current position preserved.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Note Status Badge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Schedule shows documentation status for each appointment.</w:t>
            </w:r>
          </w:p>
        </w:tc>
      </w:tr>
    </w:tbl>
    <w:p>
      <w:pPr>
        <w:spacing w:before="400"/>
      </w:pPr>
      <w:r>
        <w:br w:type="page"/>
      </w:r>
    </w:p>
    <w:p>
      <w:pPr>
        <w:pStyle w:val="Heading1"/>
      </w:pPr>
      <w:r>
        <w:t xml:space="preserve">7. Documentation Output</w:t>
      </w:r>
    </w:p>
    <w:p>
      <w:pPr>
        <w:spacing w:after="200"/>
      </w:pPr>
      <w:r>
        <w:rPr>
          <w:rFonts w:ascii="Arial" w:cs="Arial" w:eastAsia="Arial" w:hAnsi="Arial"/>
        </w:rPr>
        <w:t xml:space="preserve">Dual output supports Phase 1 model where partner hospitals handle billing via their EHR while Sevaro maintains structured internal records.</w:t>
      </w:r>
    </w:p>
    <w:p>
      <w:pPr>
        <w:pStyle w:val="Heading2"/>
      </w:pPr>
      <w:r>
        <w:t xml:space="preserve">7.1 Copy-Paste to EHR (Plain Text)</w:t>
      </w:r>
    </w:p>
    <w:p>
      <w:pPr>
        <w:spacing w:after="120"/>
      </w:pPr>
      <w:r>
        <w:rPr>
          <w:rFonts w:ascii="Arial" w:cs="Arial" w:eastAsia="Arial" w:hAnsi="Arial"/>
        </w:rPr>
        <w:t xml:space="preserve">Primary output method. Note formatted as plain text optimized for pasting into any EHR system.</w:t>
      </w:r>
    </w:p>
    <w:p>
      <w:pPr>
        <w:pStyle w:val="Heading3"/>
      </w:pPr>
      <w:r>
        <w:t xml:space="preserve">Plain Text Formatting Principles</w:t>
      </w:r>
    </w:p>
    <w:p>
      <w:pPr>
        <w:pStyle w:val="ListParagraph"/>
        <w:numPr>
          <w:ilvl w:val="0"/>
          <w:numId w:val="2"/>
        </w:numPr>
      </w:pPr>
      <w:r>
        <w:rPr>
          <w:rFonts w:ascii="Arial" w:cs="Arial" w:eastAsia="Arial" w:hAnsi="Arial"/>
        </w:rPr>
        <w:t xml:space="preserve">No special characters, Unicode symbols, or formatting that may render incorrectly</w:t>
      </w:r>
    </w:p>
    <w:p>
      <w:pPr>
        <w:pStyle w:val="ListParagraph"/>
        <w:numPr>
          <w:ilvl w:val="0"/>
          <w:numId w:val="2"/>
        </w:numPr>
      </w:pPr>
      <w:r>
        <w:rPr>
          <w:rFonts w:ascii="Arial" w:cs="Arial" w:eastAsia="Arial" w:hAnsi="Arial"/>
        </w:rPr>
        <w:t xml:space="preserve">Section headers in ALL CAPS with colon (e.g., "HISTORY OF PRESENT ILLNESS:")</w:t>
      </w:r>
    </w:p>
    <w:p>
      <w:pPr>
        <w:pStyle w:val="ListParagraph"/>
        <w:numPr>
          <w:ilvl w:val="0"/>
          <w:numId w:val="2"/>
        </w:numPr>
      </w:pPr>
      <w:r>
        <w:rPr>
          <w:rFonts w:ascii="Arial" w:cs="Arial" w:eastAsia="Arial" w:hAnsi="Arial"/>
        </w:rPr>
        <w:t xml:space="preserve">Consistent indentation using spaces, not tabs</w:t>
      </w:r>
    </w:p>
    <w:p>
      <w:pPr>
        <w:pStyle w:val="ListParagraph"/>
        <w:numPr>
          <w:ilvl w:val="0"/>
          <w:numId w:val="2"/>
        </w:numPr>
      </w:pPr>
      <w:r>
        <w:rPr>
          <w:rFonts w:ascii="Arial" w:cs="Arial" w:eastAsia="Arial" w:hAnsi="Arial"/>
        </w:rPr>
        <w:t xml:space="preserve">Line breaks between sections for readability</w:t>
      </w:r>
    </w:p>
    <w:p>
      <w:pPr>
        <w:pStyle w:val="ListParagraph"/>
        <w:numPr>
          <w:ilvl w:val="0"/>
          <w:numId w:val="2"/>
        </w:numPr>
      </w:pPr>
      <w:r>
        <w:rPr>
          <w:rFonts w:ascii="Arial" w:cs="Arial" w:eastAsia="Arial" w:hAnsi="Arial"/>
        </w:rPr>
        <w:t xml:space="preserve">Lists use simple dashes or numbers, no bullet characters</w:t>
      </w:r>
    </w:p>
    <w:p>
      <w:pPr>
        <w:pStyle w:val="ListParagraph"/>
        <w:numPr>
          <w:ilvl w:val="0"/>
          <w:numId w:val="2"/>
        </w:numPr>
        <w:spacing w:after="200"/>
      </w:pPr>
      <w:r>
        <w:rPr>
          <w:rFonts w:ascii="Arial" w:cs="Arial" w:eastAsia="Arial" w:hAnsi="Arial"/>
        </w:rPr>
        <w:t xml:space="preserve">ICD-10 codes included inline with diagnoses for billing reference</w:t>
      </w:r>
    </w:p>
    <w:p>
      <w:pPr>
        <w:pStyle w:val="Heading3"/>
      </w:pPr>
      <w:r>
        <w:t xml:space="preserve">Note Template (Plain Text)</w:t>
      </w:r>
    </w:p>
    <w:p>
      <w:pPr>
        <w:shd w:fill="F5F5F5" w:val="clear"/>
        <w:spacing w:after="200"/>
      </w:pPr>
      <w:r>
        <w:rPr>
          <w:rFonts w:ascii="Courier New" w:cs="Courier New" w:eastAsia="Courier New" w:hAnsi="Courier New"/>
          <w:sz w:val="18"/>
          <w:szCs w:val="18"/>
        </w:rPr>
        <w:t xml:space="preserve">OUTPATIENT NEUROLOGY CONSULTATION
PATIENT: [Last, First] | MRN: [Number] | DOB: [MM/DD/YYYY]
DATE OF SERVICE: [MM/DD/YYYY]
PROVIDER: [Neurologist Name], MD
VISIT TYPE: [New Patient / Follow-up] - Telemedicine
CHIEF COMPLAINT:
[Reason for visit]
HISTORY OF PRESENT ILLNESS:
[HPI narrative text]
CLINICAL SCALES:
- [Scale Name]: [Score] ([Interpretation])
- [Scale Name]: [Score] ([Interpretation])
REVIEW OF SYSTEMS:
[ROS summary - negative unless otherwise noted]
RELEVANT RESULTS:
- MRI Brain ([Date]): [Key findings]
- EEG ([Date]): [Key findings]
- Labs ([Date]): [Relevant values]
NEUROLOGICAL EXAMINATION:
Mental Status: [Findings]
Cranial Nerves: [Findings]
Motor: [Findings]
Sensory: [Findings]
Reflexes: [Findings]
Coordination: [Findings]
Gait: [Findings or "Not evaluated - telemedicine"]
ASSESSMENT:
1. [Primary Diagnosis] - [ICD-10 code]
2. [Secondary Diagnosis] - [ICD-10 code]
[Clinical impression narrative]
PLAN:
1. [First plan item]
2. [Second plan item]
3. [Third plan item]
FOLLOW-UP:
Return in [timeframe] or sooner if [return precautions].
---
Electronically signed by [Provider Name], MD
[Date and Time]
Sevaro Health - Virtual Neurology Services</w:t>
      </w:r>
    </w:p>
    <w:p>
      <w:pPr>
        <w:pStyle w:val="Heading2"/>
      </w:pPr>
      <w:r>
        <w:t xml:space="preserve">7.2 Synapse Internal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Structured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fields stored in structured format: discrete data elements for scales, diagnoses, exam findings. Enables analytics and trending.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Auto-Save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Continuous auto-save as user documents. No data loss on disconnection.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Prior Note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Previous encounters accessible via left sidebar. Click to view in readable format.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AI Summary Generation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Auto-generated visit summaries for quick review of patient history.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Scale Trending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Clinical scale scores tracked over time. Visual trend display available.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Sign &amp; Complete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Final attestation locks note. Timestamp and provider recorded. Audit trail maintained.</w:t>
            </w:r>
          </w:p>
        </w:tc>
      </w:tr>
    </w:tbl>
    <w:p>
      <w:r>
        <w:br w:type="page"/>
      </w:r>
    </w:p>
    <w:p>
      <w:pPr>
        <w:pStyle w:val="Heading1"/>
      </w:pPr>
      <w:r>
        <w:t xml:space="preserve">8. Technical Requirements</w:t>
      </w:r>
    </w:p>
    <w:p>
      <w:pPr>
        <w:pStyle w:val="Heading2"/>
      </w:pPr>
      <w:r>
        <w:t xml:space="preserve">8.1 Platform</w:t>
      </w:r>
    </w:p>
    <w:p>
      <w:pPr>
        <w:pStyle w:val="ListParagraph"/>
        <w:numPr>
          <w:ilvl w:val="0"/>
          <w:numId w:val="2"/>
        </w:numPr>
      </w:pPr>
      <w:r>
        <w:rPr>
          <w:rFonts w:ascii="Arial" w:cs="Arial" w:eastAsia="Arial" w:hAnsi="Arial"/>
        </w:rPr>
        <w:t xml:space="preserve">Built within existing Synapse platform architecture</w:t>
      </w:r>
    </w:p>
    <w:p>
      <w:pPr>
        <w:pStyle w:val="ListParagraph"/>
        <w:numPr>
          <w:ilvl w:val="0"/>
          <w:numId w:val="2"/>
        </w:numPr>
      </w:pPr>
      <w:r>
        <w:rPr>
          <w:rFonts w:ascii="Arial" w:cs="Arial" w:eastAsia="Arial" w:hAnsi="Arial"/>
        </w:rPr>
        <w:t xml:space="preserve">Web-based, compatible with Chrome, Edge, Safari (latest versions)</w:t>
      </w:r>
    </w:p>
    <w:p>
      <w:pPr>
        <w:pStyle w:val="ListParagraph"/>
        <w:numPr>
          <w:ilvl w:val="0"/>
          <w:numId w:val="2"/>
        </w:numPr>
      </w:pPr>
      <w:r>
        <w:rPr>
          <w:rFonts w:ascii="Arial" w:cs="Arial" w:eastAsia="Arial" w:hAnsi="Arial"/>
        </w:rPr>
        <w:t xml:space="preserve">Responsive design for desktop (primary) and tablet</w:t>
      </w:r>
    </w:p>
    <w:p>
      <w:pPr>
        <w:pStyle w:val="ListParagraph"/>
        <w:numPr>
          <w:ilvl w:val="0"/>
          <w:numId w:val="2"/>
        </w:numPr>
        <w:spacing w:after="200"/>
      </w:pPr>
      <w:r>
        <w:rPr>
          <w:rFonts w:ascii="Arial" w:cs="Arial" w:eastAsia="Arial" w:hAnsi="Arial"/>
        </w:rPr>
        <w:t xml:space="preserve">HIPAA-compliant data handling</w:t>
      </w:r>
    </w:p>
    <w:p>
      <w:pPr>
        <w:pStyle w:val="Heading2"/>
      </w:pPr>
      <w:r>
        <w:t xml:space="preserve">8.2 Data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Data Element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ICD-10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Searchable database of neurology-relevant ICD-10 codes. Updated annually.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Plan Builder Content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JSON-structured diagnosis plans. Curated by clinical team. Version controlled.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Clinical Scales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Validated scale scoring logic. Auto-calculation. Interpretation thresholds.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Patient Records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Structured storage for encounters, imaging entries, scale scores. Supports historical queries.</w:t>
            </w:r>
          </w:p>
        </w:tc>
      </w:tr>
    </w:tbl>
    <w:p>
      <w:pPr>
        <w:pStyle w:val="Heading2"/>
        <w:spacing w:before="300"/>
      </w:pPr>
      <w:r>
        <w:t xml:space="preserve">8.3 AI/ML Features (MVP)</w:t>
      </w:r>
    </w:p>
    <w:p>
      <w:pPr>
        <w:pStyle w:val="ListParagraph"/>
        <w:numPr>
          <w:ilvl w:val="0"/>
          <w:numId w:val="2"/>
        </w:numPr>
      </w:pPr>
      <w:r>
        <w:rPr>
          <w:rFonts w:ascii="Arial" w:cs="Arial" w:eastAsia="Arial" w:hAnsi="Arial"/>
          <w:b/>
          <w:bCs/>
        </w:rPr>
        <w:t xml:space="preserve">AI Visit Summary: </w:t>
      </w:r>
      <w:r>
        <w:rPr>
          <w:rFonts w:ascii="Arial" w:cs="Arial" w:eastAsia="Arial" w:hAnsi="Arial"/>
        </w:rPr>
        <w:t xml:space="preserve">Generates summary of prior visits from structured data. Highlights key diagnoses, medication changes, pending items.</w:t>
      </w:r>
    </w:p>
    <w:p>
      <w:pPr>
        <w:pStyle w:val="ListParagraph"/>
        <w:numPr>
          <w:ilvl w:val="0"/>
          <w:numId w:val="2"/>
        </w:numPr>
      </w:pPr>
      <w:r>
        <w:rPr>
          <w:rFonts w:ascii="Arial" w:cs="Arial" w:eastAsia="Arial" w:hAnsi="Arial"/>
          <w:b/>
          <w:bCs/>
        </w:rPr>
        <w:t xml:space="preserve">Generate Assessment: </w:t>
      </w:r>
      <w:r>
        <w:rPr>
          <w:rFonts w:ascii="Arial" w:cs="Arial" w:eastAsia="Arial" w:hAnsi="Arial"/>
        </w:rPr>
        <w:t xml:space="preserve">Drafts clinical assessment based on documented HPI, exam, diagnoses. User must review and edit.</w:t>
      </w:r>
    </w:p>
    <w:p>
      <w:pPr>
        <w:pStyle w:val="ListParagraph"/>
        <w:numPr>
          <w:ilvl w:val="0"/>
          <w:numId w:val="2"/>
        </w:numPr>
        <w:spacing w:after="200"/>
      </w:pPr>
      <w:r>
        <w:rPr>
          <w:rFonts w:ascii="Arial" w:cs="Arial" w:eastAsia="Arial" w:hAnsi="Arial"/>
          <w:b/>
          <w:bCs/>
        </w:rPr>
        <w:t xml:space="preserve">Plan Builder: </w:t>
      </w:r>
      <w:r>
        <w:rPr>
          <w:rFonts w:ascii="Arial" w:cs="Arial" w:eastAsia="Arial" w:hAnsi="Arial"/>
        </w:rPr>
        <w:t xml:space="preserve">Rule-based recommendation engine (existing). Not ML-dependent.</w:t>
      </w:r>
    </w:p>
    <w:p>
      <w:pPr>
        <w:pStyle w:val="Heading2"/>
      </w:pPr>
      <w:r>
        <w:t xml:space="preserve">8.4 Performance</w:t>
      </w:r>
    </w:p>
    <w:p>
      <w:pPr>
        <w:pStyle w:val="ListParagraph"/>
        <w:numPr>
          <w:ilvl w:val="0"/>
          <w:numId w:val="2"/>
        </w:numPr>
      </w:pPr>
      <w:r>
        <w:rPr>
          <w:rFonts w:ascii="Arial" w:cs="Arial" w:eastAsia="Arial" w:hAnsi="Arial"/>
        </w:rPr>
        <w:t xml:space="preserve">Page load &lt; 3 seconds</w:t>
      </w:r>
    </w:p>
    <w:p>
      <w:pPr>
        <w:pStyle w:val="ListParagraph"/>
        <w:numPr>
          <w:ilvl w:val="0"/>
          <w:numId w:val="2"/>
        </w:numPr>
      </w:pPr>
      <w:r>
        <w:rPr>
          <w:rFonts w:ascii="Arial" w:cs="Arial" w:eastAsia="Arial" w:hAnsi="Arial"/>
        </w:rPr>
        <w:t xml:space="preserve">Auto-save latency &lt; 2 seconds</w:t>
      </w:r>
    </w:p>
    <w:p>
      <w:pPr>
        <w:pStyle w:val="ListParagraph"/>
        <w:numPr>
          <w:ilvl w:val="0"/>
          <w:numId w:val="2"/>
        </w:numPr>
      </w:pPr>
      <w:r>
        <w:rPr>
          <w:rFonts w:ascii="Arial" w:cs="Arial" w:eastAsia="Arial" w:hAnsi="Arial"/>
        </w:rPr>
        <w:t xml:space="preserve">AI summary generation &lt; 5 seconds</w:t>
      </w:r>
    </w:p>
    <w:p>
      <w:pPr>
        <w:pStyle w:val="ListParagraph"/>
        <w:numPr>
          <w:ilvl w:val="0"/>
          <w:numId w:val="2"/>
        </w:numPr>
        <w:spacing w:after="200"/>
      </w:pPr>
      <w:r>
        <w:rPr>
          <w:rFonts w:ascii="Arial" w:cs="Arial" w:eastAsia="Arial" w:hAnsi="Arial"/>
        </w:rPr>
        <w:t xml:space="preserve">99.5% uptime during business hours</w:t>
      </w:r>
    </w:p>
    <w:p>
      <w:r>
        <w:br w:type="page"/>
      </w:r>
    </w:p>
    <w:p>
      <w:pPr>
        <w:pStyle w:val="Heading1"/>
      </w:pPr>
      <w:r>
        <w:t xml:space="preserve">9. Success Metrics</w:t>
      </w:r>
    </w:p>
    <w:p>
      <w:pPr>
        <w:pStyle w:val="Heading2"/>
      </w:pPr>
      <w:r>
        <w:t xml:space="preserve">9.1 MVP Launch Criteria</w:t>
      </w:r>
    </w:p>
    <w:p>
      <w:pPr>
        <w:pStyle w:val="ListParagraph"/>
        <w:numPr>
          <w:ilvl w:val="0"/>
          <w:numId w:val="2"/>
        </w:numPr>
      </w:pPr>
      <w:r>
        <w:rPr>
          <w:rFonts w:ascii="Arial" w:cs="Arial" w:eastAsia="Arial" w:hAnsi="Arial"/>
        </w:rPr>
        <w:t xml:space="preserve">Complete clinical note workflow functional (all 4 tabs)</w:t>
      </w:r>
    </w:p>
    <w:p>
      <w:pPr>
        <w:pStyle w:val="ListParagraph"/>
        <w:numPr>
          <w:ilvl w:val="0"/>
          <w:numId w:val="2"/>
        </w:numPr>
      </w:pPr>
      <w:r>
        <w:rPr>
          <w:rFonts w:ascii="Arial" w:cs="Arial" w:eastAsia="Arial" w:hAnsi="Arial"/>
        </w:rPr>
        <w:t xml:space="preserve">Prior visit viewer with AI summary operational</w:t>
      </w:r>
    </w:p>
    <w:p>
      <w:pPr>
        <w:pStyle w:val="ListParagraph"/>
        <w:numPr>
          <w:ilvl w:val="0"/>
          <w:numId w:val="2"/>
        </w:numPr>
      </w:pPr>
      <w:r>
        <w:rPr>
          <w:rFonts w:ascii="Arial" w:cs="Arial" w:eastAsia="Arial" w:hAnsi="Arial"/>
        </w:rPr>
        <w:t xml:space="preserve">Clinical scales integrated (minimum: MIDAS, MoCA, PHQ-9)</w:t>
      </w:r>
    </w:p>
    <w:p>
      <w:pPr>
        <w:pStyle w:val="ListParagraph"/>
        <w:numPr>
          <w:ilvl w:val="0"/>
          <w:numId w:val="2"/>
        </w:numPr>
      </w:pPr>
      <w:r>
        <w:rPr>
          <w:rFonts w:ascii="Arial" w:cs="Arial" w:eastAsia="Arial" w:hAnsi="Arial"/>
        </w:rPr>
        <w:t xml:space="preserve">Plan Builder integrated with minimum 5 diagnosis modules</w:t>
      </w:r>
    </w:p>
    <w:p>
      <w:pPr>
        <w:pStyle w:val="ListParagraph"/>
        <w:numPr>
          <w:ilvl w:val="0"/>
          <w:numId w:val="2"/>
        </w:numPr>
      </w:pPr>
      <w:r>
        <w:rPr>
          <w:rFonts w:ascii="Arial" w:cs="Arial" w:eastAsia="Arial" w:hAnsi="Arial"/>
        </w:rPr>
        <w:t xml:space="preserve">Plain-text output validated with Epic and Cerner</w:t>
      </w:r>
    </w:p>
    <w:p>
      <w:pPr>
        <w:pStyle w:val="ListParagraph"/>
        <w:numPr>
          <w:ilvl w:val="0"/>
          <w:numId w:val="2"/>
        </w:numPr>
        <w:spacing w:after="200"/>
      </w:pPr>
      <w:r>
        <w:rPr>
          <w:rFonts w:ascii="Arial" w:cs="Arial" w:eastAsia="Arial" w:hAnsi="Arial"/>
        </w:rPr>
        <w:t xml:space="preserve">Clinical validation by 3+ Sevaro neurologists</w:t>
      </w:r>
    </w:p>
    <w:p>
      <w:pPr>
        <w:pStyle w:val="Heading2"/>
      </w:pPr>
      <w:r>
        <w:t xml:space="preserve">9.2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Metric</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Target</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Measurement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Documentation Time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&lt; 12 min per encounter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Time tracking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Note Completion Rate</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&gt; 95% same-day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Signed / encounters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Plan Builder Usage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&gt; 75% of encounters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Opens / total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Scale Completion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&gt; 80% when indicated</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Completed / indicated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Prior Visit Review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&gt; 60% for follow-ups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Sidebar opens / f/u</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User Satisfaction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&gt; 4.0 / 5.0</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Survey</w:t>
            </w:r>
          </w:p>
        </w:tc>
      </w:tr>
    </w:tbl>
    <w:p>
      <w:pPr>
        <w:pStyle w:val="Heading1"/>
        <w:spacing w:before="400"/>
      </w:pPr>
      <w:r>
        <w:t xml:space="preserve">10. Out of Scope (MVP)</w:t>
      </w:r>
    </w:p>
    <w:p>
      <w:pPr>
        <w:pStyle w:val="ListParagraph"/>
        <w:numPr>
          <w:ilvl w:val="0"/>
          <w:numId w:val="2"/>
        </w:numPr>
      </w:pPr>
      <w:r>
        <w:rPr>
          <w:rFonts w:ascii="Arial" w:cs="Arial" w:eastAsia="Arial" w:hAnsi="Arial"/>
        </w:rPr>
        <w:t xml:space="preserve">Direct EHR integration (write-back, order placement)</w:t>
      </w:r>
    </w:p>
    <w:p>
      <w:pPr>
        <w:pStyle w:val="ListParagraph"/>
        <w:numPr>
          <w:ilvl w:val="0"/>
          <w:numId w:val="2"/>
        </w:numPr>
      </w:pPr>
      <w:r>
        <w:rPr>
          <w:rFonts w:ascii="Arial" w:cs="Arial" w:eastAsia="Arial" w:hAnsi="Arial"/>
        </w:rPr>
        <w:t xml:space="preserve">Billing and claims submission</w:t>
      </w:r>
    </w:p>
    <w:p>
      <w:pPr>
        <w:pStyle w:val="ListParagraph"/>
        <w:numPr>
          <w:ilvl w:val="0"/>
          <w:numId w:val="2"/>
        </w:numPr>
      </w:pPr>
      <w:r>
        <w:rPr>
          <w:rFonts w:ascii="Arial" w:cs="Arial" w:eastAsia="Arial" w:hAnsi="Arial"/>
        </w:rPr>
        <w:t xml:space="preserve">Patient-facing portal or messaging</w:t>
      </w:r>
    </w:p>
    <w:p>
      <w:pPr>
        <w:pStyle w:val="ListParagraph"/>
        <w:numPr>
          <w:ilvl w:val="0"/>
          <w:numId w:val="2"/>
        </w:numPr>
      </w:pPr>
      <w:r>
        <w:rPr>
          <w:rFonts w:ascii="Arial" w:cs="Arial" w:eastAsia="Arial" w:hAnsi="Arial"/>
        </w:rPr>
        <w:t xml:space="preserve">E-prescribing integration</w:t>
      </w:r>
    </w:p>
    <w:p>
      <w:pPr>
        <w:pStyle w:val="ListParagraph"/>
        <w:numPr>
          <w:ilvl w:val="0"/>
          <w:numId w:val="2"/>
        </w:numPr>
      </w:pPr>
      <w:r>
        <w:rPr>
          <w:rFonts w:ascii="Arial" w:cs="Arial" w:eastAsia="Arial" w:hAnsi="Arial"/>
        </w:rPr>
        <w:t xml:space="preserve">Lab/imaging order placement</w:t>
      </w:r>
    </w:p>
    <w:p>
      <w:pPr>
        <w:pStyle w:val="ListParagraph"/>
        <w:numPr>
          <w:ilvl w:val="0"/>
          <w:numId w:val="2"/>
        </w:numPr>
      </w:pPr>
      <w:r>
        <w:rPr>
          <w:rFonts w:ascii="Arial" w:cs="Arial" w:eastAsia="Arial" w:hAnsi="Arial"/>
        </w:rPr>
        <w:t xml:space="preserve">Embedded video telemedicine</w:t>
      </w:r>
    </w:p>
    <w:p>
      <w:pPr>
        <w:pStyle w:val="ListParagraph"/>
        <w:numPr>
          <w:ilvl w:val="0"/>
          <w:numId w:val="2"/>
        </w:numPr>
      </w:pPr>
      <w:r>
        <w:rPr>
          <w:rFonts w:ascii="Arial" w:cs="Arial" w:eastAsia="Arial" w:hAnsi="Arial"/>
        </w:rPr>
        <w:t xml:space="preserve">Ambient listening / auto-documentation</w:t>
      </w:r>
    </w:p>
    <w:p>
      <w:pPr>
        <w:pStyle w:val="ListParagraph"/>
        <w:numPr>
          <w:ilvl w:val="0"/>
          <w:numId w:val="2"/>
        </w:numPr>
        <w:spacing w:after="200"/>
      </w:pPr>
      <w:r>
        <w:rPr>
          <w:rFonts w:ascii="Arial" w:cs="Arial" w:eastAsia="Arial" w:hAnsi="Arial"/>
        </w:rPr>
        <w:t xml:space="preserve">Multi-language support</w:t>
      </w:r>
    </w:p>
    <w:p>
      <w:r>
        <w:br w:type="page"/>
      </w:r>
    </w:p>
    <w:p>
      <w:pPr>
        <w:pStyle w:val="Heading1"/>
      </w:pPr>
      <w:r>
        <w:t xml:space="preserve">Appendix</w:t>
      </w:r>
    </w:p>
    <w:p>
      <w:pPr>
        <w:pStyle w:val="Heading2"/>
      </w:pPr>
      <w:r>
        <w:t xml:space="preserve">A. Related Assets</w:t>
      </w:r>
    </w:p>
    <w:p>
      <w:pPr>
        <w:pStyle w:val="ListParagraph"/>
        <w:numPr>
          <w:ilvl w:val="0"/>
          <w:numId w:val="2"/>
        </w:numPr>
      </w:pPr>
      <w:r>
        <w:rPr>
          <w:rFonts w:ascii="Arial" w:cs="Arial" w:eastAsia="Arial" w:hAnsi="Arial"/>
        </w:rPr>
        <w:t xml:space="preserve">Figma: Schedule View design (completed)</w:t>
      </w:r>
    </w:p>
    <w:p>
      <w:pPr>
        <w:pStyle w:val="ListParagraph"/>
        <w:numPr>
          <w:ilvl w:val="0"/>
          <w:numId w:val="2"/>
        </w:numPr>
      </w:pPr>
      <w:r>
        <w:rPr>
          <w:rFonts w:ascii="Arial" w:cs="Arial" w:eastAsia="Arial" w:hAnsi="Arial"/>
        </w:rPr>
        <w:t xml:space="preserve">Prototype: Plan Builder (index.html)</w:t>
      </w:r>
    </w:p>
    <w:p>
      <w:pPr>
        <w:pStyle w:val="ListParagraph"/>
        <w:numPr>
          <w:ilvl w:val="0"/>
          <w:numId w:val="2"/>
        </w:numPr>
      </w:pPr>
      <w:r>
        <w:rPr>
          <w:rFonts w:ascii="Arial" w:cs="Arial" w:eastAsia="Arial" w:hAnsi="Arial"/>
        </w:rPr>
        <w:t xml:space="preserve">Screenshots: Hospital Synapse clinical note interface</w:t>
      </w:r>
    </w:p>
    <w:p>
      <w:pPr>
        <w:pStyle w:val="ListParagraph"/>
        <w:numPr>
          <w:ilvl w:val="0"/>
          <w:numId w:val="2"/>
        </w:numPr>
      </w:pPr>
      <w:r>
        <w:rPr>
          <w:rFonts w:ascii="Arial" w:cs="Arial" w:eastAsia="Arial" w:hAnsi="Arial"/>
        </w:rPr>
        <w:t xml:space="preserve">Document: Sevaro Outpatient Launch Framework v6</w:t>
      </w:r>
    </w:p>
    <w:p>
      <w:pPr>
        <w:pStyle w:val="ListParagraph"/>
        <w:numPr>
          <w:ilvl w:val="0"/>
          <w:numId w:val="2"/>
        </w:numPr>
        <w:spacing w:after="200"/>
      </w:pPr>
      <w:r>
        <w:rPr>
          <w:rFonts w:ascii="Arial" w:cs="Arial" w:eastAsia="Arial" w:hAnsi="Arial"/>
        </w:rPr>
        <w:t xml:space="preserve">JSON: Diagnosis plans and ICD-10 mappings (TBD)</w:t>
      </w:r>
    </w:p>
    <w:p>
      <w:pPr>
        <w:pStyle w:val="Heading2"/>
      </w:pPr>
      <w:r>
        <w:t xml:space="preserve">B. Glossary</w:t>
      </w:r>
    </w:p>
    <w:p>
      <w:pPr>
        <w:pStyle w:val="ListParagraph"/>
        <w:numPr>
          <w:ilvl w:val="0"/>
          <w:numId w:val="2"/>
        </w:numPr>
      </w:pPr>
      <w:r>
        <w:rPr>
          <w:rFonts w:ascii="Arial" w:cs="Arial" w:eastAsia="Arial" w:hAnsi="Arial"/>
          <w:b/>
          <w:bCs/>
        </w:rPr>
        <w:t xml:space="preserve">Synapse: </w:t>
      </w:r>
      <w:r>
        <w:rPr>
          <w:rFonts w:ascii="Arial" w:cs="Arial" w:eastAsia="Arial" w:hAnsi="Arial"/>
        </w:rPr>
        <w:t xml:space="preserve">Sevaro proprietary clinical platform</w:t>
      </w:r>
    </w:p>
    <w:p>
      <w:pPr>
        <w:pStyle w:val="ListParagraph"/>
        <w:numPr>
          <w:ilvl w:val="0"/>
          <w:numId w:val="2"/>
        </w:numPr>
      </w:pPr>
      <w:r>
        <w:rPr>
          <w:rFonts w:ascii="Arial" w:cs="Arial" w:eastAsia="Arial" w:hAnsi="Arial"/>
          <w:b/>
          <w:bCs/>
        </w:rPr>
        <w:t xml:space="preserve">Plan Builder: </w:t>
      </w:r>
      <w:r>
        <w:rPr>
          <w:rFonts w:ascii="Arial" w:cs="Arial" w:eastAsia="Arial" w:hAnsi="Arial"/>
        </w:rPr>
        <w:t xml:space="preserve">CDS tool providing diagnosis-specific recommendations</w:t>
      </w:r>
    </w:p>
    <w:p>
      <w:pPr>
        <w:pStyle w:val="ListParagraph"/>
        <w:numPr>
          <w:ilvl w:val="0"/>
          <w:numId w:val="2"/>
        </w:numPr>
      </w:pPr>
      <w:r>
        <w:rPr>
          <w:rFonts w:ascii="Arial" w:cs="Arial" w:eastAsia="Arial" w:hAnsi="Arial"/>
          <w:b/>
          <w:bCs/>
        </w:rPr>
        <w:t xml:space="preserve">OPD: </w:t>
      </w:r>
      <w:r>
        <w:rPr>
          <w:rFonts w:ascii="Arial" w:cs="Arial" w:eastAsia="Arial" w:hAnsi="Arial"/>
        </w:rPr>
        <w:t xml:space="preserve">Outpatient Department setting</w:t>
      </w:r>
    </w:p>
    <w:p>
      <w:pPr>
        <w:pStyle w:val="ListParagraph"/>
        <w:numPr>
          <w:ilvl w:val="0"/>
          <w:numId w:val="2"/>
        </w:numPr>
      </w:pPr>
      <w:r>
        <w:rPr>
          <w:rFonts w:ascii="Arial" w:cs="Arial" w:eastAsia="Arial" w:hAnsi="Arial"/>
          <w:b/>
          <w:bCs/>
        </w:rPr>
        <w:t xml:space="preserve">E/M: </w:t>
      </w:r>
      <w:r>
        <w:rPr>
          <w:rFonts w:ascii="Arial" w:cs="Arial" w:eastAsia="Arial" w:hAnsi="Arial"/>
        </w:rPr>
        <w:t xml:space="preserve">Evaluation and Management (billing codes)</w:t>
      </w:r>
    </w:p>
    <w:p>
      <w:pPr>
        <w:pStyle w:val="ListParagraph"/>
        <w:numPr>
          <w:ilvl w:val="0"/>
          <w:numId w:val="2"/>
        </w:numPr>
      </w:pPr>
      <w:r>
        <w:rPr>
          <w:rFonts w:ascii="Arial" w:cs="Arial" w:eastAsia="Arial" w:hAnsi="Arial"/>
          <w:b/>
          <w:bCs/>
        </w:rPr>
        <w:t xml:space="preserve">MIDAS: </w:t>
      </w:r>
      <w:r>
        <w:rPr>
          <w:rFonts w:ascii="Arial" w:cs="Arial" w:eastAsia="Arial" w:hAnsi="Arial"/>
        </w:rPr>
        <w:t xml:space="preserve">Migraine Disability Assessment Scale</w:t>
      </w:r>
    </w:p>
    <w:p>
      <w:pPr>
        <w:pStyle w:val="ListParagraph"/>
        <w:numPr>
          <w:ilvl w:val="0"/>
          <w:numId w:val="2"/>
        </w:numPr>
      </w:pPr>
      <w:r>
        <w:rPr>
          <w:rFonts w:ascii="Arial" w:cs="Arial" w:eastAsia="Arial" w:hAnsi="Arial"/>
          <w:b/>
          <w:bCs/>
        </w:rPr>
        <w:t xml:space="preserve">MoCA: </w:t>
      </w:r>
      <w:r>
        <w:rPr>
          <w:rFonts w:ascii="Arial" w:cs="Arial" w:eastAsia="Arial" w:hAnsi="Arial"/>
        </w:rPr>
        <w:t xml:space="preserve">Montreal Cognitive Assessment</w:t>
      </w:r>
    </w:p>
    <w:p>
      <w:pPr>
        <w:pStyle w:val="ListParagraph"/>
        <w:numPr>
          <w:ilvl w:val="0"/>
          <w:numId w:val="2"/>
        </w:numPr>
        <w:spacing w:after="200"/>
      </w:pPr>
      <w:r>
        <w:rPr>
          <w:rFonts w:ascii="Arial" w:cs="Arial" w:eastAsia="Arial" w:hAnsi="Arial"/>
          <w:b/>
          <w:bCs/>
        </w:rPr>
        <w:t xml:space="preserve">UPDRS: </w:t>
      </w:r>
      <w:r>
        <w:rPr>
          <w:rFonts w:ascii="Arial" w:cs="Arial" w:eastAsia="Arial" w:hAnsi="Arial"/>
        </w:rPr>
        <w:t xml:space="preserve">Unified Parkinson's Disease Rating Scale</w:t>
      </w:r>
    </w:p>
    <w:p>
      <w:pPr>
        <w:pStyle w:val="Heading2"/>
      </w:pPr>
      <w:r>
        <w:t xml:space="preserve">C.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Ver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Date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Author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Jan 16,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Steve / Claude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Initial MVP PRD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Jan 16, 2026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Steve / Claude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rPr>
              <w:t xml:space="preserve">Added: clinical scales, expandable study entries, billing-compliant exam, prior visit viewer with AI summary, plain-text output optimization, general notes section. Updated: removed yes/no toggles, referenced existing Figma and Plan Builder assets.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Sevaro Outpatient Neurology | MVP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2026-01-16T16:24:53.722Z</dcterms:created>
  <dcterms:modified xsi:type="dcterms:W3CDTF">2026-01-16T16:24:53.727Z</dcterms:modified>
</cp:coreProperties>
</file>

<file path=docProps/custom.xml><?xml version="1.0" encoding="utf-8"?>
<Properties xmlns="http://schemas.openxmlformats.org/officeDocument/2006/custom-properties" xmlns:vt="http://schemas.openxmlformats.org/officeDocument/2006/docPropsVTypes"/>
</file>