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8234" w14:textId="08EB168F" w:rsidR="0050544B" w:rsidRDefault="00000000">
      <w:pPr>
        <w:spacing w:before="40"/>
      </w:pPr>
      <w:proofErr w:type="spellStart"/>
      <w:r>
        <w:rPr>
          <w:b/>
          <w:bCs/>
          <w:sz w:val="40"/>
          <w:szCs w:val="40"/>
        </w:rPr>
        <w:t>Sevaro</w:t>
      </w:r>
      <w:proofErr w:type="spellEnd"/>
      <w:r>
        <w:rPr>
          <w:b/>
          <w:bCs/>
          <w:sz w:val="40"/>
          <w:szCs w:val="40"/>
        </w:rPr>
        <w:t xml:space="preserve"> Outpatient AI Platform</w:t>
      </w:r>
    </w:p>
    <w:p w14:paraId="5E64CB2C" w14:textId="77777777" w:rsidR="0050544B" w:rsidRDefault="00000000">
      <w:pPr>
        <w:pBdr>
          <w:bottom w:val="single" w:sz="16" w:space="6" w:color="6155F5"/>
        </w:pBdr>
        <w:spacing w:after="50"/>
      </w:pPr>
      <w:r>
        <w:rPr>
          <w:color w:val="1D64D8"/>
        </w:rPr>
        <w:t>An AI-enabled outpatient neurology platform — our vision, and what's already built</w:t>
      </w:r>
    </w:p>
    <w:p w14:paraId="5BD33F5C" w14:textId="77777777" w:rsidR="0050544B" w:rsidRDefault="00000000">
      <w:pPr>
        <w:spacing w:after="140"/>
      </w:pPr>
      <w:r>
        <w:rPr>
          <w:i/>
          <w:iCs/>
          <w:color w:val="696A70"/>
          <w:sz w:val="20"/>
          <w:szCs w:val="20"/>
        </w:rPr>
        <w:t>From referral to follow-up — AI that extends your neurologists across the whole patient journey.</w:t>
      </w:r>
    </w:p>
    <w:tbl>
      <w:tblPr>
        <w:tblW w:w="9360" w:type="dxa"/>
        <w:tblBorders>
          <w:top w:val="single" w:sz="4" w:space="0" w:color="1D64D8"/>
          <w:left w:val="single" w:sz="24" w:space="0" w:color="1D64D8"/>
          <w:bottom w:val="single" w:sz="4" w:space="0" w:color="1D64D8"/>
          <w:right w:val="single" w:sz="4" w:space="0" w:color="1D64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544B" w14:paraId="777AE8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5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232873C" w14:textId="77777777" w:rsidR="0050544B" w:rsidRDefault="00000000">
            <w:pPr>
              <w:spacing w:line="262" w:lineRule="auto"/>
            </w:pPr>
            <w:r>
              <w:rPr>
                <w:b/>
                <w:bCs/>
              </w:rPr>
              <w:t xml:space="preserve">One AI-enabled pathway across the whole outpatient journey </w:t>
            </w:r>
            <w:r>
              <w:t>— referral → triage → history → exam → visit → follow-up → monitoring. Each step is clinician-grade AI, clinician-supervised and EHR-integrated, that lifts your clinic's capacity and extends beyond neurology to other specialties.</w:t>
            </w:r>
          </w:p>
        </w:tc>
      </w:tr>
    </w:tbl>
    <w:p w14:paraId="412FCF0F" w14:textId="77777777" w:rsidR="0050544B" w:rsidRDefault="0050544B">
      <w:pPr>
        <w:spacing w:after="40"/>
      </w:pPr>
    </w:p>
    <w:p w14:paraId="6227458B" w14:textId="77777777" w:rsidR="0050544B" w:rsidRDefault="00000000">
      <w:pPr>
        <w:pStyle w:val="Heading1"/>
        <w:pBdr>
          <w:bottom w:val="single" w:sz="6" w:space="4" w:color="1D64D8"/>
        </w:pBdr>
      </w:pPr>
      <w:r>
        <w:t>The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960"/>
        <w:gridCol w:w="1500"/>
      </w:tblGrid>
      <w:tr w:rsidR="0050544B" w14:paraId="5BCFA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1D64D8"/>
              <w:left w:val="single" w:sz="4" w:space="0" w:color="1D64D8"/>
              <w:bottom w:val="single" w:sz="4" w:space="0" w:color="1D64D8"/>
              <w:right w:val="single" w:sz="4" w:space="0" w:color="1D64D8"/>
            </w:tcBorders>
            <w:shd w:val="clear" w:color="auto" w:fill="1E478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A3D032" w14:textId="77777777" w:rsidR="0050544B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5960" w:type="dxa"/>
            <w:tcBorders>
              <w:top w:val="single" w:sz="4" w:space="0" w:color="1D64D8"/>
              <w:left w:val="single" w:sz="4" w:space="0" w:color="1D64D8"/>
              <w:bottom w:val="single" w:sz="4" w:space="0" w:color="1D64D8"/>
              <w:right w:val="single" w:sz="4" w:space="0" w:color="1D64D8"/>
            </w:tcBorders>
            <w:shd w:val="clear" w:color="auto" w:fill="1E478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76DAD2" w14:textId="77777777" w:rsidR="0050544B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1500" w:type="dxa"/>
            <w:tcBorders>
              <w:top w:val="single" w:sz="4" w:space="0" w:color="1D64D8"/>
              <w:left w:val="single" w:sz="4" w:space="0" w:color="1D64D8"/>
              <w:bottom w:val="single" w:sz="4" w:space="0" w:color="1D64D8"/>
              <w:right w:val="single" w:sz="4" w:space="0" w:color="1D64D8"/>
            </w:tcBorders>
            <w:shd w:val="clear" w:color="auto" w:fill="1E478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B556CC" w14:textId="77777777" w:rsidR="0050544B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</w:tr>
      <w:tr w:rsidR="0050544B" w14:paraId="30B593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EFF5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1C7EF0" w14:textId="77777777" w:rsidR="0050544B" w:rsidRDefault="00000000">
            <w:r>
              <w:rPr>
                <w:b/>
                <w:bCs/>
                <w:color w:val="1E478A"/>
                <w:sz w:val="20"/>
                <w:szCs w:val="20"/>
              </w:rPr>
              <w:t>Triage tool</w:t>
            </w:r>
          </w:p>
        </w:tc>
        <w:tc>
          <w:tcPr>
            <w:tcW w:w="5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3E85DF" w14:textId="77777777" w:rsidR="0050544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 xml:space="preserve">Reads the referral notes (and outside testing) and applies </w:t>
            </w:r>
            <w:proofErr w:type="spellStart"/>
            <w:r>
              <w:rPr>
                <w:sz w:val="19"/>
                <w:szCs w:val="19"/>
              </w:rPr>
              <w:t>Sevaro's</w:t>
            </w:r>
            <w:proofErr w:type="spellEnd"/>
            <w:r>
              <w:rPr>
                <w:sz w:val="19"/>
                <w:szCs w:val="19"/>
              </w:rPr>
              <w:t xml:space="preserve"> urgency algorithm to recommend how soon the patient should be seen, which type of neurologist, and where to begin the workup — guiding your schedulers. Tunable to each health system's resources.</w:t>
            </w:r>
          </w:p>
        </w:tc>
        <w:tc>
          <w:tcPr>
            <w:tcW w:w="1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A276D4" w14:textId="77777777" w:rsidR="0050544B" w:rsidRDefault="00000000">
            <w:pPr>
              <w:jc w:val="center"/>
            </w:pPr>
            <w:r>
              <w:rPr>
                <w:b/>
                <w:bCs/>
                <w:color w:val="15803C"/>
                <w:sz w:val="18"/>
                <w:szCs w:val="18"/>
              </w:rPr>
              <w:t>Live · refining</w:t>
            </w:r>
          </w:p>
        </w:tc>
      </w:tr>
      <w:tr w:rsidR="0050544B" w14:paraId="45B894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E4E84E" w14:textId="77777777" w:rsidR="0050544B" w:rsidRDefault="00000000">
            <w:r>
              <w:rPr>
                <w:b/>
                <w:bCs/>
                <w:color w:val="1E478A"/>
                <w:sz w:val="20"/>
                <w:szCs w:val="20"/>
              </w:rPr>
              <w:t>AI Historian</w:t>
            </w:r>
          </w:p>
        </w:tc>
        <w:tc>
          <w:tcPr>
            <w:tcW w:w="5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B0C4EA" w14:textId="77777777" w:rsidR="0050544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Captures the patient's history (OLD CARTS) by phone/text pre-visit or in-</w:t>
            </w:r>
            <w:proofErr w:type="gramStart"/>
            <w:r>
              <w:rPr>
                <w:sz w:val="19"/>
                <w:szCs w:val="19"/>
              </w:rPr>
              <w:t>room, and</w:t>
            </w:r>
            <w:proofErr w:type="gramEnd"/>
            <w:r>
              <w:rPr>
                <w:sz w:val="19"/>
                <w:szCs w:val="19"/>
              </w:rPr>
              <w:t xml:space="preserve"> drafts a clinician-grade summary + working differential into the EHR — collapsing 20–30 min of intake so visits run 15–20 min (~2 patients per slot), with higher-fidelity histories than manual intake.</w:t>
            </w:r>
          </w:p>
        </w:tc>
        <w:tc>
          <w:tcPr>
            <w:tcW w:w="1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7F10EA" w14:textId="77777777" w:rsidR="0050544B" w:rsidRDefault="00000000">
            <w:pPr>
              <w:jc w:val="center"/>
            </w:pPr>
            <w:r>
              <w:rPr>
                <w:b/>
                <w:bCs/>
                <w:color w:val="15803C"/>
                <w:sz w:val="18"/>
                <w:szCs w:val="18"/>
              </w:rPr>
              <w:t>Live route</w:t>
            </w:r>
          </w:p>
        </w:tc>
      </w:tr>
      <w:tr w:rsidR="0050544B" w14:paraId="43E443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280A97" w14:textId="77777777" w:rsidR="0050544B" w:rsidRDefault="00000000">
            <w:r>
              <w:rPr>
                <w:b/>
                <w:bCs/>
                <w:color w:val="1E478A"/>
                <w:sz w:val="20"/>
                <w:szCs w:val="20"/>
              </w:rPr>
              <w:t>SENSE exam</w:t>
            </w:r>
          </w:p>
        </w:tc>
        <w:tc>
          <w:tcPr>
            <w:tcW w:w="5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2B181F" w14:textId="77777777" w:rsidR="0050544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Standardized Digital Neurologic Exam for outpatient — a guided, recorded cranial-nerve / neuro exam on the Galaxy XR headset. Objective, repeatable, reads into the chart.</w:t>
            </w:r>
          </w:p>
        </w:tc>
        <w:tc>
          <w:tcPr>
            <w:tcW w:w="1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49523A" w14:textId="77777777" w:rsidR="0050544B" w:rsidRDefault="00000000">
            <w:pPr>
              <w:jc w:val="center"/>
            </w:pPr>
            <w:r>
              <w:rPr>
                <w:b/>
                <w:bCs/>
                <w:color w:val="1D64D8"/>
                <w:sz w:val="18"/>
                <w:szCs w:val="18"/>
              </w:rPr>
              <w:t>In build</w:t>
            </w:r>
          </w:p>
        </w:tc>
      </w:tr>
      <w:tr w:rsidR="0050544B" w14:paraId="468283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F99E95" w14:textId="77777777" w:rsidR="0050544B" w:rsidRDefault="00000000">
            <w:r>
              <w:rPr>
                <w:b/>
                <w:bCs/>
                <w:color w:val="1E478A"/>
                <w:sz w:val="20"/>
                <w:szCs w:val="20"/>
              </w:rPr>
              <w:t>AI follow-up</w:t>
            </w:r>
          </w:p>
        </w:tc>
        <w:tc>
          <w:tcPr>
            <w:tcW w:w="5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457266" w14:textId="77777777" w:rsidR="0050544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Automated post-visit follow-up — symptom check-ins, results &amp; adherence tracking, and re-triage — closing the loop after the visit without a clinician touch.</w:t>
            </w:r>
          </w:p>
        </w:tc>
        <w:tc>
          <w:tcPr>
            <w:tcW w:w="1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429CB3" w14:textId="77777777" w:rsidR="0050544B" w:rsidRDefault="00000000">
            <w:pPr>
              <w:jc w:val="center"/>
            </w:pPr>
            <w:r>
              <w:rPr>
                <w:b/>
                <w:bCs/>
                <w:color w:val="6155F5"/>
                <w:sz w:val="18"/>
                <w:szCs w:val="18"/>
              </w:rPr>
              <w:t>POC</w:t>
            </w:r>
          </w:p>
        </w:tc>
      </w:tr>
      <w:tr w:rsidR="0050544B" w14:paraId="42AC06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shd w:val="clear" w:color="auto" w:fill="F4F4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FE84AF" w14:textId="77777777" w:rsidR="0050544B" w:rsidRDefault="00000000">
            <w:r>
              <w:rPr>
                <w:b/>
                <w:bCs/>
                <w:color w:val="1E478A"/>
                <w:sz w:val="20"/>
                <w:szCs w:val="20"/>
              </w:rPr>
              <w:t>Remote patient monitoring</w:t>
            </w:r>
          </w:p>
        </w:tc>
        <w:tc>
          <w:tcPr>
            <w:tcW w:w="596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34DEBB" w14:textId="77777777" w:rsidR="0050544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Wearable / biometric monitoring (watch, ring, phone) feeding ongoing outpatient management and earlier intervention between visits.</w:t>
            </w:r>
          </w:p>
        </w:tc>
        <w:tc>
          <w:tcPr>
            <w:tcW w:w="1500" w:type="dxa"/>
            <w:tcBorders>
              <w:top w:val="single" w:sz="4" w:space="0" w:color="DEDEDE"/>
              <w:left w:val="single" w:sz="4" w:space="0" w:color="DEDEDE"/>
              <w:bottom w:val="single" w:sz="4" w:space="0" w:color="DEDEDE"/>
              <w:right w:val="single" w:sz="4" w:space="0" w:color="DEDEDE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516567" w14:textId="77777777" w:rsidR="0050544B" w:rsidRDefault="00000000">
            <w:pPr>
              <w:jc w:val="center"/>
            </w:pPr>
            <w:r>
              <w:rPr>
                <w:b/>
                <w:bCs/>
                <w:color w:val="6155F5"/>
                <w:sz w:val="18"/>
                <w:szCs w:val="18"/>
              </w:rPr>
              <w:t>POC</w:t>
            </w:r>
          </w:p>
        </w:tc>
      </w:tr>
    </w:tbl>
    <w:p w14:paraId="5C811291" w14:textId="77777777" w:rsidR="0050544B" w:rsidRDefault="00000000">
      <w:pPr>
        <w:pStyle w:val="Heading1"/>
        <w:pBdr>
          <w:bottom w:val="single" w:sz="6" w:space="4" w:color="1D64D8"/>
        </w:pBdr>
      </w:pPr>
      <w:r>
        <w:t>What it delivers</w:t>
      </w:r>
    </w:p>
    <w:p w14:paraId="5EB230DF" w14:textId="77777777" w:rsidR="0050544B" w:rsidRDefault="00000000">
      <w:pPr>
        <w:pStyle w:val="ListParagraph"/>
        <w:numPr>
          <w:ilvl w:val="0"/>
          <w:numId w:val="2"/>
        </w:numPr>
        <w:spacing w:after="50" w:line="262" w:lineRule="auto"/>
      </w:pPr>
      <w:r>
        <w:rPr>
          <w:b/>
          <w:bCs/>
        </w:rPr>
        <w:t xml:space="preserve">Faster, smarter access </w:t>
      </w:r>
      <w:r>
        <w:t>— every referral is read and prioritized in minutes, so the right patient sees the right neurologist at the right time, with workups ordered up front.</w:t>
      </w:r>
    </w:p>
    <w:p w14:paraId="7509BFF0" w14:textId="77777777" w:rsidR="0050544B" w:rsidRDefault="00000000">
      <w:pPr>
        <w:pStyle w:val="ListParagraph"/>
        <w:numPr>
          <w:ilvl w:val="0"/>
          <w:numId w:val="2"/>
        </w:numPr>
        <w:spacing w:after="50" w:line="262" w:lineRule="auto"/>
      </w:pPr>
      <w:r>
        <w:rPr>
          <w:b/>
          <w:bCs/>
        </w:rPr>
        <w:t xml:space="preserve">More capacity, same staff </w:t>
      </w:r>
      <w:r>
        <w:t>— the Historian collapses intake so clinicians see more patients per slot, and the triage tool guides your schedulers — no new hires, and it fits your existing workflows.</w:t>
      </w:r>
    </w:p>
    <w:p w14:paraId="12154DBB" w14:textId="77777777" w:rsidR="0050544B" w:rsidRDefault="00000000">
      <w:pPr>
        <w:pStyle w:val="ListParagraph"/>
        <w:numPr>
          <w:ilvl w:val="0"/>
          <w:numId w:val="2"/>
        </w:numPr>
        <w:spacing w:after="50" w:line="262" w:lineRule="auto"/>
      </w:pPr>
      <w:r>
        <w:rPr>
          <w:b/>
          <w:bCs/>
        </w:rPr>
        <w:t xml:space="preserve">Works with your team </w:t>
      </w:r>
      <w:r>
        <w:t>— it augments your local neurologists and coordinators and adapts to your health system's resources, so your specialists practice at the top of their license.</w:t>
      </w:r>
    </w:p>
    <w:p w14:paraId="5653B5DB" w14:textId="77777777" w:rsidR="0050544B" w:rsidRDefault="00000000">
      <w:pPr>
        <w:pStyle w:val="ListParagraph"/>
        <w:numPr>
          <w:ilvl w:val="0"/>
          <w:numId w:val="2"/>
        </w:numPr>
        <w:spacing w:after="50" w:line="262" w:lineRule="auto"/>
      </w:pPr>
      <w:r>
        <w:rPr>
          <w:b/>
          <w:bCs/>
        </w:rPr>
        <w:t xml:space="preserve">Safe by design </w:t>
      </w:r>
      <w:r>
        <w:t>— clinician-supervised throughout, with built-in red-flag alerts that surface urgent presentations for immediate attention.</w:t>
      </w:r>
    </w:p>
    <w:p w14:paraId="647471DE" w14:textId="77777777" w:rsidR="0050544B" w:rsidRDefault="00000000">
      <w:pPr>
        <w:pBdr>
          <w:top w:val="single" w:sz="4" w:space="6" w:color="DEDEDE"/>
        </w:pBdr>
        <w:spacing w:before="160"/>
      </w:pPr>
      <w:r>
        <w:rPr>
          <w:i/>
          <w:iCs/>
          <w:color w:val="696A70"/>
          <w:sz w:val="16"/>
          <w:szCs w:val="16"/>
        </w:rPr>
        <w:t>Stages: Live = in use · In build = in active development · POC = proof-of-concept. Several capabilities are advancing through internal and partner validation studies.</w:t>
      </w:r>
    </w:p>
    <w:sectPr w:rsidR="0050544B">
      <w:headerReference w:type="default" r:id="rId7"/>
      <w:footerReference w:type="default" r:id="rId8"/>
      <w:pgSz w:w="12240" w:h="15840"/>
      <w:pgMar w:top="900" w:right="1300" w:bottom="76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027F2" w14:textId="77777777" w:rsidR="00A57BF7" w:rsidRDefault="00A57BF7">
      <w:r>
        <w:separator/>
      </w:r>
    </w:p>
  </w:endnote>
  <w:endnote w:type="continuationSeparator" w:id="0">
    <w:p w14:paraId="764BDC5C" w14:textId="77777777" w:rsidR="00A57BF7" w:rsidRDefault="00A57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16909" w14:textId="77777777" w:rsidR="0050544B" w:rsidRDefault="00000000">
    <w:pPr>
      <w:tabs>
        <w:tab w:val="right" w:pos="9360"/>
      </w:tabs>
    </w:pPr>
    <w:proofErr w:type="spellStart"/>
    <w:proofErr w:type="gramStart"/>
    <w:r>
      <w:rPr>
        <w:color w:val="696A70"/>
        <w:sz w:val="16"/>
        <w:szCs w:val="16"/>
      </w:rPr>
      <w:t>Sevaro</w:t>
    </w:r>
    <w:proofErr w:type="spellEnd"/>
    <w:r>
      <w:rPr>
        <w:color w:val="696A70"/>
        <w:sz w:val="16"/>
        <w:szCs w:val="16"/>
      </w:rPr>
      <w:t xml:space="preserve">  ·</w:t>
    </w:r>
    <w:proofErr w:type="gramEnd"/>
    <w:r>
      <w:rPr>
        <w:color w:val="696A70"/>
        <w:sz w:val="16"/>
        <w:szCs w:val="16"/>
      </w:rPr>
      <w:t xml:space="preserve">  Outpatient AI Platform</w:t>
    </w:r>
    <w:r>
      <w:rPr>
        <w:sz w:val="16"/>
        <w:szCs w:val="16"/>
      </w:rPr>
      <w:tab/>
    </w:r>
    <w:r>
      <w:rPr>
        <w:color w:val="696A70"/>
        <w:sz w:val="16"/>
        <w:szCs w:val="16"/>
      </w:rPr>
      <w:t xml:space="preserve">Page </w:t>
    </w:r>
    <w:r>
      <w:rPr>
        <w:color w:val="696A70"/>
        <w:sz w:val="16"/>
        <w:szCs w:val="16"/>
      </w:rPr>
      <w:fldChar w:fldCharType="begin"/>
    </w:r>
    <w:r>
      <w:rPr>
        <w:color w:val="696A70"/>
        <w:sz w:val="16"/>
        <w:szCs w:val="16"/>
      </w:rPr>
      <w:instrText>PAGE</w:instrText>
    </w:r>
    <w:r>
      <w:rPr>
        <w:color w:val="696A70"/>
        <w:sz w:val="16"/>
        <w:szCs w:val="16"/>
      </w:rPr>
      <w:fldChar w:fldCharType="separate"/>
    </w:r>
    <w:r w:rsidR="00C4034C">
      <w:rPr>
        <w:noProof/>
        <w:color w:val="696A70"/>
        <w:sz w:val="16"/>
        <w:szCs w:val="16"/>
      </w:rPr>
      <w:t>1</w:t>
    </w:r>
    <w:r>
      <w:rPr>
        <w:color w:val="696A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67AFA" w14:textId="77777777" w:rsidR="00A57BF7" w:rsidRDefault="00A57BF7">
      <w:r>
        <w:separator/>
      </w:r>
    </w:p>
  </w:footnote>
  <w:footnote w:type="continuationSeparator" w:id="0">
    <w:p w14:paraId="05605932" w14:textId="77777777" w:rsidR="00A57BF7" w:rsidRDefault="00A57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9426" w14:textId="77777777" w:rsidR="0050544B" w:rsidRDefault="00000000">
    <w:pPr>
      <w:jc w:val="right"/>
    </w:pPr>
    <w:proofErr w:type="spellStart"/>
    <w:r>
      <w:rPr>
        <w:color w:val="696A70"/>
        <w:sz w:val="16"/>
        <w:szCs w:val="16"/>
      </w:rPr>
      <w:t>Sevaro</w:t>
    </w:r>
    <w:proofErr w:type="spellEnd"/>
    <w:r>
      <w:rPr>
        <w:color w:val="696A70"/>
        <w:sz w:val="16"/>
        <w:szCs w:val="16"/>
      </w:rPr>
      <w:t xml:space="preserve"> </w:t>
    </w:r>
    <w:proofErr w:type="gramStart"/>
    <w:r>
      <w:rPr>
        <w:color w:val="696A70"/>
        <w:sz w:val="16"/>
        <w:szCs w:val="16"/>
      </w:rPr>
      <w:t>Health  ·</w:t>
    </w:r>
    <w:proofErr w:type="gramEnd"/>
    <w:r>
      <w:rPr>
        <w:color w:val="696A70"/>
        <w:sz w:val="16"/>
        <w:szCs w:val="16"/>
      </w:rPr>
      <w:t xml:space="preserve">  Outpatient AI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16681"/>
    <w:multiLevelType w:val="hybridMultilevel"/>
    <w:tmpl w:val="434C1758"/>
    <w:lvl w:ilvl="0" w:tplc="1494F95E">
      <w:start w:val="1"/>
      <w:numFmt w:val="bullet"/>
      <w:lvlText w:val="•"/>
      <w:lvlJc w:val="left"/>
      <w:pPr>
        <w:ind w:left="380" w:hanging="230"/>
      </w:pPr>
      <w:rPr>
        <w:color w:val="1D64D8"/>
      </w:rPr>
    </w:lvl>
    <w:lvl w:ilvl="1" w:tplc="16D40ABA">
      <w:numFmt w:val="decimal"/>
      <w:lvlText w:val=""/>
      <w:lvlJc w:val="left"/>
    </w:lvl>
    <w:lvl w:ilvl="2" w:tplc="FDCE68B2">
      <w:numFmt w:val="decimal"/>
      <w:lvlText w:val=""/>
      <w:lvlJc w:val="left"/>
    </w:lvl>
    <w:lvl w:ilvl="3" w:tplc="1084D596">
      <w:numFmt w:val="decimal"/>
      <w:lvlText w:val=""/>
      <w:lvlJc w:val="left"/>
    </w:lvl>
    <w:lvl w:ilvl="4" w:tplc="647AF9D6">
      <w:numFmt w:val="decimal"/>
      <w:lvlText w:val=""/>
      <w:lvlJc w:val="left"/>
    </w:lvl>
    <w:lvl w:ilvl="5" w:tplc="27A43320">
      <w:numFmt w:val="decimal"/>
      <w:lvlText w:val=""/>
      <w:lvlJc w:val="left"/>
    </w:lvl>
    <w:lvl w:ilvl="6" w:tplc="C08095F4">
      <w:numFmt w:val="decimal"/>
      <w:lvlText w:val=""/>
      <w:lvlJc w:val="left"/>
    </w:lvl>
    <w:lvl w:ilvl="7" w:tplc="25AEE0EE">
      <w:numFmt w:val="decimal"/>
      <w:lvlText w:val=""/>
      <w:lvlJc w:val="left"/>
    </w:lvl>
    <w:lvl w:ilvl="8" w:tplc="AE208888">
      <w:numFmt w:val="decimal"/>
      <w:lvlText w:val=""/>
      <w:lvlJc w:val="left"/>
    </w:lvl>
  </w:abstractNum>
  <w:abstractNum w:abstractNumId="1" w15:restartNumberingAfterBreak="0">
    <w:nsid w:val="7F815220"/>
    <w:multiLevelType w:val="hybridMultilevel"/>
    <w:tmpl w:val="C1FECD76"/>
    <w:lvl w:ilvl="0" w:tplc="B748E996">
      <w:start w:val="1"/>
      <w:numFmt w:val="bullet"/>
      <w:lvlText w:val="●"/>
      <w:lvlJc w:val="left"/>
      <w:pPr>
        <w:ind w:left="720" w:hanging="360"/>
      </w:pPr>
    </w:lvl>
    <w:lvl w:ilvl="1" w:tplc="DFDCC098">
      <w:start w:val="1"/>
      <w:numFmt w:val="bullet"/>
      <w:lvlText w:val="○"/>
      <w:lvlJc w:val="left"/>
      <w:pPr>
        <w:ind w:left="1440" w:hanging="360"/>
      </w:pPr>
    </w:lvl>
    <w:lvl w:ilvl="2" w:tplc="412460FA">
      <w:start w:val="1"/>
      <w:numFmt w:val="bullet"/>
      <w:lvlText w:val="■"/>
      <w:lvlJc w:val="left"/>
      <w:pPr>
        <w:ind w:left="2160" w:hanging="360"/>
      </w:pPr>
    </w:lvl>
    <w:lvl w:ilvl="3" w:tplc="D7CC4F10">
      <w:start w:val="1"/>
      <w:numFmt w:val="bullet"/>
      <w:lvlText w:val="●"/>
      <w:lvlJc w:val="left"/>
      <w:pPr>
        <w:ind w:left="2880" w:hanging="360"/>
      </w:pPr>
    </w:lvl>
    <w:lvl w:ilvl="4" w:tplc="9B7092E8">
      <w:start w:val="1"/>
      <w:numFmt w:val="bullet"/>
      <w:lvlText w:val="○"/>
      <w:lvlJc w:val="left"/>
      <w:pPr>
        <w:ind w:left="3600" w:hanging="360"/>
      </w:pPr>
    </w:lvl>
    <w:lvl w:ilvl="5" w:tplc="72606D10">
      <w:start w:val="1"/>
      <w:numFmt w:val="bullet"/>
      <w:lvlText w:val="■"/>
      <w:lvlJc w:val="left"/>
      <w:pPr>
        <w:ind w:left="4320" w:hanging="360"/>
      </w:pPr>
    </w:lvl>
    <w:lvl w:ilvl="6" w:tplc="9012909E">
      <w:start w:val="1"/>
      <w:numFmt w:val="bullet"/>
      <w:lvlText w:val="●"/>
      <w:lvlJc w:val="left"/>
      <w:pPr>
        <w:ind w:left="5040" w:hanging="360"/>
      </w:pPr>
    </w:lvl>
    <w:lvl w:ilvl="7" w:tplc="6AC4425E">
      <w:start w:val="1"/>
      <w:numFmt w:val="bullet"/>
      <w:lvlText w:val="●"/>
      <w:lvlJc w:val="left"/>
      <w:pPr>
        <w:ind w:left="5760" w:hanging="360"/>
      </w:pPr>
    </w:lvl>
    <w:lvl w:ilvl="8" w:tplc="7C3213BE">
      <w:start w:val="1"/>
      <w:numFmt w:val="bullet"/>
      <w:lvlText w:val="●"/>
      <w:lvlJc w:val="left"/>
      <w:pPr>
        <w:ind w:left="6480" w:hanging="360"/>
      </w:pPr>
    </w:lvl>
  </w:abstractNum>
  <w:num w:numId="1" w16cid:durableId="2056007490">
    <w:abstractNumId w:val="1"/>
    <w:lvlOverride w:ilvl="0">
      <w:startOverride w:val="1"/>
    </w:lvlOverride>
  </w:num>
  <w:num w:numId="2" w16cid:durableId="942227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44B"/>
    <w:rsid w:val="00103EF8"/>
    <w:rsid w:val="0050544B"/>
    <w:rsid w:val="00A57BF7"/>
    <w:rsid w:val="00C4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B51B1"/>
  <w15:docId w15:val="{B37B8292-8EF2-AB49-A335-3F703C6EC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C0F14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90"/>
      <w:outlineLvl w:val="0"/>
    </w:pPr>
    <w:rPr>
      <w:b/>
      <w:bCs/>
      <w:color w:val="1E478A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2171</Characters>
  <Application>Microsoft Office Word</Application>
  <DocSecurity>0</DocSecurity>
  <Lines>54</Lines>
  <Paragraphs>33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Sevaro Outpatient AI Platform — One-page summary</dc:title>
  <dc:creator>Sevaro Health</dc:creator>
  <cp:lastModifiedBy>Steve Arbogast</cp:lastModifiedBy>
  <cp:revision>2</cp:revision>
  <dcterms:created xsi:type="dcterms:W3CDTF">2026-06-19T21:26:00Z</dcterms:created>
  <dcterms:modified xsi:type="dcterms:W3CDTF">2026-06-19T21:28:00Z</dcterms:modified>
</cp:coreProperties>
</file>