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4.png" ContentType="image/png"/>
  <Override PartName="/word/media/rId49.png" ContentType="image/png"/>
  <Override PartName="/word/media/rId90.png" ContentType="image/png"/>
  <Override PartName="/word/media/rId70.png" ContentType="image/png"/>
  <Override PartName="/word/media/rId75.png" ContentType="image/png"/>
  <Override PartName="/word/media/rId81.png" ContentType="image/png"/>
  <Override PartName="/word/media/rId85.png" ContentType="image/png"/>
  <Override PartName="/word/media/rId55.png" ContentType="image/png"/>
  <Override PartName="/word/media/rId59.png" ContentType="image/png"/>
  <Override PartName="/word/media/rId64.png" ContentType="image/png"/>
  <Override PartName="/word/media/rId20.png" ContentType="image/png"/>
  <Override PartName="/word/media/rId24.png" ContentType="image/png"/>
  <Override PartName="/word/media/rId3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GEMS Report Figures</w:t>
      </w:r>
    </w:p>
    <w:p>
      <w:pPr>
        <w:pStyle w:val="FirstParagraph"/>
      </w:pPr>
      <w:r>
        <w:t xml:space="preserve">Figures for general GEMS reporting and GEMS final report.</w:t>
      </w:r>
    </w:p>
    <w:p>
      <w:r>
        <w:br w:type="page"/>
      </w:r>
    </w:p>
    <w:bookmarkStart w:id="43" w:name="rga"/>
    <w:p>
      <w:pPr>
        <w:pStyle w:val="Heading2"/>
      </w:pPr>
      <w:r>
        <w:t xml:space="preserve">RGA</w:t>
      </w:r>
    </w:p>
    <w:tbl>
      <w:tblPr>
        <w:tblStyle w:val="Table"/>
        <w:tblW w:type="pct" w:w="5000"/>
        <w:tblLayout w:type="fixed"/>
        <w:tblLook w:firstRow="0" w:lastRow="0" w:firstColumn="0" w:lastColumn="0" w:noHBand="0" w:noVBand="0" w:val="0000"/>
      </w:tblPr>
      <w:tblGrid>
        <w:gridCol w:w="7920"/>
      </w:tblGrid>
      <w:tr>
        <w:tc>
          <w:tcPr/>
          <w:bookmarkStart w:id="23" w:name="fig-mass-trace"/>
          <w:p>
            <w:pPr>
              <w:pStyle w:val="Compact"/>
              <w:jc w:val="center"/>
            </w:pPr>
            <w:r>
              <w:drawing>
                <wp:inline>
                  <wp:extent cx="5943600" cy="6537960"/>
                  <wp:effectExtent b="0" l="0" r="0" t="0"/>
                  <wp:docPr descr="" title="" id="21" name="Picture"/>
                  <a:graphic>
                    <a:graphicData uri="http://schemas.openxmlformats.org/drawingml/2006/picture">
                      <pic:pic>
                        <pic:nvPicPr>
                          <pic:cNvPr descr="gems_report_plots_files/figure-docx/fig-mass-trace-1.png" id="22" name="Picture"/>
                          <pic:cNvPicPr>
                            <a:picLocks noChangeArrowheads="1" noChangeAspect="1"/>
                          </pic:cNvPicPr>
                        </pic:nvPicPr>
                        <pic:blipFill>
                          <a:blip r:embed="rId20"/>
                          <a:stretch>
                            <a:fillRect/>
                          </a:stretch>
                        </pic:blipFill>
                        <pic:spPr bwMode="auto">
                          <a:xfrm>
                            <a:off x="0" y="0"/>
                            <a:ext cx="5943600" cy="65379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RGA signals for masses of interest. Each mass is measured approximately every 10 s. A five day period of the deployment was chosen to highlight diel cycles. Each signal is normalized to mass 40 (Argon) to control for effects of temperature, pressure, and biofouling. The mass 34 signal is likely an interference with Oxygen, rather than a true hydrogen sufide signal.</w:t>
            </w:r>
          </w:p>
          <w:bookmarkEnd w:id="23"/>
        </w:tc>
      </w:tr>
    </w:tbl>
    <w:p>
      <w:r>
        <w:br w:type="page"/>
      </w:r>
    </w:p>
    <w:bookmarkStart w:id="28" w:name="noise-comparison"/>
    <w:p>
      <w:pPr>
        <w:pStyle w:val="Heading3"/>
      </w:pPr>
      <w:r>
        <w:t xml:space="preserve">2022-2025 noise comparison</w:t>
      </w:r>
    </w:p>
    <w:tbl>
      <w:tblPr>
        <w:tblStyle w:val="Table"/>
        <w:tblW w:type="pct" w:w="5000"/>
        <w:tblLayout w:type="fixed"/>
        <w:tblLook w:firstRow="0" w:lastRow="0" w:firstColumn="0" w:lastColumn="0" w:noHBand="0" w:noVBand="0" w:val="0000"/>
      </w:tblPr>
      <w:tblGrid>
        <w:gridCol w:w="7920"/>
      </w:tblGrid>
      <w:tr>
        <w:tc>
          <w:tcPr/>
          <w:bookmarkStart w:id="27" w:name="fig-noise-comparison"/>
          <w:p>
            <w:pPr>
              <w:pStyle w:val="Compact"/>
              <w:jc w:val="center"/>
            </w:pPr>
            <w:r>
              <w:drawing>
                <wp:inline>
                  <wp:extent cx="5943600" cy="4754880"/>
                  <wp:effectExtent b="0" l="0" r="0" t="0"/>
                  <wp:docPr descr="" title="" id="25" name="Picture"/>
                  <a:graphic>
                    <a:graphicData uri="http://schemas.openxmlformats.org/drawingml/2006/picture">
                      <pic:pic>
                        <pic:nvPicPr>
                          <pic:cNvPr descr="gems_report_plots_files/figure-docx/fig-noise-comparison-1.png" id="26" name="Picture"/>
                          <pic:cNvPicPr>
                            <a:picLocks noChangeArrowheads="1" noChangeAspect="1"/>
                          </pic:cNvPicPr>
                        </pic:nvPicPr>
                        <pic:blipFill>
                          <a:blip r:embed="rId2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Comparison of QMS signal noise for argon-normalized oxygen between 2022 (A) and 2025 (B) deployments.Signal noise was greatly reduced for the 2025 deployment, improving the accuracy and limit of detection for gradient determination.</w:t>
            </w:r>
          </w:p>
          <w:bookmarkEnd w:id="27"/>
        </w:tc>
      </w:tr>
    </w:tbl>
    <w:bookmarkEnd w:id="28"/>
    <w:bookmarkStart w:id="33" w:name="effect-of-argon-normalization"/>
    <w:p>
      <w:pPr>
        <w:pStyle w:val="Heading3"/>
      </w:pPr>
      <w:r>
        <w:t xml:space="preserve">Effect of Argon normalization</w:t>
      </w:r>
    </w:p>
    <w:tbl>
      <w:tblPr>
        <w:tblStyle w:val="Table"/>
        <w:tblW w:type="pct" w:w="5000"/>
        <w:tblLayout w:type="fixed"/>
        <w:tblLook w:firstRow="0" w:lastRow="0" w:firstColumn="0" w:lastColumn="0" w:noHBand="0" w:noVBand="0" w:val="0000"/>
      </w:tblPr>
      <w:tblGrid>
        <w:gridCol w:w="7920"/>
      </w:tblGrid>
      <w:tr>
        <w:tc>
          <w:tcPr/>
          <w:bookmarkStart w:id="32" w:name="fig-argon-norm"/>
          <w:p>
            <w:pPr>
              <w:pStyle w:val="Compact"/>
              <w:jc w:val="center"/>
            </w:pPr>
            <w:r>
              <w:drawing>
                <wp:inline>
                  <wp:extent cx="5943600" cy="4754880"/>
                  <wp:effectExtent b="0" l="0" r="0" t="0"/>
                  <wp:docPr descr="" title="" id="30" name="Picture"/>
                  <a:graphic>
                    <a:graphicData uri="http://schemas.openxmlformats.org/drawingml/2006/picture">
                      <pic:pic>
                        <pic:nvPicPr>
                          <pic:cNvPr descr="gems_report_plots_files/figure-docx/fig-argon-norm-1.png" id="31" name="Picture"/>
                          <pic:cNvPicPr>
                            <a:picLocks noChangeArrowheads="1" noChangeAspect="1"/>
                          </pic:cNvPicPr>
                        </pic:nvPicPr>
                        <pic:blipFill>
                          <a:blip r:embed="rId2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Normalizing measured masses to Argon (mass 40) controls for physical effects on gas solubility and membrane transport. Gas transport is affected by temperature, pressure and water flow rate. This figure shows un-normalized (top) and normalized (bottom) Nitrogen (mass 28) across a period of increasing biofouling at the high inlet, followed by cleaning the inlets on Sept. 11.</w:t>
            </w:r>
          </w:p>
          <w:bookmarkEnd w:id="32"/>
        </w:tc>
      </w:tr>
    </w:tbl>
    <w:p>
      <w:r>
        <w:br w:type="page"/>
      </w:r>
    </w:p>
    <w:bookmarkEnd w:id="33"/>
    <w:bookmarkStart w:id="42" w:name="oxygen-timeseries"/>
    <w:p>
      <w:pPr>
        <w:pStyle w:val="Heading3"/>
      </w:pPr>
      <w:r>
        <w:t xml:space="preserve">Oxygen timeseries</w:t>
      </w:r>
    </w:p>
    <w:tbl>
      <w:tblPr>
        <w:tblStyle w:val="Table"/>
        <w:tblW w:type="pct" w:w="5000"/>
        <w:tblLayout w:type="fixed"/>
        <w:tblLook w:firstRow="0" w:lastRow="0" w:firstColumn="0" w:lastColumn="0" w:noHBand="0" w:noVBand="0" w:val="0000"/>
      </w:tblPr>
      <w:tblGrid>
        <w:gridCol w:w="7920"/>
      </w:tblGrid>
      <w:tr>
        <w:tc>
          <w:tcPr/>
          <w:bookmarkStart w:id="37" w:name="fig-oxygen-long"/>
          <w:p>
            <w:pPr>
              <w:pStyle w:val="Compact"/>
              <w:jc w:val="center"/>
            </w:pPr>
            <w:r>
              <w:drawing>
                <wp:inline>
                  <wp:extent cx="5943600" cy="4754880"/>
                  <wp:effectExtent b="0" l="0" r="0" t="0"/>
                  <wp:docPr descr="" title="" id="35" name="Picture"/>
                  <a:graphic>
                    <a:graphicData uri="http://schemas.openxmlformats.org/drawingml/2006/picture">
                      <pic:pic>
                        <pic:nvPicPr>
                          <pic:cNvPr descr="gems_report_plots_files/figure-docx/fig-oxygen-long-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record of the argon-normalized oxygen signal for the duration of the deployment.</w:t>
            </w:r>
          </w:p>
          <w:bookmarkEnd w:id="37"/>
        </w:tc>
      </w:tr>
    </w:tbl>
    <w:tbl>
      <w:tblPr>
        <w:tblStyle w:val="Table"/>
        <w:tblW w:type="pct" w:w="5000"/>
        <w:tblLayout w:type="fixed"/>
        <w:tblLook w:firstRow="0" w:lastRow="0" w:firstColumn="0" w:lastColumn="0" w:noHBand="0" w:noVBand="0" w:val="0000"/>
      </w:tblPr>
      <w:tblGrid>
        <w:gridCol w:w="7920"/>
      </w:tblGrid>
      <w:tr>
        <w:tc>
          <w:tcPr/>
          <w:bookmarkStart w:id="41" w:name="fig-oxygen-short"/>
          <w:p>
            <w:pPr>
              <w:pStyle w:val="Compact"/>
              <w:jc w:val="center"/>
            </w:pPr>
            <w:r>
              <w:drawing>
                <wp:inline>
                  <wp:extent cx="5943600" cy="4754880"/>
                  <wp:effectExtent b="0" l="0" r="0" t="0"/>
                  <wp:docPr descr="" title="" id="39" name="Picture"/>
                  <a:graphic>
                    <a:graphicData uri="http://schemas.openxmlformats.org/drawingml/2006/picture">
                      <pic:pic>
                        <pic:nvPicPr>
                          <pic:cNvPr descr="gems_report_plots_files/figure-docx/fig-oxygen-short-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argon-normalized oxygen signal for July 16-20, showing a clear gradient between the high and low inlets. The diel variability of oxygen at the low inlet is higher due to proximity to the eelgrass and seabed.</w:t>
            </w:r>
          </w:p>
          <w:bookmarkEnd w:id="41"/>
        </w:tc>
      </w:tr>
    </w:tbl>
    <w:p>
      <w:r>
        <w:br w:type="page"/>
      </w:r>
    </w:p>
    <w:bookmarkEnd w:id="42"/>
    <w:bookmarkEnd w:id="43"/>
    <w:bookmarkStart w:id="54" w:name="calibration"/>
    <w:p>
      <w:pPr>
        <w:pStyle w:val="Heading2"/>
      </w:pPr>
      <w:r>
        <w:t xml:space="preserve">Calibration</w:t>
      </w:r>
    </w:p>
    <w:bookmarkStart w:id="48" w:name="optode-vs-normalized-mass-32"/>
    <w:p>
      <w:pPr>
        <w:pStyle w:val="Heading3"/>
      </w:pPr>
      <w:r>
        <w:t xml:space="preserve">Optode vs normalized mass 32</w:t>
      </w:r>
    </w:p>
    <w:tbl>
      <w:tblPr>
        <w:tblStyle w:val="Table"/>
        <w:tblW w:type="pct" w:w="5000"/>
        <w:tblLayout w:type="fixed"/>
        <w:tblLook w:firstRow="0" w:lastRow="0" w:firstColumn="0" w:lastColumn="0" w:noHBand="0" w:noVBand="0" w:val="0000"/>
      </w:tblPr>
      <w:tblGrid>
        <w:gridCol w:w="7920"/>
      </w:tblGrid>
      <w:tr>
        <w:tc>
          <w:tcPr/>
          <w:bookmarkStart w:id="47" w:name="fig-cal"/>
          <w:p>
            <w:pPr>
              <w:pStyle w:val="Compact"/>
              <w:jc w:val="center"/>
            </w:pPr>
            <w:r>
              <w:drawing>
                <wp:inline>
                  <wp:extent cx="5943600" cy="4754880"/>
                  <wp:effectExtent b="0" l="0" r="0" t="0"/>
                  <wp:docPr descr="" title="" id="45" name="Picture"/>
                  <a:graphic>
                    <a:graphicData uri="http://schemas.openxmlformats.org/drawingml/2006/picture">
                      <pic:pic>
                        <pic:nvPicPr>
                          <pic:cNvPr descr="gems_report_plots_files/figure-docx/fig-cal-1.png" id="46" name="Picture"/>
                          <pic:cNvPicPr>
                            <a:picLocks noChangeArrowheads="1" noChangeAspect="1"/>
                          </pic:cNvPicPr>
                        </pic:nvPicPr>
                        <pic:blipFill>
                          <a:blip r:embed="rId4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Oxygen calibration data for the SeapHOx codeployment. SeapHOx optode data is compared to GEMS mass 32:40. The line shows linear model fit.</w:t>
            </w:r>
          </w:p>
          <w:bookmarkEnd w:id="47"/>
        </w:tc>
      </w:tr>
    </w:tbl>
    <w:p>
      <w:r>
        <w:br w:type="page"/>
      </w:r>
    </w:p>
    <w:bookmarkEnd w:id="48"/>
    <w:bookmarkStart w:id="53" w:name="fitted-oxygen"/>
    <w:p>
      <w:pPr>
        <w:pStyle w:val="Heading3"/>
      </w:pPr>
      <w:r>
        <w:t xml:space="preserve">Fitted Oxygen</w:t>
      </w:r>
    </w:p>
    <w:tbl>
      <w:tblPr>
        <w:tblStyle w:val="Table"/>
        <w:tblW w:type="pct" w:w="5000"/>
        <w:tblLayout w:type="fixed"/>
        <w:tblLook w:firstRow="0" w:lastRow="0" w:firstColumn="0" w:lastColumn="0" w:noHBand="0" w:noVBand="0" w:val="0000"/>
      </w:tblPr>
      <w:tblGrid>
        <w:gridCol w:w="7920"/>
      </w:tblGrid>
      <w:tr>
        <w:tc>
          <w:tcPr/>
          <w:bookmarkStart w:id="52" w:name="fig-cal-timeseries"/>
          <w:p>
            <w:pPr>
              <w:pStyle w:val="Compact"/>
              <w:jc w:val="center"/>
            </w:pPr>
            <w:r>
              <w:drawing>
                <wp:inline>
                  <wp:extent cx="5943600" cy="4754880"/>
                  <wp:effectExtent b="0" l="0" r="0" t="0"/>
                  <wp:docPr descr="" title="" id="50" name="Picture"/>
                  <a:graphic>
                    <a:graphicData uri="http://schemas.openxmlformats.org/drawingml/2006/picture">
                      <pic:pic>
                        <pic:nvPicPr>
                          <pic:cNvPr descr="gems_report_plots_files/figure-docx/fig-cal-timeseries-1.png" id="51" name="Picture"/>
                          <pic:cNvPicPr>
                            <a:picLocks noChangeArrowheads="1" noChangeAspect="1"/>
                          </pic:cNvPicPr>
                        </pic:nvPicPr>
                        <pic:blipFill>
                          <a:blip r:embed="rId4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SeapHOx optode and fitted GEMS oxygen over the codeployment time period. Fitted RGA Oxygen data shows a reasonable match to the SeapHOx optode data for the codeployment period.</w:t>
            </w:r>
          </w:p>
          <w:bookmarkEnd w:id="52"/>
        </w:tc>
      </w:tr>
    </w:tbl>
    <w:p>
      <w:r>
        <w:br w:type="page"/>
      </w:r>
    </w:p>
    <w:bookmarkEnd w:id="53"/>
    <w:bookmarkEnd w:id="54"/>
    <w:bookmarkStart w:id="80" w:name="flux"/>
    <w:p>
      <w:pPr>
        <w:pStyle w:val="Heading2"/>
      </w:pPr>
      <w:r>
        <w:t xml:space="preserve">Flux</w:t>
      </w:r>
    </w:p>
    <w:tbl>
      <w:tblPr>
        <w:tblStyle w:val="Table"/>
        <w:tblW w:type="pct" w:w="5000"/>
        <w:tblLayout w:type="fixed"/>
        <w:tblLook w:firstRow="0" w:lastRow="0" w:firstColumn="0" w:lastColumn="0" w:noHBand="0" w:noVBand="0" w:val="0000"/>
      </w:tblPr>
      <w:tblGrid>
        <w:gridCol w:w="7920"/>
      </w:tblGrid>
      <w:tr>
        <w:tc>
          <w:tcPr/>
          <w:bookmarkStart w:id="58" w:name="fig-flux-timeseries"/>
          <w:p>
            <w:pPr>
              <w:pStyle w:val="Compact"/>
              <w:jc w:val="center"/>
            </w:pPr>
            <w:r>
              <w:drawing>
                <wp:inline>
                  <wp:extent cx="5943600" cy="6537960"/>
                  <wp:effectExtent b="0" l="0" r="0" t="0"/>
                  <wp:docPr descr="" title="" id="56" name="Picture"/>
                  <a:graphic>
                    <a:graphicData uri="http://schemas.openxmlformats.org/drawingml/2006/picture">
                      <pic:pic>
                        <pic:nvPicPr>
                          <pic:cNvPr descr="gems_report_plots_files/figure-docx/fig-flux-timeseries-1.png" id="57" name="Picture"/>
                          <pic:cNvPicPr>
                            <a:picLocks noChangeArrowheads="1" noChangeAspect="1"/>
                          </pic:cNvPicPr>
                        </pic:nvPicPr>
                        <pic:blipFill>
                          <a:blip r:embed="rId55"/>
                          <a:stretch>
                            <a:fillRect/>
                          </a:stretch>
                        </pic:blipFill>
                        <pic:spPr bwMode="auto">
                          <a:xfrm>
                            <a:off x="0" y="0"/>
                            <a:ext cx="5943600" cy="653796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Hourly oxygen flux for the duration of the deployment. estimated daily light integral (DLI) and measured seawater temperature for comparison. Flux decreases with decreasing light and temperature. No light sensor was codeployed with GEMS, therefore photosynthetically active radiation (PAR) and DLI are estimated from modeled, cloud-free insolation.</w:t>
            </w:r>
          </w:p>
          <w:bookmarkEnd w:id="58"/>
        </w:tc>
      </w:tr>
    </w:tbl>
    <w:bookmarkStart w:id="63" w:name="representative-daily-flux"/>
    <w:p>
      <w:pPr>
        <w:pStyle w:val="Heading3"/>
      </w:pPr>
      <w:r>
        <w:t xml:space="preserve">Representative daily flux</w:t>
      </w:r>
    </w:p>
    <w:tbl>
      <w:tblPr>
        <w:tblStyle w:val="Table"/>
        <w:tblW w:type="pct" w:w="5000"/>
        <w:tblLayout w:type="fixed"/>
        <w:tblLook w:firstRow="0" w:lastRow="0" w:firstColumn="0" w:lastColumn="0" w:noHBand="0" w:noVBand="0" w:val="0000"/>
      </w:tblPr>
      <w:tblGrid>
        <w:gridCol w:w="7920"/>
      </w:tblGrid>
      <w:tr>
        <w:tc>
          <w:tcPr/>
          <w:bookmarkStart w:id="62" w:name="fig-flux-zoom"/>
          <w:p>
            <w:pPr>
              <w:pStyle w:val="Compact"/>
              <w:jc w:val="center"/>
            </w:pPr>
            <w:r>
              <w:drawing>
                <wp:inline>
                  <wp:extent cx="5943600" cy="4754880"/>
                  <wp:effectExtent b="0" l="0" r="0" t="0"/>
                  <wp:docPr descr="" title="" id="60" name="Picture"/>
                  <a:graphic>
                    <a:graphicData uri="http://schemas.openxmlformats.org/drawingml/2006/picture">
                      <pic:pic>
                        <pic:nvPicPr>
                          <pic:cNvPr descr="gems_report_plots_files/figure-docx/fig-flux-zoom-1.png" id="61" name="Picture"/>
                          <pic:cNvPicPr>
                            <a:picLocks noChangeArrowheads="1" noChangeAspect="1"/>
                          </pic:cNvPicPr>
                        </pic:nvPicPr>
                        <pic:blipFill>
                          <a:blip r:embed="rId5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Oxygen flux with predicted PAR for comparison for the period July 15-20. Upward flux aligns with peak daily light. Respiration flux increases through the dark hours. Fluxes have strong daily variability.</w:t>
            </w:r>
          </w:p>
          <w:bookmarkEnd w:id="62"/>
        </w:tc>
      </w:tr>
    </w:tbl>
    <w:p>
      <w:r>
        <w:br w:type="page"/>
      </w:r>
    </w:p>
    <w:bookmarkEnd w:id="63"/>
    <w:bookmarkStart w:id="69" w:name="diel-plots"/>
    <w:p>
      <w:pPr>
        <w:pStyle w:val="Heading3"/>
      </w:pPr>
      <w:r>
        <w:t xml:space="preserve">Diel Plots</w:t>
      </w:r>
    </w:p>
    <w:bookmarkStart w:id="68" w:name="concentration-and-gradient"/>
    <w:p>
      <w:pPr>
        <w:pStyle w:val="Heading4"/>
      </w:pPr>
      <w:r>
        <w:t xml:space="preserve">Concentration and gradient</w:t>
      </w:r>
    </w:p>
    <w:tbl>
      <w:tblPr>
        <w:tblStyle w:val="Table"/>
        <w:tblW w:type="pct" w:w="5000"/>
        <w:tblLayout w:type="fixed"/>
        <w:tblLook w:firstRow="0" w:lastRow="0" w:firstColumn="0" w:lastColumn="0" w:noHBand="0" w:noVBand="0" w:val="0000"/>
      </w:tblPr>
      <w:tblGrid>
        <w:gridCol w:w="7920"/>
      </w:tblGrid>
      <w:tr>
        <w:tc>
          <w:tcPr/>
          <w:bookmarkStart w:id="67" w:name="fig-gradient-diel"/>
          <w:p>
            <w:pPr>
              <w:pStyle w:val="Compact"/>
              <w:jc w:val="center"/>
            </w:pPr>
            <w:r>
              <w:drawing>
                <wp:inline>
                  <wp:extent cx="5943600" cy="5943600"/>
                  <wp:effectExtent b="0" l="0" r="0" t="0"/>
                  <wp:docPr descr="" title="" id="65" name="Picture"/>
                  <a:graphic>
                    <a:graphicData uri="http://schemas.openxmlformats.org/drawingml/2006/picture">
                      <pic:pic>
                        <pic:nvPicPr>
                          <pic:cNvPr descr="gems_report_plots_files/figure-docx/fig-gradient-diel-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GEMS oxygen concentration and gradient aggregated across the deployment by hour of day. Hour is adjusted to the mean solar noon for the deployment. Mean oxygen concentration across both inlets. Gradient is estimated using the difference between high and low inlets over the difference in inlet height.</w:t>
            </w:r>
          </w:p>
          <w:bookmarkEnd w:id="67"/>
        </w:tc>
      </w:tr>
    </w:tbl>
    <w:p>
      <w:r>
        <w:br w:type="page"/>
      </w:r>
    </w:p>
    <w:bookmarkEnd w:id="68"/>
    <w:bookmarkEnd w:id="69"/>
    <w:bookmarkStart w:id="74" w:name="oxygen-flux-and-predicted-par"/>
    <w:p>
      <w:pPr>
        <w:pStyle w:val="Heading3"/>
      </w:pPr>
      <w:r>
        <w:t xml:space="preserve">Oxygen flux and predicted par</w:t>
      </w:r>
    </w:p>
    <w:tbl>
      <w:tblPr>
        <w:tblStyle w:val="Table"/>
        <w:tblW w:type="pct" w:w="5000"/>
        <w:tblLayout w:type="fixed"/>
        <w:tblLook w:firstRow="0" w:lastRow="0" w:firstColumn="0" w:lastColumn="0" w:noHBand="0" w:noVBand="0" w:val="0000"/>
      </w:tblPr>
      <w:tblGrid>
        <w:gridCol w:w="7920"/>
      </w:tblGrid>
      <w:tr>
        <w:tc>
          <w:tcPr/>
          <w:bookmarkStart w:id="73" w:name="fig-flux-diel"/>
          <w:p>
            <w:pPr>
              <w:pStyle w:val="Compact"/>
              <w:jc w:val="center"/>
            </w:pPr>
            <w:r>
              <w:drawing>
                <wp:inline>
                  <wp:extent cx="5943600" cy="5943600"/>
                  <wp:effectExtent b="0" l="0" r="0" t="0"/>
                  <wp:docPr descr="" title="" id="71" name="Picture"/>
                  <a:graphic>
                    <a:graphicData uri="http://schemas.openxmlformats.org/drawingml/2006/picture">
                      <pic:pic>
                        <pic:nvPicPr>
                          <pic:cNvPr descr="gems_report_plots_files/figure-docx/fig-flux-diel-1.png" id="72" name="Picture"/>
                          <pic:cNvPicPr>
                            <a:picLocks noChangeArrowheads="1" noChangeAspect="1"/>
                          </pic:cNvPicPr>
                        </pic:nvPicPr>
                        <pic:blipFill>
                          <a:blip r:embed="rId7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GEMS oxygen flux and predicted par aggregated hourly for the duration of the deployment. Hour is adjusted to the mean solar noon for the deployment.</w:t>
            </w:r>
          </w:p>
          <w:bookmarkEnd w:id="73"/>
        </w:tc>
      </w:tr>
    </w:tbl>
    <w:bookmarkEnd w:id="74"/>
    <w:bookmarkStart w:id="79" w:name="monthly-variability"/>
    <w:p>
      <w:pPr>
        <w:pStyle w:val="Heading3"/>
      </w:pPr>
      <w:r>
        <w:t xml:space="preserve">Monthly variability</w:t>
      </w:r>
    </w:p>
    <w:tbl>
      <w:tblPr>
        <w:tblStyle w:val="Table"/>
        <w:tblW w:type="pct" w:w="5000"/>
        <w:tblLayout w:type="fixed"/>
        <w:tblLook w:firstRow="0" w:lastRow="0" w:firstColumn="0" w:lastColumn="0" w:noHBand="0" w:noVBand="0" w:val="0000"/>
      </w:tblPr>
      <w:tblGrid>
        <w:gridCol w:w="7920"/>
      </w:tblGrid>
      <w:tr>
        <w:tc>
          <w:tcPr/>
          <w:bookmarkStart w:id="78" w:name="fig-flux-diel-monthly"/>
          <w:p>
            <w:pPr>
              <w:pStyle w:val="Compact"/>
              <w:jc w:val="center"/>
            </w:pPr>
            <w:r>
              <w:drawing>
                <wp:inline>
                  <wp:extent cx="5943600" cy="5943600"/>
                  <wp:effectExtent b="0" l="0" r="0" t="0"/>
                  <wp:docPr descr="" title="" id="76" name="Picture"/>
                  <a:graphic>
                    <a:graphicData uri="http://schemas.openxmlformats.org/drawingml/2006/picture">
                      <pic:pic>
                        <pic:nvPicPr>
                          <pic:cNvPr descr="gems_report_plots_files/figure-docx/fig-flux-diel-monthly-1.png" id="77" name="Picture"/>
                          <pic:cNvPicPr>
                            <a:picLocks noChangeArrowheads="1" noChangeAspect="1"/>
                          </pic:cNvPicPr>
                        </pic:nvPicPr>
                        <pic:blipFill>
                          <a:blip r:embed="rId7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GEMS oxygen flux and predicted par aggregated hourly and separated by month. Hour is adjusted to the mean solar noon for the deployment. June data is not shown due to bias from only 3 days of data acquisition.</w:t>
            </w:r>
          </w:p>
          <w:bookmarkEnd w:id="78"/>
        </w:tc>
      </w:tr>
    </w:tbl>
    <w:p>
      <w:r>
        <w:br w:type="page"/>
      </w:r>
    </w:p>
    <w:bookmarkEnd w:id="79"/>
    <w:bookmarkEnd w:id="80"/>
    <w:bookmarkStart w:id="89" w:name="net-ecosystem-metabolism"/>
    <w:p>
      <w:pPr>
        <w:pStyle w:val="Heading1"/>
      </w:pPr>
      <w:r>
        <w:t xml:space="preserve">Net ecosystem metabolism</w:t>
      </w:r>
    </w:p>
    <w:tbl>
      <w:tblPr>
        <w:tblStyle w:val="Table"/>
        <w:tblW w:type="pct" w:w="5000"/>
        <w:tblLayout w:type="fixed"/>
        <w:tblLook w:firstRow="0" w:lastRow="0" w:firstColumn="0" w:lastColumn="0" w:noHBand="0" w:noVBand="0" w:val="0000"/>
      </w:tblPr>
      <w:tblGrid>
        <w:gridCol w:w="7920"/>
      </w:tblGrid>
      <w:tr>
        <w:tc>
          <w:tcPr/>
          <w:bookmarkStart w:id="84" w:name="fig-flux-nem-hourly"/>
          <w:p>
            <w:pPr>
              <w:pStyle w:val="Compact"/>
              <w:jc w:val="center"/>
            </w:pPr>
            <w:r>
              <w:drawing>
                <wp:inline>
                  <wp:extent cx="5943600" cy="3268980"/>
                  <wp:effectExtent b="0" l="0" r="0" t="0"/>
                  <wp:docPr descr="" title="" id="82" name="Picture"/>
                  <a:graphic>
                    <a:graphicData uri="http://schemas.openxmlformats.org/drawingml/2006/picture">
                      <pic:pic>
                        <pic:nvPicPr>
                          <pic:cNvPr descr="gems_report_plots_files/figure-docx/fig-flux-nem-hourly-1.png" id="83" name="Picture"/>
                          <pic:cNvPicPr>
                            <a:picLocks noChangeArrowheads="1" noChangeAspect="1"/>
                          </pic:cNvPicPr>
                        </pic:nvPicPr>
                        <pic:blipFill>
                          <a:blip r:embed="rId81"/>
                          <a:stretch>
                            <a:fillRect/>
                          </a:stretch>
                        </pic:blipFill>
                        <pic:spPr bwMode="auto">
                          <a:xfrm>
                            <a:off x="0" y="0"/>
                            <a:ext cx="5943600" cy="32689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Oxygen flux integrated by month for the deployment period to provide an estimate of net ecosystem metabolism (NEM). The benthic system at Naushon Island is close to net neutral over time.</w:t>
            </w:r>
          </w:p>
          <w:bookmarkEnd w:id="84"/>
        </w:tc>
      </w:tr>
    </w:tbl>
    <w:tbl>
      <w:tblPr>
        <w:tblStyle w:val="Table"/>
        <w:tblW w:type="pct" w:w="5000"/>
        <w:tblLayout w:type="fixed"/>
        <w:tblLook w:firstRow="0" w:lastRow="0" w:firstColumn="0" w:lastColumn="0" w:noHBand="0" w:noVBand="0" w:val="0000"/>
      </w:tblPr>
      <w:tblGrid>
        <w:gridCol w:w="7920"/>
      </w:tblGrid>
      <w:tr>
        <w:tc>
          <w:tcPr/>
          <w:bookmarkStart w:id="88" w:name="fig-flux-nem-monthly"/>
          <w:p>
            <w:pPr>
              <w:pStyle w:val="Compact"/>
              <w:jc w:val="center"/>
            </w:pPr>
            <w:r>
              <w:drawing>
                <wp:inline>
                  <wp:extent cx="5943600" cy="3268980"/>
                  <wp:effectExtent b="0" l="0" r="0" t="0"/>
                  <wp:docPr descr="" title="" id="86" name="Picture"/>
                  <a:graphic>
                    <a:graphicData uri="http://schemas.openxmlformats.org/drawingml/2006/picture">
                      <pic:pic>
                        <pic:nvPicPr>
                          <pic:cNvPr descr="gems_report_plots_files/figure-docx/fig-flux-nem-monthly-1.png" id="87" name="Picture"/>
                          <pic:cNvPicPr>
                            <a:picLocks noChangeArrowheads="1" noChangeAspect="1"/>
                          </pic:cNvPicPr>
                        </pic:nvPicPr>
                        <pic:blipFill>
                          <a:blip r:embed="rId85"/>
                          <a:stretch>
                            <a:fillRect/>
                          </a:stretch>
                        </pic:blipFill>
                        <pic:spPr bwMode="auto">
                          <a:xfrm>
                            <a:off x="0" y="0"/>
                            <a:ext cx="5943600" cy="32689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Daily-integrated NEM for the deployment period. Daily NEM is variable, but is close to net-neutral over time.</w:t>
            </w:r>
          </w:p>
          <w:bookmarkEnd w:id="88"/>
        </w:tc>
      </w:tr>
    </w:tbl>
    <w:p>
      <w:r>
        <w:br w:type="page"/>
      </w:r>
    </w:p>
    <w:bookmarkEnd w:id="89"/>
    <w:bookmarkStart w:id="94" w:name="eelgrass-growth"/>
    <w:p>
      <w:pPr>
        <w:pStyle w:val="Heading1"/>
      </w:pPr>
      <w:r>
        <w:t xml:space="preserve">Eelgrass growth</w:t>
      </w:r>
    </w:p>
    <w:tbl>
      <w:tblPr>
        <w:tblStyle w:val="Table"/>
        <w:tblW w:type="pct" w:w="5000"/>
        <w:tblLayout w:type="fixed"/>
        <w:tblLook w:firstRow="0" w:lastRow="0" w:firstColumn="0" w:lastColumn="0" w:noHBand="0" w:noVBand="0" w:val="0000"/>
      </w:tblPr>
      <w:tblGrid>
        <w:gridCol w:w="7920"/>
      </w:tblGrid>
      <w:tr>
        <w:tc>
          <w:tcPr/>
          <w:bookmarkStart w:id="93" w:name="fig-eelgrass"/>
          <w:p>
            <w:pPr>
              <w:pStyle w:val="Compact"/>
              <w:jc w:val="center"/>
            </w:pPr>
            <w:r>
              <w:drawing>
                <wp:inline>
                  <wp:extent cx="5943600" cy="7132320"/>
                  <wp:effectExtent b="0" l="0" r="0" t="0"/>
                  <wp:docPr descr="" title="" id="91" name="Picture"/>
                  <a:graphic>
                    <a:graphicData uri="http://schemas.openxmlformats.org/drawingml/2006/picture">
                      <pic:pic>
                        <pic:nvPicPr>
                          <pic:cNvPr descr="gems_report_plots_files/figure-docx/fig-eelgrass-1.png" id="92" name="Picture"/>
                          <pic:cNvPicPr>
                            <a:picLocks noChangeArrowheads="1" noChangeAspect="1"/>
                          </pic:cNvPicPr>
                        </pic:nvPicPr>
                        <pic:blipFill>
                          <a:blip r:embed="rId90"/>
                          <a:stretch>
                            <a:fillRect/>
                          </a:stretch>
                        </pic:blipFill>
                        <pic:spPr bwMode="auto">
                          <a:xfrm>
                            <a:off x="0" y="0"/>
                            <a:ext cx="5943600" cy="71323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Naushon eelgrass shoot biomass (top) and shoot length (bottom) data by year. Eelgrass was sampled from 3-5 20 cm² quadrats. Point error bars are the standard deviation of quadrats for mass and count and the standard deviation of all blade lengths for length. The fit line is a loess fit through all data.</w:t>
            </w:r>
          </w:p>
          <w:bookmarkEnd w:id="93"/>
        </w:tc>
      </w:tr>
    </w:tbl>
    <w:bookmarkEnd w:id="94"/>
    <w:sectPr w:rsidR="009D53E9">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F342DAB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3535685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9D53E9"/>
    <w:rsid w:val="004E1FD3"/>
    <w:rsid w:val="0098304A"/>
    <w:rsid w:val="009D53E9"/>
    <w:rsid w:val="00AE41B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4E1FD3"/>
    <w:pPr>
      <w:spacing w:after="180" w:before="180"/>
    </w:pPr>
    <w:rPr>
      <w:rFonts w:ascii="Times New Roman" w:hAnsi="Times New Roman"/>
      <w:sz w:val="22"/>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E1FD3"/>
    <w:pPr>
      <w:spacing w:after="120"/>
    </w:pPr>
    <w:rPr>
      <w:rFonts w:ascii="Times New Roman" w:hAnsi="Times New Roman"/>
      <w:i/>
      <w:sz w:val="22"/>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E1FD3"/>
    <w:rPr>
      <w:rFonts w:ascii="Times New Roman" w:hAnsi="Times New Roman"/>
      <w:i/>
      <w:sz w:val="22"/>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rFonts w:ascii="Times New Roman" w:hAnsi="Times New Roman"/>
      <w:i/>
      <w:sz w:val="22"/>
    </w:rPr>
  </w:style>
  <w:style w:styleId="FootnoteReference" w:type="character">
    <w:name w:val="footnote reference"/>
    <w:basedOn w:val="CaptionChar"/>
    <w:rPr>
      <w:rFonts w:ascii="Times New Roman" w:hAnsi="Times New Roman"/>
      <w:i/>
      <w:sz w:val="22"/>
      <w:vertAlign w:val="superscript"/>
    </w:rPr>
  </w:style>
  <w:style w:styleId="Hyperlink" w:type="character">
    <w:name w:val="Hyperlink"/>
    <w:basedOn w:val="CaptionChar"/>
    <w:rPr>
      <w:rFonts w:ascii="Times New Roman" w:hAnsi="Times New Roman"/>
      <w:i/>
      <w:color w:themeColor="accent1" w:val="156082"/>
      <w:sz w:val="22"/>
    </w:rPr>
  </w:style>
  <w:style w:styleId="TOCHeading" w:type="paragraph">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90" Target="media/rId90.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 Report Figures</dc:title>
  <dc:creator/>
  <cp:keywords/>
  <dcterms:created xsi:type="dcterms:W3CDTF">2026-02-05T19:07:17Z</dcterms:created>
  <dcterms:modified xsi:type="dcterms:W3CDTF">2026-02-05T19:07:17Z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