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Stroke Risk Factor Analysis: A Statistical Study of Clinical Predictors</w:t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Authors </w:t>
      </w:r>
      <w:r>
        <w:rPr/>
        <w:t>Alex Ruder, Taija Grace</w:t>
      </w:r>
    </w:p>
    <w:p>
      <w:pPr>
        <w:pStyle w:val="Normal"/>
        <w:bidi w:val="0"/>
        <w:jc w:val="start"/>
        <w:rPr/>
      </w:pPr>
      <w:r>
        <w:rPr/>
        <w:t xml:space="preserve">Institution </w:t>
      </w:r>
      <w:r>
        <w:rPr/>
        <w:t>Kyu Lee</w:t>
      </w:r>
    </w:p>
    <w:p>
      <w:pPr>
        <w:pStyle w:val="Normal"/>
        <w:bidi w:val="0"/>
        <w:jc w:val="start"/>
        <w:rPr/>
      </w:pPr>
      <w:r>
        <w:rPr/>
        <w:t>Date: June 2026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Abstract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Stroke is one of the most devastating neurological emergencies worldwide, ranking as the second leading cause of death globally and the leading cause of long-term disability. Each year, approximately 15 million people suffer a stroke, of whom 6.2 million die and another 5 million are left permanently disabled. In the United States alone, a stroke occurs every 40 seconds, resulting in roughly 795,000 events annually and economic costs exceeding $34 billion. Strokes are classified into two primary types: ischemic stroke (approximately 87% of cases), caused by blockage of a cerebral artery due to thrombosis or embolism, and hemorrhagic stroke, caused by the rupture of a blood vessel within the brain. Despite this burden, clinical evidence indicates that up to 80% of strokes are preventable through timely identification and management of modifiable risk factors such as hypertension, hyperglycemia, atrial fibrillation, smoking, and obesity.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1. Introduction</w:t>
      </w:r>
    </w:p>
    <w:p>
      <w:pPr>
        <w:pStyle w:val="Normal"/>
        <w:bidi w:val="0"/>
        <w:jc w:val="start"/>
        <w:rPr/>
      </w:pPr>
      <w:r>
        <w:rPr/>
        <w:t>Stroke is the second leading cause of death globally, claiming approximately 6.2 million lives annually. In the United States, 795,000 strokes occur each year, with an economic burden exceeding $34 billion. The clinical consensus is that up to 80% of strokes are preventable through lifestyle modification and medical management of risk factors.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Despite this, many high-risk individuals remain unidentified until a stroke event occurs. Routine clinical visits collect extensive patient data including age, blood pressure, glucose levels, BMI, and lifestyle history yet this data is rarely used in a systematic, evidence-based risk stratification process.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research applies statistical data analytics to a clinical stroke dataset to identify which factors most strongly predict stroke, quantify their effect sizes, and propose a simple risk stratification tool for clinical deployment.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2. Literature Review</w:t>
      </w:r>
    </w:p>
    <w:p>
      <w:pPr>
        <w:pStyle w:val="Normal"/>
        <w:bidi w:val="0"/>
        <w:jc w:val="start"/>
        <w:rPr/>
      </w:pPr>
      <w:r>
        <w:rPr/>
        <w:t>Prior research consistently identifies age, hypertension, diabetes (elevated glucose), and cardiovascular disease as primary stroke risk factors (Feigin et al., 2016). The INTERSTROKE study found that five modifiable risk factors — hypertension, physical inactivity, diabetes, diet, and smoking — account for over 80% of global stroke burden.</w:t>
      </w:r>
    </w:p>
    <w:p>
      <w:pPr>
        <w:pStyle w:val="Normal"/>
        <w:bidi w:val="0"/>
        <w:jc w:val="start"/>
        <w:rPr/>
      </w:pPr>
      <w:r>
        <w:rPr/>
        <w:t>Machine learning approaches have demonstrated accuracy above 90% in stroke prediction (Dritsas &amp; Trigka, 2022), but complex models lack clinical interpretability. Simpler statistical models and risk scores (e.g., Framingham Stroke Risk Score) have proven more adoptable in clinical practice.</w:t>
      </w:r>
    </w:p>
    <w:p>
      <w:pPr>
        <w:pStyle w:val="Normal"/>
        <w:bidi w:val="0"/>
        <w:jc w:val="start"/>
        <w:rPr/>
      </w:pPr>
      <w:r>
        <w:rPr/>
        <w:t>This study bridges the gap by applying transparent statistical methods to derive interpretable findings directly applicable to clinical decision-making.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3. Dataset Description</w:t>
      </w:r>
    </w:p>
    <w:p>
      <w:pPr>
        <w:pStyle w:val="Normal"/>
        <w:bidi w:val="0"/>
        <w:jc w:val="start"/>
        <w:rPr/>
      </w:pPr>
      <w:r>
        <w:rPr/>
        <w:t>The dataset is sourced from Kaggle (fedesoriano, 2021) and contains 5,110 patient records with 12 attributes:</w:t>
      </w:r>
    </w:p>
    <w:p>
      <w:pPr>
        <w:pStyle w:val="Normal"/>
        <w:bidi w:val="0"/>
        <w:jc w:val="start"/>
        <w:rPr/>
      </w:pPr>
      <w:r>
        <w:rPr/>
        <w:t>- Demographic: id, gender, age, ever_married</w:t>
      </w:r>
    </w:p>
    <w:p>
      <w:pPr>
        <w:pStyle w:val="Normal"/>
        <w:bidi w:val="0"/>
        <w:jc w:val="start"/>
        <w:rPr/>
      </w:pPr>
      <w:r>
        <w:rPr/>
        <w:t>- Medical: hypertension, heart_disease, avg_glucose_level, bmi</w:t>
      </w:r>
    </w:p>
    <w:p>
      <w:pPr>
        <w:pStyle w:val="Normal"/>
        <w:bidi w:val="0"/>
        <w:jc w:val="start"/>
        <w:rPr/>
      </w:pPr>
      <w:r>
        <w:rPr/>
        <w:t>- Lifestyle: work_type, Residence_type, smoking_status</w:t>
      </w:r>
    </w:p>
    <w:p>
      <w:pPr>
        <w:pStyle w:val="Normal"/>
        <w:bidi w:val="0"/>
        <w:jc w:val="start"/>
        <w:rPr/>
      </w:pPr>
      <w:r>
        <w:rPr/>
        <w:t>-Target: stroke (binary: 0 = no stroke, 1 = stroke)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dataset exhibits significant class imbalance: 4,861 non-stroke cases (95.13%) and 249 stroke cases (4.87%). Missing data was limited to BMI (201 nulls, 3.93%) and smoking status (1,544 "Unknown", 30.2%).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4. Methodology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4.1 Database Design</w:t>
      </w:r>
    </w:p>
    <w:p>
      <w:pPr>
        <w:pStyle w:val="Normal"/>
        <w:bidi w:val="0"/>
        <w:jc w:val="start"/>
        <w:rPr/>
      </w:pPr>
      <w:r>
        <w:rPr/>
        <w:t>Data was normalized into a 3NF SQLite schema with five tables: patient, patient_health, dim_work_type, dim_residence_type, and dim_smoking_status. This eliminated data redundancy and enabled efficient query-based analysis.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4.2 Data Cleaning</w:t>
      </w:r>
    </w:p>
    <w:p>
      <w:pPr>
        <w:pStyle w:val="Normal"/>
        <w:bidi w:val="0"/>
        <w:jc w:val="start"/>
        <w:rPr/>
      </w:pPr>
      <w:r>
        <w:rPr/>
        <w:t>Missing BMI values were stored as NULL. Smoking status "Unknown" was retained as a distinct category. Outliers in glucose (&gt;200 mg/dL) and BMI (&gt;60) were validated as clinically plausible and retained.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4.3 Descriptive Statistics</w:t>
      </w:r>
    </w:p>
    <w:p>
      <w:pPr>
        <w:pStyle w:val="Normal"/>
        <w:bidi w:val="0"/>
        <w:jc w:val="start"/>
        <w:rPr/>
      </w:pPr>
      <w:r>
        <w:rPr/>
        <w:t>Mean, median, mode, standard deviation, variance, and quartiles were computed for all continuous variables. Frequency distributions were tabulated for all categorical variables.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4.4 Hypothesis Testing</w:t>
      </w:r>
    </w:p>
    <w:p>
      <w:pPr>
        <w:pStyle w:val="Normal"/>
        <w:bidi w:val="0"/>
        <w:jc w:val="start"/>
        <w:rPr/>
      </w:pPr>
      <w:r>
        <w:rPr/>
        <w:t>Ten research questions were formulated with null and alternative hypotheses. Tests applied:</w:t>
      </w:r>
    </w:p>
    <w:p>
      <w:pPr>
        <w:pStyle w:val="Normal"/>
        <w:bidi w:val="0"/>
        <w:jc w:val="start"/>
        <w:rPr/>
      </w:pPr>
      <w:r>
        <w:rPr/>
        <w:t>-Independent Samples T-Test: comparing continuous means between stroke/non-stroke groups</w:t>
      </w:r>
    </w:p>
    <w:p>
      <w:pPr>
        <w:pStyle w:val="Normal"/>
        <w:bidi w:val="0"/>
        <w:jc w:val="start"/>
        <w:rPr/>
      </w:pPr>
      <w:r>
        <w:rPr/>
        <w:t>-One-Way ANOVA: comparing stroke rates across 3+ categorical groups</w:t>
      </w:r>
    </w:p>
    <w:p>
      <w:pPr>
        <w:pStyle w:val="Normal"/>
        <w:bidi w:val="0"/>
        <w:jc w:val="start"/>
        <w:rPr/>
      </w:pPr>
      <w:r>
        <w:rPr/>
        <w:t>-Chi-Square Test of Independence: testing association between categorical variables and stroke</w:t>
      </w:r>
    </w:p>
    <w:p>
      <w:pPr>
        <w:pStyle w:val="Normal"/>
        <w:bidi w:val="0"/>
        <w:jc w:val="start"/>
        <w:rPr/>
      </w:pPr>
      <w:r>
        <w:rPr/>
        <w:t>-Quartile Analysis: dividing continuous variables into Q1–Q4 bins and comparing stroke rates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Significance level: a = 0.05 (95% confidence).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4.5 Patient Segmentation</w:t>
      </w:r>
    </w:p>
    <w:p>
      <w:pPr>
        <w:pStyle w:val="Normal"/>
        <w:bidi w:val="0"/>
        <w:jc w:val="start"/>
        <w:rPr/>
      </w:pPr>
      <w:r>
        <w:rPr/>
        <w:t>A 5-factor composite risk score (0–5) was constructed from binary indicators: hypertension, heart disease, glucose &gt; 140, age &gt; 60, and smoking (formerly or currently). Patients were segmented by score and age group.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5. Results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5.1 Descriptive Statistics</w:t>
      </w:r>
    </w:p>
    <w:p>
      <w:pPr>
        <w:pStyle w:val="Normal"/>
        <w:bidi w:val="0"/>
        <w:jc w:val="start"/>
        <w:rPr/>
      </w:pPr>
      <w:r>
        <w:rPr/>
        <w:t>The mean patient age was 43.2 years (SD = 22.6). Mean glucose was 106.2 mg/dL (SD = 45.3). Mean BMI was 28.9 (SD = 7.9). Females represented 58.6% of the dataset; 9.7% had hypertension; 5.4% had heart disease.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5.2 RQ1  Age and Stroke Risk</w:t>
      </w:r>
    </w:p>
    <w:p>
      <w:pPr>
        <w:pStyle w:val="Normal"/>
        <w:bidi w:val="0"/>
        <w:jc w:val="start"/>
        <w:rPr/>
      </w:pPr>
      <w:r>
        <w:rPr/>
        <w:t>Stroke patients had a mean age of 67.7 years vs 41.9 years for non-stroke patients. The independent T-Test yielded T = 22.94, p &lt; 0.0001 highly significant. Senior patients (&gt;60) had a 13.57% stroke rate vs 0.13% for patients under 30.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5.3 RQ2 Hypertension and Stroke Risk</w:t>
      </w:r>
    </w:p>
    <w:p>
      <w:pPr>
        <w:pStyle w:val="Normal"/>
        <w:bidi w:val="0"/>
        <w:jc w:val="start"/>
        <w:rPr/>
      </w:pPr>
      <w:r>
        <w:rPr/>
        <w:t>Chi-Square analysis: Chi2 = 81.61, p = 1.66e-19. Patients with hypertension had a stroke rate of 13.25% vs 3.97% without a 3.3x increase.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5.4 RQ3 Heart Disease and Stroke Risk</w:t>
      </w:r>
    </w:p>
    <w:p>
      <w:pPr>
        <w:pStyle w:val="Normal"/>
        <w:bidi w:val="0"/>
        <w:jc w:val="start"/>
        <w:rPr/>
      </w:pPr>
      <w:r>
        <w:rPr/>
        <w:t>Chi-Square analysis: Chi2 = 60.22, p &lt; 0.0001. Patients with heart disease had approximately 4x higher stroke rates than those without.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5.5 RQ4 Lifestyle Factors</w:t>
      </w:r>
    </w:p>
    <w:p>
      <w:pPr>
        <w:pStyle w:val="Normal"/>
        <w:bidi w:val="0"/>
        <w:jc w:val="start"/>
        <w:rPr/>
      </w:pPr>
      <w:r>
        <w:rPr/>
        <w:t>Work type showed significant ANOVA results (F = 12.40, p = 4.90e-10). Self-employed patients had the highest stroke rate (7.94%). Smoking status showed borderline significance (p = 0.079), likely attenuated by 30% missing values.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5.6 RQ5 Glucose Level and Stroke Risk</w:t>
      </w:r>
    </w:p>
    <w:p>
      <w:pPr>
        <w:pStyle w:val="Normal"/>
        <w:bidi w:val="0"/>
        <w:jc w:val="start"/>
        <w:rPr/>
      </w:pPr>
      <w:r>
        <w:rPr/>
        <w:t>T-Test: T = 9.51, p = 2.77e-21. Stroke group mean glucose was 132.5 vs 104.8 mg/dL. Quartile analysis confirmed a monotonic increase in stroke rate from Q1 (1.9%) to Q4 (10.9%).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5.7 RQ6 BMI and Stroke Risk</w:t>
      </w:r>
    </w:p>
    <w:p>
      <w:pPr>
        <w:pStyle w:val="Normal"/>
        <w:bidi w:val="0"/>
        <w:jc w:val="start"/>
        <w:rPr/>
      </w:pPr>
      <w:r>
        <w:rPr/>
        <w:t>T-Test: T = 3.21, p = 0.0014. Stroke group mean BMI was 30.47 vs 28.82. BMI quartile analysis showed a non-linear pattern Q3 had the highest stroke rate (5.59%), not Q4.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5.8 Patient Segmentation</w:t>
      </w:r>
    </w:p>
    <w:p>
      <w:pPr>
        <w:pStyle w:val="Normal"/>
        <w:bidi w:val="0"/>
        <w:jc w:val="start"/>
        <w:rPr/>
      </w:pPr>
      <w:r>
        <w:rPr/>
        <w:t>High-risk patients (risk score &gt;= 3) represented 8.5% of the population but had an 18.24% stroke rate 3.7x the population average. Senior patients with hypertension and high glucose had estimated stroke rates of ~28%.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6. Discussion</w:t>
      </w:r>
    </w:p>
    <w:p>
      <w:pPr>
        <w:pStyle w:val="Normal"/>
        <w:bidi w:val="0"/>
        <w:jc w:val="start"/>
        <w:rPr/>
      </w:pPr>
      <w:r>
        <w:rPr/>
        <w:t>Findings are consistent with established clinical literature. Age and hypertension emerge as the dominant predictors, confirming Feigin et al.'s framework. The glucose relationship confirms the diabetes-stroke link documented in prior studies.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novel contribution of this study is the 5-factor risk score, which operationalizes multiple predictors into a single actionable metric. With a positive predictive value of 18.24% in the high-risk group, this score could serve as a first-line triage tool in primary care settings.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non-significance of smoking may reflect data quality limitations (30% Unknown) rather than a true lack of association. Future studies with complete smoking data would likely show significance.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7. Threats to Validity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Threat | Description | Mitigation |</w:t>
      </w:r>
    </w:p>
    <w:p>
      <w:pPr>
        <w:pStyle w:val="Normal"/>
        <w:bidi w:val="0"/>
        <w:jc w:val="start"/>
        <w:rPr/>
      </w:pPr>
      <w:r>
        <w:rPr/>
        <w:t>|---------------------|------------------------------------|----------------------------------------|</w:t>
      </w:r>
    </w:p>
    <w:p>
      <w:pPr>
        <w:pStyle w:val="Normal"/>
        <w:bidi w:val="0"/>
        <w:jc w:val="start"/>
        <w:rPr/>
      </w:pPr>
      <w:r>
        <w:rPr/>
        <w:t>| Class Imbalance | 95% no-stroke vs 5% stroke | Reported rates; did not train ML |</w:t>
      </w:r>
    </w:p>
    <w:p>
      <w:pPr>
        <w:pStyle w:val="Normal"/>
        <w:bidi w:val="0"/>
        <w:jc w:val="start"/>
        <w:rPr/>
      </w:pPr>
      <w:r>
        <w:rPr/>
        <w:t>| Missing BMI      | 201 nulls (3.93%)                 | Excluded from BMI analysis only |</w:t>
      </w:r>
    </w:p>
    <w:p>
      <w:pPr>
        <w:pStyle w:val="Normal"/>
        <w:bidi w:val="0"/>
        <w:jc w:val="start"/>
        <w:rPr/>
      </w:pPr>
      <w:r>
        <w:rPr/>
        <w:t>| Unknown Smoking | 1,544 (30.2%)                  | Retained as category; flagged as limitation |</w:t>
      </w:r>
    </w:p>
    <w:p>
      <w:pPr>
        <w:pStyle w:val="Normal"/>
        <w:bidi w:val="0"/>
        <w:jc w:val="start"/>
        <w:rPr/>
      </w:pPr>
      <w:r>
        <w:rPr/>
        <w:t>| Cross-sectional Data | Single time-point; no causality | Described as associations only |</w:t>
      </w:r>
    </w:p>
    <w:p>
      <w:pPr>
        <w:pStyle w:val="Normal"/>
        <w:bidi w:val="0"/>
        <w:jc w:val="start"/>
        <w:rPr/>
      </w:pPr>
      <w:r>
        <w:rPr/>
        <w:t>| Dataset Source | Kaggle — unverified clinical source | Findings treated as exploratory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8. Conclusion</w:t>
      </w:r>
    </w:p>
    <w:p>
      <w:pPr>
        <w:pStyle w:val="Normal"/>
        <w:bidi w:val="0"/>
        <w:jc w:val="start"/>
        <w:rPr/>
      </w:pPr>
      <w:r>
        <w:rPr/>
        <w:t>This study confirms that stroke risk is statistically predictable from routinely collected clinical data. Age, hypertension, heart disease, and glucose level are the strongest predictors, all achieving p &lt; 0.0001. A simple 5-factor risk score identifies the highest-risk 8.5% of patients, who have a stroke rate nearly 4x the population average.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These findings support immediate implementation of risk-based screening protocols in primary care, with particular focus on patients over 60 with comorbidities.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9. Future Work</w:t>
      </w:r>
    </w:p>
    <w:p>
      <w:pPr>
        <w:pStyle w:val="Normal"/>
        <w:bidi w:val="0"/>
        <w:jc w:val="start"/>
        <w:rPr/>
      </w:pPr>
      <w:r>
        <w:rPr/>
        <w:t>- Apply ML (Logistic Regression, Random Forest, XGBoost) for improved prediction</w:t>
      </w:r>
    </w:p>
    <w:p>
      <w:pPr>
        <w:pStyle w:val="Normal"/>
        <w:bidi w:val="0"/>
        <w:jc w:val="start"/>
        <w:rPr/>
      </w:pPr>
      <w:r>
        <w:rPr/>
        <w:t>- Address class imbalance with SMOTE or weighted classifiers</w:t>
      </w:r>
    </w:p>
    <w:p>
      <w:pPr>
        <w:pStyle w:val="Normal"/>
        <w:bidi w:val="0"/>
        <w:jc w:val="start"/>
        <w:rPr/>
      </w:pPr>
      <w:r>
        <w:rPr/>
        <w:t>- Validate on prospective cohort data</w:t>
      </w:r>
    </w:p>
    <w:p>
      <w:pPr>
        <w:pStyle w:val="Normal"/>
        <w:bidi w:val="0"/>
        <w:jc w:val="start"/>
        <w:rPr/>
      </w:pPr>
      <w:r>
        <w:rPr/>
        <w:t>- Build real-time clinical dashboard integrated with EHR systems</w:t>
      </w:r>
    </w:p>
    <w:p>
      <w:pPr>
        <w:pStyle w:val="Normal"/>
        <w:bidi w:val="0"/>
        <w:jc w:val="start"/>
        <w:rPr/>
      </w:pPr>
      <w:r>
        <w:rPr/>
        <w:t>- Investigate socioeconomic determinants as additional risk predictors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References</w:t>
      </w:r>
    </w:p>
    <w:p>
      <w:pPr>
        <w:pStyle w:val="Normal"/>
        <w:bidi w:val="0"/>
        <w:jc w:val="start"/>
        <w:rPr/>
      </w:pPr>
      <w:r>
        <w:rPr/>
        <w:t>- Boehme, Amelia K., Charles Esenwa, and Mitchell SV Elkind. "Stroke risk factors, genetics, and prevention." Circulation research 120.3 (2017): 472-495. https://doi.org/10.1161/CIRCRESAHA.116.308398</w:t>
        <w:br/>
        <w:br/>
        <w:t>- Sacco, R. L., Benjamin, E. J., Broderick, J. P., Dyken, M., Easton, J. D., Feinberg, W. M., ... &amp; Wolf, P. A. (1997). Risk factors. Stroke, 28(7), 1507-1517.</w:t>
        <w:br/>
        <w:t>https://doi.org/10.1161/01.STR.28.7.1507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fedesoriano. (2021). Stroke Prediction Dataset. Kaggle.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https://www.kaggle.com/datasets/fedesoriano/stroke-prediction-dataset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American Stroke Association. (2024). Stroke statistics.</w:t>
      </w:r>
    </w:p>
    <w:p>
      <w:pPr>
        <w:pStyle w:val="Normal"/>
        <w:bidi w:val="0"/>
        <w:jc w:val="start"/>
        <w:rPr/>
      </w:pPr>
      <w:r>
        <w:rPr/>
        <w:t>https://www.stroke.org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it like a ACM journal,</w:t>
      </w:r>
    </w:p>
    <w:p>
      <w:pPr>
        <w:pStyle w:val="Normal"/>
        <w:bidi w:val="0"/>
        <w:jc w:val="start"/>
        <w:rPr/>
      </w:pPr>
      <w:r>
        <w:rPr/>
        <w:t>need a Research Plan,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fedesoriano/stroke-prediction-datase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265</TotalTime>
  <Application>LibreOffice/25.8.6.2$Windows_X86_64 LibreOffice_project/b4b39682cd9868fa725bc664aff94278d315bd04</Application>
  <AppVersion>15.0000</AppVersion>
  <Pages>4</Pages>
  <Words>1355</Words>
  <Characters>8066</Characters>
  <CharactersWithSpaces>9376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2026-06-29T10:33:30Z</dcterms:created>
  <dc:creator/>
  <dc:description/>
  <dc:language>en-US</dc:language>
  <cp:lastModifiedBy/>
  <dcterms:modified xsi:type="dcterms:W3CDTF">2026-06-30T14:01:08Z</dcterms:modified>
  <cp:revision>2</cp:revision>
  <dc:subject/>
  <dc:title/>
</cp:coreProperties>
</file>