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1F79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Database Overview</w:t>
      </w:r>
    </w:p>
    <w:p w14:paraId="164E118B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TimeCore database is designed to support a multi-tenant time reporting and invoicing system with integration towards the Fortnox accounting platform.</w:t>
      </w:r>
    </w:p>
    <w:p w14:paraId="4C03B7E5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database structure is built around companies, tenants, users, time reports, materials, pricing rules, and invoice-related workflows. The design follows real-world business requirements, including flexible billing ownership, customer hierarchies, and configurable pricing logic.</w:t>
      </w:r>
    </w:p>
    <w:p w14:paraId="45B2A116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The database is fully </w:t>
      </w:r>
      <w:proofErr w:type="gram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relational</w:t>
      </w:r>
      <w:proofErr w:type="gram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and all tables and relationships have been designed specifically for this project.</w:t>
      </w:r>
    </w:p>
    <w:p w14:paraId="70DA9B1C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B88A9A3">
          <v:rect id="_x0000_i1133" style="width:0;height:1.5pt" o:hralign="center" o:hrstd="t" o:hr="t" fillcolor="#a0a0a0" stroked="f"/>
        </w:pict>
      </w:r>
    </w:p>
    <w:p w14:paraId="0D7D8460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Customer and Company Structure</w:t>
      </w:r>
    </w:p>
    <w:p w14:paraId="234C0C73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customer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 represents companies that work is reported against and invoiced to.</w:t>
      </w:r>
    </w:p>
    <w:p w14:paraId="37866CBF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Each customer may correspond to a company in Fortnox, and the field </w:t>
      </w:r>
      <w:proofErr w:type="gramStart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customer.customer</w:t>
      </w:r>
      <w:proofErr w:type="gramEnd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_id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stores the Fortnox CustomerNumber. This mapping is required for invoice creation and synchronization with Fortnox.</w:t>
      </w:r>
    </w:p>
    <w:p w14:paraId="3B06B47A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customer table supports both standalone companies and hierarchical company structures, such as parent companies and subsidiaries.</w:t>
      </w:r>
    </w:p>
    <w:p w14:paraId="0B46850A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sv-SE"/>
          <w14:ligatures w14:val="none"/>
        </w:rPr>
        <w:t>Billing Ownership Logic</w:t>
      </w:r>
    </w:p>
    <w:p w14:paraId="2B6A8682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billing logic is controlled by the following fields:</w:t>
      </w:r>
    </w:p>
    <w:p w14:paraId="30B6F3B5" w14:textId="77777777" w:rsidR="000431DB" w:rsidRPr="000431DB" w:rsidRDefault="000431DB" w:rsidP="00043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billing_owner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Indicates whether the customer is a billing parent company.</w:t>
      </w:r>
    </w:p>
    <w:p w14:paraId="75B02F5B" w14:textId="77777777" w:rsidR="000431DB" w:rsidRPr="000431DB" w:rsidRDefault="000431DB" w:rsidP="00043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customer_owner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Optional reference to another customer acting as the billing owner.</w:t>
      </w:r>
    </w:p>
    <w:p w14:paraId="0315B6A4" w14:textId="77777777" w:rsidR="000431DB" w:rsidRPr="000431DB" w:rsidRDefault="000431DB" w:rsidP="00043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bill_direct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br/>
        <w:t>Controls whether the invoice should be sent directly to the customer or redirected to a billing owner.</w:t>
      </w:r>
    </w:p>
    <w:p w14:paraId="730C595D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system applies the following business rules automatically:</w:t>
      </w:r>
    </w:p>
    <w:p w14:paraId="3BCD2FEF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If the company being worked for is itself the billing owner,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bill_direct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is automatically set to 1. This prevents the system from invoicing the company to itself.</w:t>
      </w:r>
    </w:p>
    <w:p w14:paraId="49B4CB00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If the company has a different billing owner defined,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bill_direct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is set to 0. In this case, invoices are sent to the billing owner instead of the subsidiary company.</w:t>
      </w:r>
    </w:p>
    <w:p w14:paraId="37DC9D69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This logic allows work to be registered for one company while invoices are sent to another, which is common in group or parent–subsidiary business structures.</w:t>
      </w:r>
    </w:p>
    <w:p w14:paraId="258F99E4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24E0AF81">
          <v:rect id="_x0000_i1134" style="width:0;height:1.5pt" o:hralign="center" o:hrstd="t" o:hr="t" fillcolor="#a0a0a0" stroked="f"/>
        </w:pict>
      </w:r>
    </w:p>
    <w:p w14:paraId="110F8404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Tenants and User Separation</w:t>
      </w:r>
    </w:p>
    <w:p w14:paraId="1B484C2C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tenants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 represents companies within the system and is used to separate users between organizations.</w:t>
      </w:r>
    </w:p>
    <w:p w14:paraId="3F9EE8BC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Each tenant can be linked to a customer through the </w:t>
      </w:r>
      <w:proofErr w:type="gramStart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tenants.customer</w:t>
      </w:r>
      <w:proofErr w:type="gramEnd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_id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field. This connection enables invoicing and Fortnox integration for that tenant.</w:t>
      </w:r>
    </w:p>
    <w:p w14:paraId="4E534957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users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 represents system users. Each user belongs to exactly one tenant through the </w:t>
      </w:r>
      <w:proofErr w:type="gramStart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users.tenant</w:t>
      </w:r>
      <w:proofErr w:type="gramEnd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_id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field. This ensures that users can only access data related to their own company.</w:t>
      </w:r>
    </w:p>
    <w:p w14:paraId="6C316EA9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User roles are managed through the </w:t>
      </w:r>
      <w:proofErr w:type="gramStart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users.role</w:t>
      </w:r>
      <w:proofErr w:type="gram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field, allowing separation between regular users and administrators.</w:t>
      </w:r>
    </w:p>
    <w:p w14:paraId="3F6F445A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AB9A0CF">
          <v:rect id="_x0000_i1135" style="width:0;height:1.5pt" o:hralign="center" o:hrstd="t" o:hr="t" fillcolor="#a0a0a0" stroked="f"/>
        </w:pict>
      </w:r>
    </w:p>
    <w:p w14:paraId="2A9E0D62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User Pricing Levels</w:t>
      </w:r>
    </w:p>
    <w:p w14:paraId="0C743688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User pricing is handled through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user_pricing_levels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table.</w:t>
      </w:r>
    </w:p>
    <w:p w14:paraId="615CAF49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Each pricing level defines an hourly rate and can be assigned to users via the </w:t>
      </w:r>
      <w:proofErr w:type="gramStart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users.level</w:t>
      </w:r>
      <w:proofErr w:type="gramEnd"/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_id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field.</w:t>
      </w:r>
    </w:p>
    <w:p w14:paraId="3BBD5FFB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When creating invoices, the system applies the following pricing rules:</w:t>
      </w:r>
    </w:p>
    <w:p w14:paraId="6B17FF91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If a customer-specific hourly rate exists, that rate is used for all labor entries.</w:t>
      </w:r>
    </w:p>
    <w:p w14:paraId="12B44049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If no customer-specific rate exists, labor costs are calculated based on the user’s assigned pricing level.</w:t>
      </w:r>
    </w:p>
    <w:p w14:paraId="2812E57F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This design allows flexible pricing strategies while keeping the pricing logic centralized and consistent.</w:t>
      </w:r>
    </w:p>
    <w:p w14:paraId="77FAFCB8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E5B00D7">
          <v:rect id="_x0000_i1136" style="width:0;height:1.5pt" o:hralign="center" o:hrstd="t" o:hr="t" fillcolor="#a0a0a0" stroked="f"/>
        </w:pict>
      </w:r>
    </w:p>
    <w:p w14:paraId="72BE18E6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Time Reporting</w:t>
      </w:r>
    </w:p>
    <w:p w14:paraId="01CE2BB7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time_report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 stores registered working time.</w:t>
      </w:r>
    </w:p>
    <w:p w14:paraId="5D6FBE35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proofErr w:type="gram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Each time</w:t>
      </w:r>
      <w:proofErr w:type="gram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report is linked to:</w:t>
      </w:r>
    </w:p>
    <w:p w14:paraId="22E0CFF9" w14:textId="77777777" w:rsidR="000431DB" w:rsidRPr="000431DB" w:rsidRDefault="000431DB" w:rsidP="00043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user</w:t>
      </w:r>
      <w:proofErr w:type="spellEnd"/>
    </w:p>
    <w:p w14:paraId="25975056" w14:textId="77777777" w:rsidR="000431DB" w:rsidRPr="000431DB" w:rsidRDefault="000431DB" w:rsidP="00043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customer</w:t>
      </w:r>
      <w:proofErr w:type="spellEnd"/>
    </w:p>
    <w:p w14:paraId="38F1B4A8" w14:textId="77777777" w:rsidR="000431DB" w:rsidRPr="000431DB" w:rsidRDefault="000431DB" w:rsidP="00043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category</w:t>
      </w:r>
      <w:proofErr w:type="spellEnd"/>
    </w:p>
    <w:p w14:paraId="2BAC5A76" w14:textId="77777777" w:rsidR="000431DB" w:rsidRPr="000431DB" w:rsidRDefault="000431DB" w:rsidP="00043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an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optional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project</w:t>
      </w:r>
      <w:proofErr w:type="spellEnd"/>
    </w:p>
    <w:p w14:paraId="0E173B02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lastRenderedPageBreak/>
        <w:t>Time reports can be marked as billable or non-billable and are later used as the basis for invoice creation.</w:t>
      </w:r>
    </w:p>
    <w:p w14:paraId="2C3F82E9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To ensure consistent categorization, all selectable categories are stored in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time_report_categories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table. These categories must be configured manually and are then available in the frontend.</w:t>
      </w:r>
    </w:p>
    <w:p w14:paraId="1B8DED8D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43BF134">
          <v:rect id="_x0000_i1137" style="width:0;height:1.5pt" o:hralign="center" o:hrstd="t" o:hr="t" fillcolor="#a0a0a0" stroked="f"/>
        </w:pict>
      </w:r>
    </w:p>
    <w:p w14:paraId="2EDF09F3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Materials and Articles</w:t>
      </w:r>
    </w:p>
    <w:p w14:paraId="3D8D6CF2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Materials and products used during work are stored in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time_report_item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table.</w:t>
      </w:r>
    </w:p>
    <w:p w14:paraId="75994632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Each material item references an entry in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articles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table, which stores available products and materials. The articles table contains article numbers, names, and optional purchase prices.</w:t>
      </w:r>
    </w:p>
    <w:p w14:paraId="1426D48B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If a purchase price exists for a material item, the system applies a configurable markup before invoicing. The markup is controlled via an environment variable, allowing adjustment without changing code.</w:t>
      </w:r>
    </w:p>
    <w:p w14:paraId="30B48D06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This design allows both predefined and dynamically added products to be handled consistently.</w:t>
      </w:r>
    </w:p>
    <w:p w14:paraId="1992DF52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AA11B1A">
          <v:rect id="_x0000_i1138" style="width:0;height:1.5pt" o:hralign="center" o:hrstd="t" o:hr="t" fillcolor="#a0a0a0" stroked="f"/>
        </w:pict>
      </w:r>
    </w:p>
    <w:p w14:paraId="328E12D9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Projects</w:t>
      </w:r>
    </w:p>
    <w:p w14:paraId="0F75E24E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Projects are stored in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project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 and can be linked to customers.</w:t>
      </w:r>
    </w:p>
    <w:p w14:paraId="38778B26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If a customer has active projects, a project selector is shown in the frontend when reporting time. Projects are included in time reports and invoices to provide clearer billing context.</w:t>
      </w:r>
    </w:p>
    <w:p w14:paraId="5D220F36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Projects can be archived or deleted without affecting historical data.</w:t>
      </w:r>
    </w:p>
    <w:p w14:paraId="7EAE85B9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1998BAA">
          <v:rect id="_x0000_i1139" style="width:0;height:1.5pt" o:hralign="center" o:hrstd="t" o:hr="t" fillcolor="#a0a0a0" stroked="f"/>
        </w:pict>
      </w:r>
    </w:p>
    <w:p w14:paraId="084CF4C2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PDF Generation and Invoicing</w:t>
      </w:r>
    </w:p>
    <w:p w14:paraId="0B567558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Generated worklog PDFs are stored in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worklog_pdf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table, including metadata such as invoice number, reporting period, and file information.</w:t>
      </w:r>
    </w:p>
    <w:p w14:paraId="0EE073A9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PDF generation is handled asynchronously using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worklog_pdf_job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table, which acts as a job queue. This allows background processing, retry handling, and stable invoice workflows.</w:t>
      </w:r>
    </w:p>
    <w:p w14:paraId="53C1C0D5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include_attachments_on_send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field on the customer controls whether PDFs are attached automatically when invoices are sent via Fortnox.</w:t>
      </w:r>
    </w:p>
    <w:p w14:paraId="4B0F8C30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7A8FBCB7">
          <v:rect id="_x0000_i1140" style="width:0;height:1.5pt" o:hralign="center" o:hrstd="t" o:hr="t" fillcolor="#a0a0a0" stroked="f"/>
        </w:pict>
      </w:r>
    </w:p>
    <w:p w14:paraId="2E81DAFD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Authentication and Security</w:t>
      </w:r>
    </w:p>
    <w:p w14:paraId="46BAF5AD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Authentication tokens are handled using the </w:t>
      </w:r>
      <w:r w:rsidRPr="000431DB">
        <w:rPr>
          <w:rFonts w:ascii="Courier New" w:eastAsia="Times New Roman" w:hAnsi="Courier New" w:cs="Courier New"/>
          <w:kern w:val="0"/>
          <w:sz w:val="20"/>
          <w:szCs w:val="20"/>
          <w:lang w:val="en-US" w:eastAsia="sv-SE"/>
          <w14:ligatures w14:val="none"/>
        </w:rPr>
        <w:t>user_tokens</w:t>
      </w: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 xml:space="preserve"> table.</w:t>
      </w:r>
    </w:p>
    <w:p w14:paraId="0D6FB88E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Refresh tokens are stored in hashed form and support multiple concurrent sessions per user. Tokens can be revoked without affecting other active sessions.</w:t>
      </w:r>
    </w:p>
    <w:p w14:paraId="1207D6BC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This design improves security while maintaining usability.</w:t>
      </w:r>
    </w:p>
    <w:p w14:paraId="51C5B826" w14:textId="77777777" w:rsidR="000431DB" w:rsidRPr="000431DB" w:rsidRDefault="000431DB" w:rsidP="0004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747AF04">
          <v:rect id="_x0000_i1141" style="width:0;height:1.5pt" o:hralign="center" o:hrstd="t" o:hr="t" fillcolor="#a0a0a0" stroked="f"/>
        </w:pict>
      </w:r>
    </w:p>
    <w:p w14:paraId="29365915" w14:textId="77777777" w:rsidR="000431DB" w:rsidRPr="000431DB" w:rsidRDefault="000431DB" w:rsidP="00043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sv-SE"/>
          <w14:ligatures w14:val="none"/>
        </w:rPr>
        <w:t>Summary</w:t>
      </w:r>
    </w:p>
    <w:p w14:paraId="250434DA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database design of TimeCore supports:</w:t>
      </w:r>
    </w:p>
    <w:p w14:paraId="2D6C47D8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Multi-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tenant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user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separation</w:t>
      </w:r>
    </w:p>
    <w:p w14:paraId="2E0CE93C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Flexible billing ownership and invoice routing</w:t>
      </w:r>
    </w:p>
    <w:p w14:paraId="405C6C60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Customer-specific and user-level pricing</w:t>
      </w:r>
    </w:p>
    <w:p w14:paraId="34B686F4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Structured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time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gram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and material</w:t>
      </w:r>
      <w:proofErr w:type="gram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reporting</w:t>
      </w:r>
      <w:proofErr w:type="spellEnd"/>
    </w:p>
    <w:p w14:paraId="5963FD94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Fortnox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invoice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integration</w:t>
      </w:r>
    </w:p>
    <w:p w14:paraId="6C0406C8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Asynchronous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PDF generation</w:t>
      </w:r>
    </w:p>
    <w:p w14:paraId="718515B3" w14:textId="77777777" w:rsidR="000431DB" w:rsidRPr="000431DB" w:rsidRDefault="000431DB" w:rsidP="00043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Secure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authentication</w:t>
      </w:r>
      <w:proofErr w:type="spellEnd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workflows</w:t>
      </w:r>
      <w:proofErr w:type="spellEnd"/>
    </w:p>
    <w:p w14:paraId="199E555D" w14:textId="77777777" w:rsidR="000431DB" w:rsidRPr="000431DB" w:rsidRDefault="000431DB" w:rsidP="0004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</w:pPr>
      <w:r w:rsidRPr="000431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sv-SE"/>
          <w14:ligatures w14:val="none"/>
        </w:rPr>
        <w:t>The database is intentionally designed to be configuration-driven and extensible, with the goal of supporting future administrative interfaces and additional business logic.</w:t>
      </w:r>
    </w:p>
    <w:p w14:paraId="3A8AC4C1" w14:textId="77777777" w:rsidR="00FD4E17" w:rsidRPr="000431DB" w:rsidRDefault="00FD4E17">
      <w:pPr>
        <w:rPr>
          <w:lang w:val="en-US"/>
        </w:rPr>
      </w:pPr>
    </w:p>
    <w:sectPr w:rsidR="00FD4E17" w:rsidRPr="00043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F0281"/>
    <w:multiLevelType w:val="multilevel"/>
    <w:tmpl w:val="786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15F35"/>
    <w:multiLevelType w:val="multilevel"/>
    <w:tmpl w:val="775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41164"/>
    <w:multiLevelType w:val="multilevel"/>
    <w:tmpl w:val="9DD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6F42"/>
    <w:multiLevelType w:val="multilevel"/>
    <w:tmpl w:val="F1E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84899"/>
    <w:multiLevelType w:val="multilevel"/>
    <w:tmpl w:val="D1C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B43BD"/>
    <w:multiLevelType w:val="multilevel"/>
    <w:tmpl w:val="B24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258348">
    <w:abstractNumId w:val="5"/>
  </w:num>
  <w:num w:numId="2" w16cid:durableId="1527405636">
    <w:abstractNumId w:val="1"/>
  </w:num>
  <w:num w:numId="3" w16cid:durableId="1915621673">
    <w:abstractNumId w:val="4"/>
  </w:num>
  <w:num w:numId="4" w16cid:durableId="1516922447">
    <w:abstractNumId w:val="2"/>
  </w:num>
  <w:num w:numId="5" w16cid:durableId="85200177">
    <w:abstractNumId w:val="0"/>
  </w:num>
  <w:num w:numId="6" w16cid:durableId="1144128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9F"/>
    <w:rsid w:val="000431DB"/>
    <w:rsid w:val="003A3EE2"/>
    <w:rsid w:val="00A94F9F"/>
    <w:rsid w:val="00D343F4"/>
    <w:rsid w:val="00FD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EBCD4-A830-435A-BD19-E43AB929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4F9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4F9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4F9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4F9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4F9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4F9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4F9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4F9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4F9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4F9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913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Johansson</dc:creator>
  <cp:keywords/>
  <dc:description/>
  <cp:lastModifiedBy>Robert Johansson</cp:lastModifiedBy>
  <cp:revision>2</cp:revision>
  <dcterms:created xsi:type="dcterms:W3CDTF">2025-12-30T11:36:00Z</dcterms:created>
  <dcterms:modified xsi:type="dcterms:W3CDTF">2025-12-30T11:36:00Z</dcterms:modified>
</cp:coreProperties>
</file>