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9E314" w14:textId="20BD1C88" w:rsidR="00C9345C" w:rsidRDefault="00C9345C" w:rsidP="00C9345C">
      <w:pPr>
        <w:rPr>
          <w:lang w:val="en-US"/>
        </w:rPr>
      </w:pPr>
      <w:r w:rsidRPr="00C9345C">
        <w:rPr>
          <w:noProof/>
          <w:lang w:val="en-US"/>
        </w:rPr>
        <w:drawing>
          <wp:inline distT="0" distB="0" distL="0" distR="0" wp14:anchorId="44FD6BDC" wp14:editId="555AD698">
            <wp:extent cx="5731510" cy="3180715"/>
            <wp:effectExtent l="0" t="0" r="2540" b="635"/>
            <wp:docPr id="93097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33CB" w14:textId="61587443" w:rsidR="00C9345C" w:rsidRPr="00AC251D" w:rsidRDefault="00C9345C" w:rsidP="00C9345C">
      <w:r>
        <w:rPr>
          <w:rFonts w:ascii="Segoe UI Semibold" w:hAnsi="Segoe UI Semibold" w:cs="Segoe UI Semibold"/>
          <w:b/>
          <w:bCs/>
          <w:sz w:val="40"/>
          <w:szCs w:val="40"/>
        </w:rPr>
        <w:t xml:space="preserve">Date </w:t>
      </w:r>
      <w:r w:rsidRPr="00AC251D">
        <w:rPr>
          <w:rFonts w:ascii="Segoe UI Semibold" w:hAnsi="Segoe UI Semibold" w:cs="Segoe UI Semibold"/>
          <w:b/>
          <w:bCs/>
          <w:sz w:val="40"/>
          <w:szCs w:val="40"/>
        </w:rPr>
        <w:t>wise</w:t>
      </w:r>
      <w:r>
        <w:rPr>
          <w:rFonts w:ascii="Segoe UI Semibold" w:hAnsi="Segoe UI Semibold" w:cs="Segoe UI Semibold"/>
          <w:b/>
          <w:bCs/>
          <w:sz w:val="40"/>
          <w:szCs w:val="40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sz w:val="40"/>
          <w:szCs w:val="40"/>
        </w:rPr>
        <w:t>Ananlysis</w:t>
      </w:r>
      <w:proofErr w:type="spellEnd"/>
    </w:p>
    <w:p w14:paraId="4AF5C132" w14:textId="77777777" w:rsidR="00C9345C" w:rsidRPr="00AC251D" w:rsidRDefault="00C9345C" w:rsidP="00C9345C">
      <w:pPr>
        <w:rPr>
          <w:rFonts w:ascii="Segoe UI" w:hAnsi="Segoe UI" w:cs="Segoe UI"/>
          <w:sz w:val="36"/>
          <w:szCs w:val="36"/>
        </w:rPr>
      </w:pP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CT :</w:t>
      </w:r>
      <w:proofErr w:type="gramEnd"/>
      <w:r w:rsidRPr="00E42346">
        <w:rPr>
          <w:rFonts w:ascii="Segoe UI" w:hAnsi="Segoe UI" w:cs="Segoe UI"/>
          <w:sz w:val="24"/>
          <w:szCs w:val="24"/>
        </w:rPr>
        <w:t xml:space="preserve"> </w:t>
      </w:r>
      <w:r w:rsidRPr="00AC251D">
        <w:rPr>
          <w:rFonts w:ascii="Segoe UI" w:hAnsi="Segoe UI" w:cs="Segoe UI"/>
          <w:sz w:val="36"/>
          <w:szCs w:val="36"/>
        </w:rPr>
        <w:t>Stacked Column chart</w:t>
      </w:r>
    </w:p>
    <w:p w14:paraId="51017BD2" w14:textId="20AD7E04" w:rsidR="00C9345C" w:rsidRPr="00AC251D" w:rsidRDefault="00C9345C" w:rsidP="00C9345C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X-</w:t>
      </w: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Axis :</w:t>
      </w:r>
      <w:proofErr w:type="gramEnd"/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sz w:val="36"/>
          <w:szCs w:val="36"/>
        </w:rPr>
        <w:t>Sum of Profit</w:t>
      </w:r>
    </w:p>
    <w:p w14:paraId="40F80D44" w14:textId="6D4E4177" w:rsidR="00C9345C" w:rsidRDefault="00C9345C" w:rsidP="00C9345C">
      <w:pPr>
        <w:rPr>
          <w:rFonts w:ascii="Segoe UI" w:hAnsi="Segoe UI" w:cs="Segoe UI"/>
          <w:sz w:val="36"/>
          <w:szCs w:val="36"/>
        </w:rPr>
      </w:pPr>
      <w:r w:rsidRPr="00AC251D">
        <w:rPr>
          <w:rFonts w:ascii="Segoe UI" w:hAnsi="Segoe UI" w:cs="Segoe UI"/>
          <w:b/>
          <w:bCs/>
          <w:sz w:val="40"/>
          <w:szCs w:val="40"/>
        </w:rPr>
        <w:t>Y-</w:t>
      </w:r>
      <w:proofErr w:type="gramStart"/>
      <w:r w:rsidRPr="00AC251D">
        <w:rPr>
          <w:rFonts w:ascii="Segoe UI" w:hAnsi="Segoe UI" w:cs="Segoe UI"/>
          <w:b/>
          <w:bCs/>
          <w:sz w:val="40"/>
          <w:szCs w:val="40"/>
        </w:rPr>
        <w:t>Axis :</w:t>
      </w:r>
      <w:proofErr w:type="gramEnd"/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sz w:val="36"/>
          <w:szCs w:val="36"/>
        </w:rPr>
        <w:t>Month</w:t>
      </w:r>
    </w:p>
    <w:p w14:paraId="1EADB179" w14:textId="1C4AE04C" w:rsidR="00C9345C" w:rsidRPr="00BF2633" w:rsidRDefault="00C9345C" w:rsidP="00C9345C">
      <w:pPr>
        <w:rPr>
          <w:rFonts w:ascii="Segoe UI" w:hAnsi="Segoe UI" w:cs="Segoe UI"/>
          <w:color w:val="0D0D0D" w:themeColor="text1" w:themeTint="F2"/>
          <w:sz w:val="28"/>
          <w:szCs w:val="28"/>
        </w:rPr>
      </w:pPr>
      <w:proofErr w:type="gramStart"/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 xml:space="preserve">Insights </w:t>
      </w:r>
      <w:r w:rsidRPr="00BF2633">
        <w:rPr>
          <w:rFonts w:ascii="Segoe UI" w:hAnsi="Segoe UI" w:cs="Segoe UI"/>
          <w:b/>
          <w:bCs/>
          <w:color w:val="EE0000"/>
          <w:sz w:val="28"/>
          <w:szCs w:val="28"/>
        </w:rPr>
        <w:t>:</w:t>
      </w:r>
      <w:proofErr w:type="gramEnd"/>
      <w:r w:rsidRPr="00BF2633">
        <w:rPr>
          <w:rFonts w:ascii="Segoe UI" w:hAnsi="Segoe UI" w:cs="Segoe UI"/>
          <w:b/>
          <w:bCs/>
          <w:color w:val="EE0000"/>
          <w:sz w:val="28"/>
          <w:szCs w:val="28"/>
        </w:rPr>
        <w:t xml:space="preserve">  </w:t>
      </w:r>
      <w:r w:rsidRPr="00BF2633">
        <w:rPr>
          <w:rFonts w:ascii="Segoe UI" w:hAnsi="Segoe UI" w:cs="Segoe UI"/>
          <w:color w:val="0D0D0D" w:themeColor="text1" w:themeTint="F2"/>
          <w:sz w:val="28"/>
          <w:szCs w:val="28"/>
        </w:rPr>
        <w:t>Years Compared → Data is shown for 2013 (light blue) and 2014 (dark blue).</w:t>
      </w:r>
    </w:p>
    <w:p w14:paraId="6C4A9922" w14:textId="24BE59CA" w:rsidR="00C9345C" w:rsidRPr="00C9345C" w:rsidRDefault="00C9345C" w:rsidP="00C9345C">
      <w:pPr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BF2633">
        <w:rPr>
          <w:rFonts w:ascii="Segoe UI" w:hAnsi="Segoe UI" w:cs="Segoe UI"/>
          <w:color w:val="0D0D0D" w:themeColor="text1" w:themeTint="F2"/>
          <w:sz w:val="28"/>
          <w:szCs w:val="28"/>
        </w:rPr>
        <w:t>&gt;</w:t>
      </w:r>
      <w:r w:rsidRPr="00C9345C">
        <w:rPr>
          <w:rFonts w:ascii="Segoe UI" w:hAnsi="Segoe UI" w:cs="Segoe UI"/>
          <w:color w:val="0D0D0D" w:themeColor="text1" w:themeTint="F2"/>
          <w:sz w:val="28"/>
          <w:szCs w:val="28"/>
        </w:rPr>
        <w:t>2014 shows higher profits than 2013, with steady growth across most months.</w:t>
      </w:r>
    </w:p>
    <w:p w14:paraId="57A8F2C9" w14:textId="77777777" w:rsidR="00C9345C" w:rsidRPr="00BF2633" w:rsidRDefault="00C9345C" w:rsidP="00C9345C">
      <w:pPr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BF2633">
        <w:rPr>
          <w:rFonts w:ascii="Segoe UI" w:hAnsi="Segoe UI" w:cs="Segoe UI"/>
          <w:color w:val="0D0D0D" w:themeColor="text1" w:themeTint="F2"/>
          <w:sz w:val="28"/>
          <w:szCs w:val="28"/>
        </w:rPr>
        <w:t>&gt;</w:t>
      </w:r>
      <w:r w:rsidRPr="00C9345C">
        <w:rPr>
          <w:rFonts w:ascii="Segoe UI" w:hAnsi="Segoe UI" w:cs="Segoe UI"/>
          <w:color w:val="0D0D0D" w:themeColor="text1" w:themeTint="F2"/>
          <w:sz w:val="28"/>
          <w:szCs w:val="28"/>
        </w:rPr>
        <w:t>December 2014 recorded the highest profit, followed by strong gains in October.</w:t>
      </w:r>
    </w:p>
    <w:p w14:paraId="608700F9" w14:textId="5809E29A" w:rsidR="00C9345C" w:rsidRPr="00BF2633" w:rsidRDefault="00C9345C" w:rsidP="00C9345C">
      <w:pPr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BF2633">
        <w:rPr>
          <w:rFonts w:ascii="Segoe UI" w:hAnsi="Segoe UI" w:cs="Segoe UI"/>
          <w:color w:val="0D0D0D" w:themeColor="text1" w:themeTint="F2"/>
          <w:sz w:val="28"/>
          <w:szCs w:val="28"/>
        </w:rPr>
        <w:t>&gt;</w:t>
      </w:r>
      <w:r w:rsidRPr="00C9345C">
        <w:rPr>
          <w:rFonts w:ascii="Segoe UI" w:hAnsi="Segoe UI" w:cs="Segoe UI"/>
          <w:color w:val="0D0D0D" w:themeColor="text1" w:themeTint="F2"/>
          <w:sz w:val="28"/>
          <w:szCs w:val="28"/>
        </w:rPr>
        <w:t>End-of-year months (Oct–Dec) consistently perform better, suggesting seasonal profit peaks.</w:t>
      </w:r>
    </w:p>
    <w:p w14:paraId="1CD2439B" w14:textId="77777777" w:rsidR="00BF2633" w:rsidRPr="00C9345C" w:rsidRDefault="00BF2633" w:rsidP="00C9345C">
      <w:pPr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14:paraId="1CECC002" w14:textId="77777777" w:rsidR="00C9345C" w:rsidRDefault="00C9345C" w:rsidP="00C9345C">
      <w:pPr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19B46ADF" w14:textId="77777777" w:rsidR="00C9345C" w:rsidRDefault="00C9345C" w:rsidP="00C9345C">
      <w:pPr>
        <w:rPr>
          <w:rFonts w:ascii="Segoe UI" w:hAnsi="Segoe UI" w:cs="Segoe UI"/>
          <w:color w:val="0D0D0D" w:themeColor="text1" w:themeTint="F2"/>
          <w:sz w:val="24"/>
          <w:szCs w:val="24"/>
        </w:rPr>
      </w:pPr>
    </w:p>
    <w:p w14:paraId="281B8BDD" w14:textId="313D2EF6" w:rsidR="00BF2633" w:rsidRPr="00C9345C" w:rsidRDefault="00BF2633" w:rsidP="00C9345C">
      <w:pPr>
        <w:rPr>
          <w:rFonts w:ascii="Segoe UI" w:hAnsi="Segoe UI" w:cs="Segoe UI"/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4D72DCA4" wp14:editId="111D4B43">
            <wp:extent cx="5731510" cy="3131820"/>
            <wp:effectExtent l="0" t="0" r="2540" b="0"/>
            <wp:docPr id="1934864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3FD9" w14:textId="77777777" w:rsidR="00BF2633" w:rsidRDefault="00BF2633" w:rsidP="00BF2633">
      <w:pPr>
        <w:rPr>
          <w:lang w:val="en-US"/>
        </w:rPr>
      </w:pPr>
    </w:p>
    <w:p w14:paraId="1E4207F1" w14:textId="0B14585D" w:rsidR="00BF2633" w:rsidRPr="00BF2633" w:rsidRDefault="00BF2633" w:rsidP="00BF2633">
      <w:pPr>
        <w:rPr>
          <w:b/>
          <w:bCs/>
          <w:color w:val="D60093"/>
          <w:sz w:val="44"/>
          <w:szCs w:val="44"/>
          <w:lang w:val="en-US"/>
        </w:rPr>
      </w:pPr>
      <w:proofErr w:type="spellStart"/>
      <w:r w:rsidRPr="00BF2633">
        <w:rPr>
          <w:b/>
          <w:bCs/>
          <w:color w:val="D60093"/>
          <w:sz w:val="44"/>
          <w:szCs w:val="44"/>
          <w:lang w:val="en-US"/>
        </w:rPr>
        <w:t>Ananlysis</w:t>
      </w:r>
      <w:proofErr w:type="spellEnd"/>
      <w:r w:rsidRPr="00BF2633">
        <w:rPr>
          <w:b/>
          <w:bCs/>
          <w:color w:val="D60093"/>
          <w:sz w:val="44"/>
          <w:szCs w:val="44"/>
          <w:lang w:val="en-US"/>
        </w:rPr>
        <w:t xml:space="preserve"> on United States of America</w:t>
      </w:r>
    </w:p>
    <w:p w14:paraId="77D1C7AF" w14:textId="45E66A2D" w:rsidR="00BF2633" w:rsidRDefault="00BF2633" w:rsidP="00BF2633">
      <w:pPr>
        <w:rPr>
          <w:rFonts w:ascii="Segoe UI" w:hAnsi="Segoe UI" w:cs="Segoe UI"/>
          <w:b/>
          <w:bCs/>
          <w:color w:val="EE0000"/>
          <w:sz w:val="24"/>
          <w:szCs w:val="24"/>
        </w:rPr>
      </w:pPr>
      <w:proofErr w:type="gramStart"/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>Insights :</w:t>
      </w:r>
      <w:proofErr w:type="gramEnd"/>
      <w:r w:rsidRPr="00495048">
        <w:rPr>
          <w:rFonts w:ascii="Segoe UI" w:hAnsi="Segoe UI" w:cs="Segoe UI"/>
          <w:b/>
          <w:bCs/>
          <w:color w:val="EE0000"/>
          <w:sz w:val="40"/>
          <w:szCs w:val="40"/>
        </w:rPr>
        <w:t xml:space="preserve"> </w:t>
      </w:r>
      <w:r w:rsidRPr="00495048">
        <w:rPr>
          <w:rFonts w:ascii="Segoe UI" w:hAnsi="Segoe UI" w:cs="Segoe UI"/>
          <w:b/>
          <w:bCs/>
          <w:color w:val="EE0000"/>
          <w:sz w:val="24"/>
          <w:szCs w:val="24"/>
        </w:rPr>
        <w:t xml:space="preserve"> </w:t>
      </w:r>
    </w:p>
    <w:p w14:paraId="6840492A" w14:textId="18DA0F44" w:rsidR="00BF2633" w:rsidRPr="00BF2633" w:rsidRDefault="00BF2633" w:rsidP="00BF2633">
      <w:pPr>
        <w:rPr>
          <w:sz w:val="28"/>
          <w:szCs w:val="28"/>
        </w:rPr>
      </w:pPr>
      <w:r w:rsidRPr="00BF2633">
        <w:rPr>
          <w:sz w:val="28"/>
          <w:szCs w:val="28"/>
        </w:rPr>
        <w:t>&gt;</w:t>
      </w:r>
      <w:r w:rsidRPr="00BF2633">
        <w:rPr>
          <w:sz w:val="28"/>
          <w:szCs w:val="28"/>
        </w:rPr>
        <w:t>2014 outperformed 2013 with higher and more stable profits.</w:t>
      </w:r>
    </w:p>
    <w:p w14:paraId="0543BC75" w14:textId="6705ECA4" w:rsidR="00BF2633" w:rsidRPr="00BF2633" w:rsidRDefault="00BF2633" w:rsidP="00BF2633">
      <w:pPr>
        <w:rPr>
          <w:sz w:val="28"/>
          <w:szCs w:val="28"/>
        </w:rPr>
      </w:pPr>
      <w:r w:rsidRPr="00BF2633">
        <w:rPr>
          <w:sz w:val="28"/>
          <w:szCs w:val="28"/>
        </w:rPr>
        <w:t>&gt;</w:t>
      </w:r>
      <w:r w:rsidRPr="00BF2633">
        <w:rPr>
          <w:sz w:val="28"/>
          <w:szCs w:val="28"/>
        </w:rPr>
        <w:t>June 2014 recorded the highest profit overall, showing a strong mid-year peak.</w:t>
      </w:r>
    </w:p>
    <w:p w14:paraId="12A19312" w14:textId="35C895CC" w:rsidR="00BF2633" w:rsidRPr="00BF2633" w:rsidRDefault="00BF2633" w:rsidP="00BF2633">
      <w:pPr>
        <w:rPr>
          <w:sz w:val="28"/>
          <w:szCs w:val="28"/>
        </w:rPr>
      </w:pPr>
      <w:r w:rsidRPr="00BF2633">
        <w:rPr>
          <w:sz w:val="28"/>
          <w:szCs w:val="28"/>
        </w:rPr>
        <w:t>&gt;</w:t>
      </w:r>
      <w:r w:rsidRPr="00BF2633">
        <w:rPr>
          <w:sz w:val="28"/>
          <w:szCs w:val="28"/>
        </w:rPr>
        <w:t>December remained the weakest month in both years, indicating a consistent low-performance period.</w:t>
      </w:r>
    </w:p>
    <w:p w14:paraId="65AA4620" w14:textId="77777777" w:rsidR="00BF2633" w:rsidRDefault="00BF2633" w:rsidP="00BF2633">
      <w:pPr>
        <w:rPr>
          <w:lang w:val="en-US"/>
        </w:rPr>
      </w:pPr>
    </w:p>
    <w:p w14:paraId="21A12CE2" w14:textId="77777777" w:rsidR="00BF2633" w:rsidRPr="00C9345C" w:rsidRDefault="00BF2633" w:rsidP="00C9345C">
      <w:pPr>
        <w:ind w:firstLine="720"/>
        <w:rPr>
          <w:lang w:val="en-US"/>
        </w:rPr>
      </w:pPr>
    </w:p>
    <w:sectPr w:rsidR="00BF2633" w:rsidRPr="00C93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5C"/>
    <w:rsid w:val="000D6DEA"/>
    <w:rsid w:val="001E0188"/>
    <w:rsid w:val="005F0662"/>
    <w:rsid w:val="00BE42B1"/>
    <w:rsid w:val="00BF2633"/>
    <w:rsid w:val="00C9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CA6B"/>
  <w15:chartTrackingRefBased/>
  <w15:docId w15:val="{E25E6CFC-D59D-4064-9D62-32342B11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royal</dc:creator>
  <cp:keywords/>
  <dc:description/>
  <cp:lastModifiedBy>giri royal</cp:lastModifiedBy>
  <cp:revision>1</cp:revision>
  <dcterms:created xsi:type="dcterms:W3CDTF">2025-09-20T06:48:00Z</dcterms:created>
  <dcterms:modified xsi:type="dcterms:W3CDTF">2025-09-20T07:09:00Z</dcterms:modified>
</cp:coreProperties>
</file>