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u w:val="none"/>
        </w:rPr>
      </w:pPr>
      <w:r w:rsidDel="00000000" w:rsidR="00000000" w:rsidRPr="00000000">
        <w:rPr>
          <w:rtl w:val="0"/>
        </w:rPr>
        <w:t xml:space="preserve">Added in cultivation status -- planning to remove anything that is a row crop </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Used species cleaning code (Package: TaxonStand) to clean species names and update to new names if species/genus names had changed. In doing this, we also merged any species that were obviously the same upon a google review that the cleaning code did not catch (</w:t>
      </w:r>
      <w:r w:rsidDel="00000000" w:rsidR="00000000" w:rsidRPr="00000000">
        <w:rPr>
          <w:rtl w:val="0"/>
        </w:rPr>
        <w:t xml:space="preserve">Lespedeza maximowiczii and Lespedeza maximowiezzi both became Lespedeza maximowiczii</w:t>
      </w:r>
      <w:r w:rsidDel="00000000" w:rsidR="00000000" w:rsidRPr="00000000">
        <w:rPr>
          <w:rtl w:val="0"/>
        </w:rPr>
        <w:t xml:space="preserv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We are not counting things as ornamental unless they truly are cultivated for that purpose (no local plant blogs suggesting random garden species)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Put in multiple category for cultivation status if it is seldom used for food also (to know that it is used but not considered a row crop)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decided to remove all data points where the number of nodules was less than or equal to 3 based on graph comparing number of nodules to strain richness. In this graph we saw that when 4 or fewer nodules were collected, the strain richness congregated at the 1:1 line, leading us to believe that if they had collected more nodules, they may have found more strains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For comparing native/non native in same region, we are skipping calculating overlap for now and going to loop back if we want overlap number. If we want to get overlap number, we need to restart on all calculations and calculate all the same way. One issue we’ve run into is that many papers look at multiple natives -- how do we deal with that? One thought is to calculate the overlap per native and then average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(number of rhizobial symbionts in common with one native species / the number of symbionts that the non native species has)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Home and Away vs. Native/non native: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When a species becomes non native, how much overlap is there between the rhizobial symbionts in its home range compared to its non native range? (% overlap of rhizobial symbionts in away range compared to home range)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they’re non native already, do they associate with the same species as the natives in the area? (% overlap of rhizobial symbionts in common with natives vs. how many associate with non natives)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