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729" w:rsidRDefault="00637729" w:rsidP="00637729">
      <w:pPr>
        <w:jc w:val="both"/>
        <w:rPr>
          <w:sz w:val="28"/>
          <w:szCs w:val="28"/>
        </w:rPr>
      </w:pPr>
      <w:bookmarkStart w:id="0" w:name="_GoBack"/>
      <w:bookmarkEnd w:id="0"/>
      <w:r w:rsidRPr="00637729">
        <w:rPr>
          <w:sz w:val="28"/>
          <w:szCs w:val="28"/>
        </w:rPr>
        <w:t>Panorama general de la industria</w:t>
      </w:r>
    </w:p>
    <w:p w:rsidR="00637729" w:rsidRPr="00637729" w:rsidRDefault="00637729" w:rsidP="00637729">
      <w:pPr>
        <w:jc w:val="both"/>
        <w:rPr>
          <w:sz w:val="28"/>
          <w:szCs w:val="28"/>
        </w:rPr>
      </w:pPr>
    </w:p>
    <w:p w:rsidR="00637729" w:rsidRDefault="00772AF0" w:rsidP="00637729">
      <w:pPr>
        <w:pStyle w:val="Prrafodelista"/>
        <w:numPr>
          <w:ilvl w:val="0"/>
          <w:numId w:val="1"/>
        </w:numPr>
        <w:jc w:val="both"/>
      </w:pPr>
      <w:r>
        <w:t>Tamaño de la industria</w:t>
      </w:r>
    </w:p>
    <w:tbl>
      <w:tblPr>
        <w:tblpPr w:leftFromText="141" w:rightFromText="141" w:vertAnchor="text" w:horzAnchor="page" w:tblpX="4206" w:tblpY="1450"/>
        <w:tblW w:w="4700" w:type="dxa"/>
        <w:tblCellMar>
          <w:left w:w="70" w:type="dxa"/>
          <w:right w:w="70" w:type="dxa"/>
        </w:tblCellMar>
        <w:tblLook w:val="04A0"/>
      </w:tblPr>
      <w:tblGrid>
        <w:gridCol w:w="1200"/>
        <w:gridCol w:w="1900"/>
        <w:gridCol w:w="1600"/>
      </w:tblGrid>
      <w:tr w:rsidR="00637729" w:rsidRPr="00637729" w:rsidTr="00637729">
        <w:trPr>
          <w:trHeight w:val="765"/>
        </w:trPr>
        <w:tc>
          <w:tcPr>
            <w:tcW w:w="12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b/>
                <w:bCs/>
                <w:lang w:eastAsia="es-MX"/>
              </w:rPr>
            </w:pPr>
            <w:r w:rsidRPr="00637729">
              <w:rPr>
                <w:rFonts w:ascii="Calibri" w:eastAsia="Times New Roman" w:hAnsi="Calibri" w:cs="Calibri"/>
                <w:b/>
                <w:bCs/>
                <w:lang w:eastAsia="es-MX"/>
              </w:rPr>
              <w:t>Año</w:t>
            </w:r>
          </w:p>
        </w:tc>
        <w:tc>
          <w:tcPr>
            <w:tcW w:w="1900" w:type="dxa"/>
            <w:tcBorders>
              <w:top w:val="single" w:sz="4" w:space="0" w:color="auto"/>
              <w:left w:val="nil"/>
              <w:bottom w:val="single" w:sz="4" w:space="0" w:color="auto"/>
              <w:right w:val="single" w:sz="4" w:space="0" w:color="auto"/>
            </w:tcBorders>
            <w:shd w:val="clear" w:color="000000" w:fill="8DB4E2"/>
            <w:vAlign w:val="center"/>
            <w:hideMark/>
          </w:tcPr>
          <w:p w:rsidR="00637729" w:rsidRPr="00637729" w:rsidRDefault="00637729" w:rsidP="00637729">
            <w:pPr>
              <w:spacing w:after="0" w:line="240" w:lineRule="auto"/>
              <w:jc w:val="center"/>
              <w:rPr>
                <w:rFonts w:ascii="Calibri" w:eastAsia="Times New Roman" w:hAnsi="Calibri" w:cs="Calibri"/>
                <w:b/>
                <w:bCs/>
                <w:lang w:eastAsia="es-MX"/>
              </w:rPr>
            </w:pPr>
            <w:r w:rsidRPr="00637729">
              <w:rPr>
                <w:rFonts w:ascii="Calibri" w:eastAsia="Times New Roman" w:hAnsi="Calibri" w:cs="Calibri"/>
                <w:b/>
                <w:bCs/>
                <w:lang w:eastAsia="es-MX"/>
              </w:rPr>
              <w:t>Prima Directa (MDP)</w:t>
            </w:r>
          </w:p>
        </w:tc>
        <w:tc>
          <w:tcPr>
            <w:tcW w:w="1600" w:type="dxa"/>
            <w:tcBorders>
              <w:top w:val="single" w:sz="4" w:space="0" w:color="auto"/>
              <w:left w:val="nil"/>
              <w:bottom w:val="single" w:sz="4" w:space="0" w:color="auto"/>
              <w:right w:val="single" w:sz="4" w:space="0" w:color="auto"/>
            </w:tcBorders>
            <w:shd w:val="clear" w:color="000000" w:fill="D9D9D9"/>
            <w:vAlign w:val="center"/>
            <w:hideMark/>
          </w:tcPr>
          <w:p w:rsidR="00637729" w:rsidRPr="00637729" w:rsidRDefault="00637729" w:rsidP="00637729">
            <w:pPr>
              <w:spacing w:after="0" w:line="240" w:lineRule="auto"/>
              <w:jc w:val="center"/>
              <w:rPr>
                <w:rFonts w:ascii="Calibri" w:eastAsia="Times New Roman" w:hAnsi="Calibri" w:cs="Calibri"/>
                <w:b/>
                <w:bCs/>
                <w:lang w:eastAsia="es-MX"/>
              </w:rPr>
            </w:pPr>
            <w:r w:rsidRPr="00637729">
              <w:rPr>
                <w:rFonts w:ascii="Calibri" w:eastAsia="Times New Roman" w:hAnsi="Calibri" w:cs="Calibri"/>
                <w:b/>
                <w:bCs/>
                <w:lang w:eastAsia="es-MX"/>
              </w:rPr>
              <w:t>Crecimiento de Prima Directa</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2000</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2,769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3.5%</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2001</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2,713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-6.0%</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2002</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2,971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4.5%</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2003</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3,151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7.2%</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2004</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3,562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1.9%</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2005</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3,889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5.7%</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2006</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4,335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7.1%</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2007</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4,809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6.9%</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2008</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5,463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6.6%</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2009</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5,681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0.4%</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2010</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6,000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1.2%</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2011</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7,031 </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12.9%</w:t>
            </w:r>
          </w:p>
        </w:tc>
      </w:tr>
    </w:tbl>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772AF0" w:rsidP="00637729">
      <w:pPr>
        <w:jc w:val="both"/>
      </w:pPr>
      <w:r>
        <w:t xml:space="preserve">El sector afianzador en México ha visto un gran crecimiento en los últimos 10 años. Analizando la gráfica de la Prima Directa de este sector, notamos que en los pasados 10 años ha crecido constantemente, casi de manera lineal, de forma que al año 2011, ha casi triplicado el monto del año 2000. En la tabla podemos notar que solamente durante el año 2001 se </w:t>
      </w:r>
      <w:proofErr w:type="spellStart"/>
      <w:r>
        <w:t>vió</w:t>
      </w:r>
      <w:proofErr w:type="spellEnd"/>
      <w:r>
        <w:t xml:space="preserve"> un decremento de la Prima Directa, y en el 2011 un gran incremento de casi trece por ciento.</w:t>
      </w: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r>
        <w:rPr>
          <w:noProof/>
          <w:lang w:eastAsia="es-MX"/>
        </w:rPr>
        <w:drawing>
          <wp:anchor distT="0" distB="0" distL="114300" distR="114300" simplePos="0" relativeHeight="251658240" behindDoc="0" locked="0" layoutInCell="1" allowOverlap="1">
            <wp:simplePos x="0" y="0"/>
            <wp:positionH relativeFrom="column">
              <wp:posOffset>653415</wp:posOffset>
            </wp:positionH>
            <wp:positionV relativeFrom="paragraph">
              <wp:posOffset>-3810</wp:posOffset>
            </wp:positionV>
            <wp:extent cx="4467225" cy="2628900"/>
            <wp:effectExtent l="19050" t="0" r="9525" b="0"/>
            <wp:wrapNone/>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772AF0" w:rsidP="00637729">
      <w:pPr>
        <w:pStyle w:val="Prrafodelista"/>
        <w:numPr>
          <w:ilvl w:val="0"/>
          <w:numId w:val="1"/>
        </w:numPr>
        <w:jc w:val="both"/>
      </w:pPr>
      <w:r>
        <w:t>Crecimiento de la industria.</w:t>
      </w:r>
    </w:p>
    <w:p w:rsidR="00637729" w:rsidRDefault="00637729" w:rsidP="00637729">
      <w:pPr>
        <w:jc w:val="both"/>
      </w:pPr>
    </w:p>
    <w:tbl>
      <w:tblPr>
        <w:tblpPr w:leftFromText="141" w:rightFromText="141" w:vertAnchor="text" w:horzAnchor="page" w:tblpX="3801" w:tblpY="56"/>
        <w:tblW w:w="5900" w:type="dxa"/>
        <w:tblCellMar>
          <w:left w:w="70" w:type="dxa"/>
          <w:right w:w="70" w:type="dxa"/>
        </w:tblCellMar>
        <w:tblLook w:val="04A0"/>
      </w:tblPr>
      <w:tblGrid>
        <w:gridCol w:w="1200"/>
        <w:gridCol w:w="1900"/>
        <w:gridCol w:w="1600"/>
        <w:gridCol w:w="1200"/>
      </w:tblGrid>
      <w:tr w:rsidR="00637729" w:rsidRPr="00637729" w:rsidTr="00637729">
        <w:trPr>
          <w:trHeight w:val="825"/>
        </w:trPr>
        <w:tc>
          <w:tcPr>
            <w:tcW w:w="120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Calibri" w:eastAsia="Times New Roman" w:hAnsi="Calibri" w:cs="Calibri"/>
                <w:b/>
                <w:bCs/>
                <w:lang w:eastAsia="es-MX"/>
              </w:rPr>
            </w:pPr>
            <w:r w:rsidRPr="00637729">
              <w:rPr>
                <w:rFonts w:ascii="Calibri" w:eastAsia="Times New Roman" w:hAnsi="Calibri" w:cs="Calibri"/>
                <w:b/>
                <w:bCs/>
                <w:lang w:eastAsia="es-MX"/>
              </w:rPr>
              <w:t>Año</w:t>
            </w:r>
          </w:p>
        </w:tc>
        <w:tc>
          <w:tcPr>
            <w:tcW w:w="1900" w:type="dxa"/>
            <w:tcBorders>
              <w:top w:val="single" w:sz="4" w:space="0" w:color="auto"/>
              <w:left w:val="nil"/>
              <w:bottom w:val="single" w:sz="4" w:space="0" w:color="auto"/>
              <w:right w:val="single" w:sz="4" w:space="0" w:color="auto"/>
            </w:tcBorders>
            <w:shd w:val="clear" w:color="000000" w:fill="8DB4E2"/>
            <w:vAlign w:val="center"/>
            <w:hideMark/>
          </w:tcPr>
          <w:p w:rsidR="00637729" w:rsidRPr="00637729" w:rsidRDefault="00637729" w:rsidP="00637729">
            <w:pPr>
              <w:spacing w:after="0" w:line="240" w:lineRule="auto"/>
              <w:jc w:val="center"/>
              <w:rPr>
                <w:rFonts w:ascii="Calibri" w:eastAsia="Times New Roman" w:hAnsi="Calibri" w:cs="Calibri"/>
                <w:b/>
                <w:bCs/>
                <w:lang w:eastAsia="es-MX"/>
              </w:rPr>
            </w:pPr>
            <w:r w:rsidRPr="00637729">
              <w:rPr>
                <w:rFonts w:ascii="Calibri" w:eastAsia="Times New Roman" w:hAnsi="Calibri" w:cs="Calibri"/>
                <w:b/>
                <w:bCs/>
                <w:lang w:eastAsia="es-MX"/>
              </w:rPr>
              <w:t>Crecimiento de Prima Directa</w:t>
            </w:r>
          </w:p>
        </w:tc>
        <w:tc>
          <w:tcPr>
            <w:tcW w:w="1600" w:type="dxa"/>
            <w:tcBorders>
              <w:top w:val="single" w:sz="4" w:space="0" w:color="auto"/>
              <w:left w:val="nil"/>
              <w:bottom w:val="single" w:sz="4" w:space="0" w:color="auto"/>
              <w:right w:val="single" w:sz="4" w:space="0" w:color="auto"/>
            </w:tcBorders>
            <w:shd w:val="clear" w:color="000000" w:fill="DB5439"/>
            <w:vAlign w:val="center"/>
            <w:hideMark/>
          </w:tcPr>
          <w:p w:rsidR="00637729" w:rsidRPr="00637729" w:rsidRDefault="00637729" w:rsidP="00637729">
            <w:pPr>
              <w:spacing w:after="0" w:line="240" w:lineRule="auto"/>
              <w:jc w:val="center"/>
              <w:rPr>
                <w:rFonts w:ascii="Calibri" w:eastAsia="Times New Roman" w:hAnsi="Calibri" w:cs="Calibri"/>
                <w:b/>
                <w:bCs/>
                <w:lang w:eastAsia="es-MX"/>
              </w:rPr>
            </w:pPr>
            <w:r w:rsidRPr="00637729">
              <w:rPr>
                <w:rFonts w:ascii="Calibri" w:eastAsia="Times New Roman" w:hAnsi="Calibri" w:cs="Calibri"/>
                <w:b/>
                <w:bCs/>
                <w:lang w:eastAsia="es-MX"/>
              </w:rPr>
              <w:t>Crecimiento PIB</w:t>
            </w:r>
          </w:p>
        </w:tc>
        <w:tc>
          <w:tcPr>
            <w:tcW w:w="1200" w:type="dxa"/>
            <w:tcBorders>
              <w:top w:val="single" w:sz="4" w:space="0" w:color="auto"/>
              <w:left w:val="nil"/>
              <w:bottom w:val="single" w:sz="4" w:space="0" w:color="auto"/>
              <w:right w:val="single" w:sz="4" w:space="0" w:color="auto"/>
            </w:tcBorders>
            <w:shd w:val="clear" w:color="000000" w:fill="C4D79B"/>
            <w:vAlign w:val="center"/>
            <w:hideMark/>
          </w:tcPr>
          <w:p w:rsidR="00637729" w:rsidRPr="00637729" w:rsidRDefault="00637729" w:rsidP="00637729">
            <w:pPr>
              <w:spacing w:after="0" w:line="240" w:lineRule="auto"/>
              <w:jc w:val="center"/>
              <w:rPr>
                <w:rFonts w:ascii="Calibri" w:eastAsia="Times New Roman" w:hAnsi="Calibri" w:cs="Calibri"/>
                <w:b/>
                <w:bCs/>
                <w:lang w:eastAsia="es-MX"/>
              </w:rPr>
            </w:pPr>
            <w:r w:rsidRPr="00637729">
              <w:rPr>
                <w:rFonts w:ascii="Calibri" w:eastAsia="Times New Roman" w:hAnsi="Calibri" w:cs="Calibri"/>
                <w:b/>
                <w:bCs/>
                <w:lang w:eastAsia="es-MX"/>
              </w:rPr>
              <w:t>Inflación</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2000</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3.5%</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6.6%</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9.51%</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2001</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-6.0%</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-0.2%</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6.39%</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2002</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4.5%</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0.8%</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5.03%</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2003</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7.2%</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1.4%</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4.56%</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2004</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1.9%</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4.0%</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4.68%</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2005</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5.7%</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3.1%</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4%</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2006</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7.1%</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4.9%</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3.63%</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2007</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6.9%</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3.2%</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3.97%</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2008</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6.6%</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1.3%</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5.12%</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2009</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0.4%</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-6.5%</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5.31%</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2010</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1.2%</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5.5%</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4.16%</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2011</w:t>
            </w:r>
          </w:p>
        </w:tc>
        <w:tc>
          <w:tcPr>
            <w:tcW w:w="19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12.9%</w:t>
            </w:r>
          </w:p>
        </w:tc>
        <w:tc>
          <w:tcPr>
            <w:tcW w:w="1600"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3.9%</w:t>
            </w:r>
          </w:p>
        </w:tc>
        <w:tc>
          <w:tcPr>
            <w:tcW w:w="1200" w:type="dxa"/>
            <w:tcBorders>
              <w:top w:val="nil"/>
              <w:left w:val="nil"/>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Calibri" w:eastAsia="Times New Roman" w:hAnsi="Calibri" w:cs="Calibri"/>
                <w:lang w:eastAsia="es-MX"/>
              </w:rPr>
            </w:pPr>
            <w:r w:rsidRPr="00637729">
              <w:rPr>
                <w:rFonts w:ascii="Calibri" w:eastAsia="Times New Roman" w:hAnsi="Calibri" w:cs="Calibri"/>
                <w:lang w:eastAsia="es-MX"/>
              </w:rPr>
              <w:t>3.82%</w:t>
            </w:r>
          </w:p>
        </w:tc>
      </w:tr>
    </w:tbl>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772AF0" w:rsidP="00637729">
      <w:pPr>
        <w:jc w:val="both"/>
      </w:pPr>
      <w:r>
        <w:t xml:space="preserve">A partir de la gráfica podemos ver que el monto de las Primas Directas tiene cierta relación, aunque parece no muy marcada, con el Producto Interno Bruto. </w:t>
      </w:r>
      <w:r w:rsidR="003C67AD">
        <w:t xml:space="preserve">O por lo menos es notable que ambos crecimientos </w:t>
      </w:r>
      <w:proofErr w:type="gramStart"/>
      <w:r w:rsidR="003C67AD">
        <w:t>cayeron</w:t>
      </w:r>
      <w:proofErr w:type="gramEnd"/>
      <w:r w:rsidR="003C67AD">
        <w:t xml:space="preserve"> en los años del 2001 y 2008, para reponerse en los años siguientes. Por otro lado, parece que la inflación no afecta el comportamiento de las Primas Directas.</w:t>
      </w: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r>
        <w:rPr>
          <w:noProof/>
          <w:lang w:eastAsia="es-MX"/>
        </w:rPr>
        <w:drawing>
          <wp:anchor distT="0" distB="0" distL="114300" distR="114300" simplePos="0" relativeHeight="251659264" behindDoc="0" locked="0" layoutInCell="1" allowOverlap="1">
            <wp:simplePos x="0" y="0"/>
            <wp:positionH relativeFrom="column">
              <wp:posOffset>-3810</wp:posOffset>
            </wp:positionH>
            <wp:positionV relativeFrom="paragraph">
              <wp:posOffset>-3175</wp:posOffset>
            </wp:positionV>
            <wp:extent cx="5612130" cy="3197225"/>
            <wp:effectExtent l="0" t="0" r="26670" b="22225"/>
            <wp:wrapNone/>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981AEA" w:rsidRDefault="00637729" w:rsidP="00637729">
      <w:pPr>
        <w:pStyle w:val="Prrafodelista"/>
        <w:numPr>
          <w:ilvl w:val="0"/>
          <w:numId w:val="1"/>
        </w:numPr>
        <w:jc w:val="both"/>
      </w:pPr>
      <w:r>
        <w:t>Estructura de la industria. Deberá analizarse la composición del mercado asegurador o afianzador por operación.</w:t>
      </w:r>
    </w:p>
    <w:p w:rsidR="00637729" w:rsidRDefault="00637729" w:rsidP="00637729">
      <w:pPr>
        <w:jc w:val="both"/>
      </w:pPr>
    </w:p>
    <w:tbl>
      <w:tblPr>
        <w:tblpPr w:leftFromText="141" w:rightFromText="141" w:vertAnchor="text" w:horzAnchor="margin" w:tblpXSpec="right" w:tblpY="423"/>
        <w:tblW w:w="8300" w:type="dxa"/>
        <w:tblCellMar>
          <w:left w:w="70" w:type="dxa"/>
          <w:right w:w="70" w:type="dxa"/>
        </w:tblCellMar>
        <w:tblLook w:val="04A0"/>
      </w:tblPr>
      <w:tblGrid>
        <w:gridCol w:w="1200"/>
        <w:gridCol w:w="1911"/>
        <w:gridCol w:w="1595"/>
        <w:gridCol w:w="1198"/>
        <w:gridCol w:w="1197"/>
        <w:gridCol w:w="1199"/>
      </w:tblGrid>
      <w:tr w:rsidR="00637729" w:rsidRPr="00637729" w:rsidTr="00637729">
        <w:trPr>
          <w:trHeight w:val="510"/>
        </w:trPr>
        <w:tc>
          <w:tcPr>
            <w:tcW w:w="12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Ramo</w:t>
            </w:r>
          </w:p>
        </w:tc>
        <w:tc>
          <w:tcPr>
            <w:tcW w:w="1911" w:type="dxa"/>
            <w:tcBorders>
              <w:top w:val="single" w:sz="4" w:space="0" w:color="auto"/>
              <w:left w:val="nil"/>
              <w:bottom w:val="single" w:sz="4" w:space="0" w:color="auto"/>
              <w:right w:val="single" w:sz="4" w:space="0" w:color="auto"/>
            </w:tcBorders>
            <w:shd w:val="clear" w:color="000000" w:fill="8DB4E2"/>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Administrativas</w:t>
            </w:r>
          </w:p>
        </w:tc>
        <w:tc>
          <w:tcPr>
            <w:tcW w:w="1595" w:type="dxa"/>
            <w:tcBorders>
              <w:top w:val="single" w:sz="4" w:space="0" w:color="auto"/>
              <w:left w:val="nil"/>
              <w:bottom w:val="single" w:sz="4" w:space="0" w:color="auto"/>
              <w:right w:val="single" w:sz="4" w:space="0" w:color="auto"/>
            </w:tcBorders>
            <w:shd w:val="clear" w:color="000000" w:fill="DB5439"/>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Fidelidad</w:t>
            </w:r>
          </w:p>
        </w:tc>
        <w:tc>
          <w:tcPr>
            <w:tcW w:w="1198" w:type="dxa"/>
            <w:tcBorders>
              <w:top w:val="single" w:sz="4" w:space="0" w:color="auto"/>
              <w:left w:val="nil"/>
              <w:bottom w:val="single" w:sz="4" w:space="0" w:color="auto"/>
              <w:right w:val="single" w:sz="4" w:space="0" w:color="auto"/>
            </w:tcBorders>
            <w:shd w:val="clear" w:color="000000" w:fill="C4D79B"/>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Judicial</w:t>
            </w:r>
          </w:p>
        </w:tc>
        <w:tc>
          <w:tcPr>
            <w:tcW w:w="1197" w:type="dxa"/>
            <w:tcBorders>
              <w:top w:val="single" w:sz="4" w:space="0" w:color="auto"/>
              <w:left w:val="nil"/>
              <w:bottom w:val="single" w:sz="4" w:space="0" w:color="auto"/>
              <w:right w:val="single" w:sz="4" w:space="0" w:color="auto"/>
            </w:tcBorders>
            <w:shd w:val="clear" w:color="000000" w:fill="B1A0C7"/>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Crédito</w:t>
            </w:r>
          </w:p>
        </w:tc>
        <w:tc>
          <w:tcPr>
            <w:tcW w:w="1199" w:type="dxa"/>
            <w:tcBorders>
              <w:top w:val="single" w:sz="4" w:space="0" w:color="auto"/>
              <w:left w:val="nil"/>
              <w:bottom w:val="single" w:sz="4" w:space="0" w:color="auto"/>
              <w:right w:val="single" w:sz="4" w:space="0" w:color="auto"/>
            </w:tcBorders>
            <w:shd w:val="clear" w:color="000000" w:fill="D9D9D9"/>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PRIMA DIRECTA</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2000</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73.4%</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7.1%</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8.7%</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10.8%</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2,769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2001</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71.2%</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6.5%</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9.7%</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12.5%</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2,713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2002</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73.6%</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6.1%</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10.8%</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9.5%</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2,971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2003</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76.2%</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6.1%</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9.4%</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8.2%</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3,151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2004</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77.5%</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5.0%</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8.9%</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8.6%</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3,562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2005</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81.4%</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4.9%</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6.7%</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7.1%</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3,889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2006</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85.7%</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3.7%</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4.7%</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5.9%</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4,335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2007</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86.4%</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3.9%</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4.5%</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5.2%</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4,809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2008</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80.5%</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10.3%</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4.2%</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5.0%</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5,463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2009</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73.9%</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17.2%</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4.4%</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4.5%</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5,681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2010</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74.2%</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17.4%</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4.2%</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4.2%</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6,000 </w:t>
            </w:r>
          </w:p>
        </w:tc>
      </w:tr>
      <w:tr w:rsidR="00637729" w:rsidRPr="00637729" w:rsidTr="00637729">
        <w:trPr>
          <w:trHeight w:val="300"/>
        </w:trPr>
        <w:tc>
          <w:tcPr>
            <w:tcW w:w="1200" w:type="dxa"/>
            <w:tcBorders>
              <w:top w:val="nil"/>
              <w:left w:val="single" w:sz="4" w:space="0" w:color="auto"/>
              <w:bottom w:val="single" w:sz="4" w:space="0" w:color="auto"/>
              <w:right w:val="single" w:sz="4" w:space="0" w:color="auto"/>
            </w:tcBorders>
            <w:shd w:val="clear" w:color="000000" w:fill="DAEEF3"/>
            <w:noWrap/>
            <w:vAlign w:val="center"/>
            <w:hideMark/>
          </w:tcPr>
          <w:p w:rsidR="00637729" w:rsidRPr="00637729" w:rsidRDefault="00637729" w:rsidP="00637729">
            <w:pPr>
              <w:spacing w:after="0" w:line="240" w:lineRule="auto"/>
              <w:jc w:val="center"/>
              <w:rPr>
                <w:rFonts w:ascii="Verdana" w:eastAsia="Times New Roman" w:hAnsi="Verdana" w:cs="Calibri"/>
                <w:b/>
                <w:bCs/>
                <w:sz w:val="20"/>
                <w:szCs w:val="20"/>
                <w:lang w:eastAsia="es-MX"/>
              </w:rPr>
            </w:pPr>
            <w:r w:rsidRPr="00637729">
              <w:rPr>
                <w:rFonts w:ascii="Verdana" w:eastAsia="Times New Roman" w:hAnsi="Verdana" w:cs="Calibri"/>
                <w:b/>
                <w:bCs/>
                <w:sz w:val="20"/>
                <w:szCs w:val="20"/>
                <w:lang w:eastAsia="es-MX"/>
              </w:rPr>
              <w:t>2011</w:t>
            </w:r>
          </w:p>
        </w:tc>
        <w:tc>
          <w:tcPr>
            <w:tcW w:w="1911"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73.2%</w:t>
            </w:r>
          </w:p>
        </w:tc>
        <w:tc>
          <w:tcPr>
            <w:tcW w:w="1595"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19.2%</w:t>
            </w:r>
          </w:p>
        </w:tc>
        <w:tc>
          <w:tcPr>
            <w:tcW w:w="1198"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4.0%</w:t>
            </w:r>
          </w:p>
        </w:tc>
        <w:tc>
          <w:tcPr>
            <w:tcW w:w="1197"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3.6%</w:t>
            </w:r>
          </w:p>
        </w:tc>
        <w:tc>
          <w:tcPr>
            <w:tcW w:w="1199" w:type="dxa"/>
            <w:tcBorders>
              <w:top w:val="nil"/>
              <w:left w:val="nil"/>
              <w:bottom w:val="single" w:sz="4" w:space="0" w:color="auto"/>
              <w:right w:val="single" w:sz="4" w:space="0" w:color="auto"/>
            </w:tcBorders>
            <w:shd w:val="clear" w:color="000000" w:fill="FFFFFF"/>
            <w:vAlign w:val="center"/>
            <w:hideMark/>
          </w:tcPr>
          <w:p w:rsidR="00637729" w:rsidRPr="00637729" w:rsidRDefault="00637729" w:rsidP="00637729">
            <w:pPr>
              <w:spacing w:after="0" w:line="240" w:lineRule="auto"/>
              <w:jc w:val="center"/>
              <w:rPr>
                <w:rFonts w:ascii="Verdana" w:eastAsia="Times New Roman" w:hAnsi="Verdana" w:cs="Calibri"/>
                <w:sz w:val="20"/>
                <w:szCs w:val="20"/>
                <w:lang w:eastAsia="es-MX"/>
              </w:rPr>
            </w:pPr>
            <w:r w:rsidRPr="00637729">
              <w:rPr>
                <w:rFonts w:ascii="Verdana" w:eastAsia="Times New Roman" w:hAnsi="Verdana" w:cs="Calibri"/>
                <w:sz w:val="20"/>
                <w:szCs w:val="20"/>
                <w:lang w:eastAsia="es-MX"/>
              </w:rPr>
              <w:t xml:space="preserve">      7,031 </w:t>
            </w:r>
          </w:p>
        </w:tc>
      </w:tr>
    </w:tbl>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3C67AD" w:rsidP="00637729">
      <w:pPr>
        <w:jc w:val="both"/>
      </w:pPr>
      <w:r>
        <w:t xml:space="preserve">A través de los últimos 10 años, el ramo de Administración </w:t>
      </w:r>
      <w:proofErr w:type="gramStart"/>
      <w:r>
        <w:t>a</w:t>
      </w:r>
      <w:proofErr w:type="gramEnd"/>
      <w:r>
        <w:t xml:space="preserve"> cubierto cerca del 75% del sector de fianzas, y se ha mantenido en ese porcentaje, aproximadamente. El ramo de Fidelidad ha visto un gran incremento en los últimos 3 o 4 años, ocupando en el 2011 el 19.2% del </w:t>
      </w:r>
      <w:proofErr w:type="gramStart"/>
      <w:r>
        <w:t>sector ,</w:t>
      </w:r>
      <w:proofErr w:type="gramEnd"/>
      <w:r>
        <w:t xml:space="preserve"> mientras que el Judicial y de Crédito han caído de manera constante ocupando cerca del 4% cada uno.</w:t>
      </w: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r>
        <w:rPr>
          <w:noProof/>
          <w:lang w:eastAsia="es-MX"/>
        </w:rPr>
        <w:drawing>
          <wp:anchor distT="0" distB="0" distL="114300" distR="114300" simplePos="0" relativeHeight="251660288" behindDoc="0" locked="0" layoutInCell="1" allowOverlap="1">
            <wp:simplePos x="0" y="0"/>
            <wp:positionH relativeFrom="column">
              <wp:posOffset>681990</wp:posOffset>
            </wp:positionH>
            <wp:positionV relativeFrom="paragraph">
              <wp:posOffset>300355</wp:posOffset>
            </wp:positionV>
            <wp:extent cx="4572000" cy="2749550"/>
            <wp:effectExtent l="0" t="0" r="19050" b="12700"/>
            <wp:wrapNone/>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p w:rsidR="00637729" w:rsidRDefault="00637729" w:rsidP="00637729">
      <w:pPr>
        <w:jc w:val="both"/>
      </w:pPr>
    </w:p>
    <w:sectPr w:rsidR="00637729" w:rsidSect="009660C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1DF7"/>
    <w:multiLevelType w:val="hybridMultilevel"/>
    <w:tmpl w:val="0142B444"/>
    <w:lvl w:ilvl="0" w:tplc="10A28DF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37729"/>
    <w:rsid w:val="001769FE"/>
    <w:rsid w:val="003C67AD"/>
    <w:rsid w:val="00637729"/>
    <w:rsid w:val="00772AF0"/>
    <w:rsid w:val="009660C2"/>
    <w:rsid w:val="00981AE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0C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729"/>
    <w:pPr>
      <w:ind w:left="720"/>
      <w:contextualSpacing/>
    </w:pPr>
  </w:style>
  <w:style w:type="paragraph" w:styleId="Textodeglobo">
    <w:name w:val="Balloon Text"/>
    <w:basedOn w:val="Normal"/>
    <w:link w:val="TextodegloboCar"/>
    <w:uiPriority w:val="99"/>
    <w:semiHidden/>
    <w:unhideWhenUsed/>
    <w:rsid w:val="00637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7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729"/>
    <w:pPr>
      <w:ind w:left="720"/>
      <w:contextualSpacing/>
    </w:pPr>
  </w:style>
  <w:style w:type="paragraph" w:styleId="Textodeglobo">
    <w:name w:val="Balloon Text"/>
    <w:basedOn w:val="Normal"/>
    <w:link w:val="TextodegloboCar"/>
    <w:uiPriority w:val="99"/>
    <w:semiHidden/>
    <w:unhideWhenUsed/>
    <w:rsid w:val="00637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7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851515">
      <w:bodyDiv w:val="1"/>
      <w:marLeft w:val="0"/>
      <w:marRight w:val="0"/>
      <w:marTop w:val="0"/>
      <w:marBottom w:val="0"/>
      <w:divBdr>
        <w:top w:val="none" w:sz="0" w:space="0" w:color="auto"/>
        <w:left w:val="none" w:sz="0" w:space="0" w:color="auto"/>
        <w:bottom w:val="none" w:sz="0" w:space="0" w:color="auto"/>
        <w:right w:val="none" w:sz="0" w:space="0" w:color="auto"/>
      </w:divBdr>
    </w:div>
    <w:div w:id="922836555">
      <w:bodyDiv w:val="1"/>
      <w:marLeft w:val="0"/>
      <w:marRight w:val="0"/>
      <w:marTop w:val="0"/>
      <w:marBottom w:val="0"/>
      <w:divBdr>
        <w:top w:val="none" w:sz="0" w:space="0" w:color="auto"/>
        <w:left w:val="none" w:sz="0" w:space="0" w:color="auto"/>
        <w:bottom w:val="none" w:sz="0" w:space="0" w:color="auto"/>
        <w:right w:val="none" w:sz="0" w:space="0" w:color="auto"/>
      </w:divBdr>
    </w:div>
    <w:div w:id="206452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uario\Downloads\punto%201%20FIANZA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uario\Downloads\punto%201%20FIANZA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uario\Downloads\punto%201%20FIANZA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chart>
    <c:title/>
    <c:plotArea>
      <c:layout/>
      <c:lineChart>
        <c:grouping val="standard"/>
        <c:ser>
          <c:idx val="0"/>
          <c:order val="0"/>
          <c:tx>
            <c:strRef>
              <c:f>'[punto 1 FIANZAS.xls]Hoja1'!$C$2</c:f>
              <c:strCache>
                <c:ptCount val="1"/>
                <c:pt idx="0">
                  <c:v>Prima Directa (MDP)</c:v>
                </c:pt>
              </c:strCache>
            </c:strRef>
          </c:tx>
          <c:cat>
            <c:numRef>
              <c:f>'[punto 1 FIANZAS.xls]Hoja1'!$B$3:$B$14</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'[punto 1 FIANZAS.xls]Hoja1'!$C$3:$C$14</c:f>
              <c:numCache>
                <c:formatCode>_-* #,##0_-;\-* #,##0_-;_-* "-"??_-;_-@_-</c:formatCode>
                <c:ptCount val="12"/>
                <c:pt idx="0">
                  <c:v>2768.63959015</c:v>
                </c:pt>
                <c:pt idx="1">
                  <c:v>2713.4205246299998</c:v>
                </c:pt>
                <c:pt idx="2">
                  <c:v>2971.4353023800022</c:v>
                </c:pt>
                <c:pt idx="3">
                  <c:v>3151.4557664600002</c:v>
                </c:pt>
                <c:pt idx="4">
                  <c:v>3561.8011814299998</c:v>
                </c:pt>
                <c:pt idx="5">
                  <c:v>3888.8248114599992</c:v>
                </c:pt>
                <c:pt idx="6">
                  <c:v>4334.8107464800014</c:v>
                </c:pt>
                <c:pt idx="7">
                  <c:v>4808.5474426599994</c:v>
                </c:pt>
                <c:pt idx="8">
                  <c:v>5462.6036040800018</c:v>
                </c:pt>
                <c:pt idx="9">
                  <c:v>5681</c:v>
                </c:pt>
                <c:pt idx="10">
                  <c:v>6000</c:v>
                </c:pt>
                <c:pt idx="11">
                  <c:v>7031</c:v>
                </c:pt>
              </c:numCache>
            </c:numRef>
          </c:val>
        </c:ser>
        <c:marker val="1"/>
        <c:axId val="143288192"/>
        <c:axId val="143289728"/>
      </c:lineChart>
      <c:catAx>
        <c:axId val="143288192"/>
        <c:scaling>
          <c:orientation val="minMax"/>
        </c:scaling>
        <c:axPos val="b"/>
        <c:numFmt formatCode="General" sourceLinked="1"/>
        <c:tickLblPos val="nextTo"/>
        <c:crossAx val="143289728"/>
        <c:crosses val="autoZero"/>
        <c:auto val="1"/>
        <c:lblAlgn val="ctr"/>
        <c:lblOffset val="100"/>
      </c:catAx>
      <c:valAx>
        <c:axId val="143289728"/>
        <c:scaling>
          <c:orientation val="minMax"/>
        </c:scaling>
        <c:axPos val="l"/>
        <c:majorGridlines/>
        <c:numFmt formatCode="_-* #,##0_-;\-* #,##0_-;_-* &quot;-&quot;??_-;_-@_-" sourceLinked="1"/>
        <c:tickLblPos val="nextTo"/>
        <c:crossAx val="14328819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chart>
    <c:plotArea>
      <c:layout/>
      <c:lineChart>
        <c:grouping val="standard"/>
        <c:ser>
          <c:idx val="0"/>
          <c:order val="0"/>
          <c:tx>
            <c:strRef>
              <c:f>'[punto 1 FIANZAS.xls]Hoja1'!$C$21</c:f>
              <c:strCache>
                <c:ptCount val="1"/>
                <c:pt idx="0">
                  <c:v>Crecimiento de Prima Directa</c:v>
                </c:pt>
              </c:strCache>
            </c:strRef>
          </c:tx>
          <c:cat>
            <c:numRef>
              <c:f>'[punto 1 FIANZAS.xls]Hoja1'!$B$22:$B$33</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'[punto 1 FIANZAS.xls]Hoja1'!$C$22:$C$33</c:f>
              <c:numCache>
                <c:formatCode>0.0%</c:formatCode>
                <c:ptCount val="12"/>
                <c:pt idx="0">
                  <c:v>3.500000000000001E-2</c:v>
                </c:pt>
                <c:pt idx="1">
                  <c:v>-6.0352672048785944E-2</c:v>
                </c:pt>
                <c:pt idx="2">
                  <c:v>4.5481845429279549E-2</c:v>
                </c:pt>
                <c:pt idx="3">
                  <c:v>7.208215507934447E-2</c:v>
                </c:pt>
                <c:pt idx="4">
                  <c:v>1.9000000000000006E-2</c:v>
                </c:pt>
                <c:pt idx="5">
                  <c:v>5.7000000000000016E-2</c:v>
                </c:pt>
                <c:pt idx="6">
                  <c:v>7.0999999999999994E-2</c:v>
                </c:pt>
                <c:pt idx="7">
                  <c:v>6.9098762441110601E-2</c:v>
                </c:pt>
                <c:pt idx="8">
                  <c:v>6.6000000000000003E-2</c:v>
                </c:pt>
                <c:pt idx="9">
                  <c:v>4.0000000000000018E-3</c:v>
                </c:pt>
                <c:pt idx="10">
                  <c:v>1.2E-2</c:v>
                </c:pt>
                <c:pt idx="11">
                  <c:v>0.129</c:v>
                </c:pt>
              </c:numCache>
            </c:numRef>
          </c:val>
        </c:ser>
        <c:ser>
          <c:idx val="1"/>
          <c:order val="1"/>
          <c:tx>
            <c:strRef>
              <c:f>'[punto 1 FIANZAS.xls]Hoja1'!$D$21</c:f>
              <c:strCache>
                <c:ptCount val="1"/>
                <c:pt idx="0">
                  <c:v>Crecimiento PIB</c:v>
                </c:pt>
              </c:strCache>
            </c:strRef>
          </c:tx>
          <c:cat>
            <c:numRef>
              <c:f>'[punto 1 FIANZAS.xls]Hoja1'!$B$22:$B$33</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'[punto 1 FIANZAS.xls]Hoja1'!$D$22:$D$33</c:f>
              <c:numCache>
                <c:formatCode>0.0%</c:formatCode>
                <c:ptCount val="12"/>
                <c:pt idx="0">
                  <c:v>6.6000000000000003E-2</c:v>
                </c:pt>
                <c:pt idx="1">
                  <c:v>-2.0000000000000009E-3</c:v>
                </c:pt>
                <c:pt idx="2">
                  <c:v>8.0000000000000054E-3</c:v>
                </c:pt>
                <c:pt idx="3">
                  <c:v>1.4E-2</c:v>
                </c:pt>
                <c:pt idx="4">
                  <c:v>4.0000000000000015E-2</c:v>
                </c:pt>
                <c:pt idx="5">
                  <c:v>3.100000000000001E-2</c:v>
                </c:pt>
                <c:pt idx="6">
                  <c:v>4.9000000000000016E-2</c:v>
                </c:pt>
                <c:pt idx="7">
                  <c:v>3.2000000000000015E-2</c:v>
                </c:pt>
                <c:pt idx="8">
                  <c:v>1.2999999999999998E-2</c:v>
                </c:pt>
                <c:pt idx="9">
                  <c:v>-6.5000000000000002E-2</c:v>
                </c:pt>
                <c:pt idx="10">
                  <c:v>5.5000000000000014E-2</c:v>
                </c:pt>
                <c:pt idx="11">
                  <c:v>3.9000000000000014E-2</c:v>
                </c:pt>
              </c:numCache>
            </c:numRef>
          </c:val>
        </c:ser>
        <c:ser>
          <c:idx val="2"/>
          <c:order val="2"/>
          <c:tx>
            <c:strRef>
              <c:f>'[punto 1 FIANZAS.xls]Hoja1'!$E$21</c:f>
              <c:strCache>
                <c:ptCount val="1"/>
                <c:pt idx="0">
                  <c:v>Inflación</c:v>
                </c:pt>
              </c:strCache>
            </c:strRef>
          </c:tx>
          <c:cat>
            <c:numRef>
              <c:f>'[punto 1 FIANZAS.xls]Hoja1'!$B$22:$B$33</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'[punto 1 FIANZAS.xls]Hoja1'!$E$22:$E$33</c:f>
              <c:numCache>
                <c:formatCode>0.00%</c:formatCode>
                <c:ptCount val="12"/>
                <c:pt idx="0">
                  <c:v>9.5100000000000004E-2</c:v>
                </c:pt>
                <c:pt idx="1">
                  <c:v>6.3899999999999998E-2</c:v>
                </c:pt>
                <c:pt idx="2">
                  <c:v>5.0300000000000018E-2</c:v>
                </c:pt>
                <c:pt idx="3">
                  <c:v>4.5600000000000002E-2</c:v>
                </c:pt>
                <c:pt idx="4">
                  <c:v>4.6800000000000001E-2</c:v>
                </c:pt>
                <c:pt idx="5" formatCode="0%">
                  <c:v>4.0000000000000015E-2</c:v>
                </c:pt>
                <c:pt idx="6">
                  <c:v>3.6300000000000006E-2</c:v>
                </c:pt>
                <c:pt idx="7">
                  <c:v>3.9699999999999999E-2</c:v>
                </c:pt>
                <c:pt idx="8">
                  <c:v>5.1199999999999996E-2</c:v>
                </c:pt>
                <c:pt idx="9">
                  <c:v>5.3100000000000001E-2</c:v>
                </c:pt>
                <c:pt idx="10">
                  <c:v>4.1599999999999998E-2</c:v>
                </c:pt>
                <c:pt idx="11">
                  <c:v>3.8199999999999998E-2</c:v>
                </c:pt>
              </c:numCache>
            </c:numRef>
          </c:val>
        </c:ser>
        <c:marker val="1"/>
        <c:axId val="145436672"/>
        <c:axId val="145438592"/>
      </c:lineChart>
      <c:catAx>
        <c:axId val="145436672"/>
        <c:scaling>
          <c:orientation val="minMax"/>
        </c:scaling>
        <c:axPos val="b"/>
        <c:numFmt formatCode="General" sourceLinked="1"/>
        <c:tickLblPos val="nextTo"/>
        <c:crossAx val="145438592"/>
        <c:crosses val="autoZero"/>
        <c:auto val="1"/>
        <c:lblAlgn val="ctr"/>
        <c:lblOffset val="100"/>
      </c:catAx>
      <c:valAx>
        <c:axId val="145438592"/>
        <c:scaling>
          <c:orientation val="minMax"/>
        </c:scaling>
        <c:axPos val="l"/>
        <c:majorGridlines/>
        <c:numFmt formatCode="0.0%" sourceLinked="1"/>
        <c:tickLblPos val="nextTo"/>
        <c:crossAx val="145436672"/>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s-MX"/>
              <a:t>Composición</a:t>
            </a:r>
            <a:r>
              <a:rPr lang="es-MX" baseline="0"/>
              <a:t> Ramos de Fianzas (2011)</a:t>
            </a:r>
            <a:endParaRPr lang="es-MX"/>
          </a:p>
        </c:rich>
      </c:tx>
    </c:title>
    <c:view3D>
      <c:rotX val="30"/>
      <c:perspective val="30"/>
    </c:view3D>
    <c:plotArea>
      <c:layout/>
      <c:pie3DChart>
        <c:varyColors val="1"/>
        <c:ser>
          <c:idx val="0"/>
          <c:order val="0"/>
          <c:explosion val="25"/>
          <c:dLbls>
            <c:showCatName val="1"/>
            <c:showPercent val="1"/>
          </c:dLbls>
          <c:cat>
            <c:strRef>
              <c:f>'[punto 1 FIANZAS.xls]Hoja1'!$C$39:$F$39</c:f>
              <c:strCache>
                <c:ptCount val="4"/>
                <c:pt idx="0">
                  <c:v>Administrativas</c:v>
                </c:pt>
                <c:pt idx="1">
                  <c:v>Fidelidad</c:v>
                </c:pt>
                <c:pt idx="2">
                  <c:v>Judicial</c:v>
                </c:pt>
                <c:pt idx="3">
                  <c:v>Crédito</c:v>
                </c:pt>
              </c:strCache>
            </c:strRef>
          </c:cat>
          <c:val>
            <c:numRef>
              <c:f>'[punto 1 FIANZAS.xls]Hoja1'!$C$51:$F$51</c:f>
              <c:numCache>
                <c:formatCode>0.0%</c:formatCode>
                <c:ptCount val="4"/>
                <c:pt idx="0">
                  <c:v>0.73200000000000021</c:v>
                </c:pt>
                <c:pt idx="1">
                  <c:v>0.192</c:v>
                </c:pt>
                <c:pt idx="2">
                  <c:v>4.0000000000000015E-2</c:v>
                </c:pt>
                <c:pt idx="3">
                  <c:v>3.5999999999999997E-2</c:v>
                </c:pt>
              </c:numCache>
            </c:numRef>
          </c:val>
        </c:ser>
        <c:dLbls>
          <c:showCatName val="1"/>
          <c:showPercent val="1"/>
        </c:dLbls>
      </c:pie3DChart>
      <c:spPr>
        <a:noFill/>
        <a:ln w="25400">
          <a:noFill/>
        </a:ln>
      </c:spPr>
    </c:plotArea>
    <c:plotVisOnly val="1"/>
    <c:dispBlanksAs val="zero"/>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jhbg</cp:lastModifiedBy>
  <cp:revision>2</cp:revision>
  <dcterms:created xsi:type="dcterms:W3CDTF">2012-04-27T02:32:00Z</dcterms:created>
  <dcterms:modified xsi:type="dcterms:W3CDTF">2012-04-27T02:32:00Z</dcterms:modified>
</cp:coreProperties>
</file>