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66f95cd948c9c4fde3d8e083372e9a9b06ac17a"/>
    <w:p>
      <w:pPr>
        <w:pStyle w:val="Heading1"/>
      </w:pPr>
      <w:r>
        <w:t xml:space="preserve">Cedarwings SAS Operations — Protocole du système</w:t>
      </w:r>
    </w:p>
    <w:p>
      <w:pPr>
        <w:pStyle w:val="FirstParagraph"/>
      </w:pPr>
      <w:r>
        <w:rPr>
          <w:iCs/>
          <w:i/>
        </w:rPr>
        <w:t xml:space="preserve">Dernière mise à jour : 2026-05-20 (rafraîchissement post-audit)</w:t>
      </w:r>
    </w:p>
    <w:p>
      <w:pPr>
        <w:pStyle w:val="BodyText"/>
      </w:pPr>
      <w:r>
        <w:t xml:space="preserve">Ce document explique, en termes simples,</w:t>
      </w:r>
      <w:r>
        <w:t xml:space="preserve"> </w:t>
      </w:r>
      <w:r>
        <w:rPr>
          <w:bCs/>
          <w:b/>
        </w:rPr>
        <w:t xml:space="preserve">comment l'application</w:t>
      </w:r>
      <w:r>
        <w:rPr>
          <w:bCs/>
          <w:b/>
        </w:rPr>
        <w:t xml:space="preserve"> </w:t>
      </w:r>
      <w:r>
        <w:rPr>
          <w:bCs/>
          <w:b/>
        </w:rPr>
        <w:t xml:space="preserve">Operations fonctionne de bout en bout</w:t>
      </w:r>
      <w:r>
        <w:t xml:space="preserve"> </w:t>
      </w:r>
      <w:r>
        <w:t xml:space="preserve">— qui fait quoi, où circulent</w:t>
      </w:r>
      <w:r>
        <w:t xml:space="preserve"> </w:t>
      </w:r>
      <w:r>
        <w:t xml:space="preserve">les données, et comment la traçabilité ISO 13485 est préservée. Il</w:t>
      </w:r>
      <w:r>
        <w:t xml:space="preserve"> </w:t>
      </w:r>
      <w:r>
        <w:t xml:space="preserve">complète l'aide intégrée (bouton 🛟 Help, EN/FR) qui décrit chaque</w:t>
      </w:r>
      <w:r>
        <w:t xml:space="preserve"> </w:t>
      </w:r>
      <w:r>
        <w:t xml:space="preserve">page champ par champ.</w:t>
      </w:r>
    </w:p>
    <w:p>
      <w:r>
        <w:pict>
          <v:rect style="width:0;height:1.5pt" o:hralign="center" o:hrstd="t" o:hr="t"/>
        </w:pict>
      </w:r>
    </w:p>
    <w:bookmarkStart w:id="20" w:name="X16d12922c90abb1d57e3bd214294a4ffdb4d4b5"/>
    <w:p>
      <w:pPr>
        <w:pStyle w:val="Heading2"/>
      </w:pPr>
      <w:r>
        <w:t xml:space="preserve">1. Ce qu'est le système</w:t>
      </w:r>
    </w:p>
    <w:p>
      <w:pPr>
        <w:pStyle w:val="FirstParagraph"/>
      </w:pPr>
      <w:r>
        <w:t xml:space="preserve">Une application web unique (PWA) qui pilote les opérations de</w:t>
      </w:r>
      <w:r>
        <w:t xml:space="preserve"> </w:t>
      </w:r>
      <w:r>
        <w:t xml:space="preserve">fabrication de Cedarwings SAS :</w:t>
      </w:r>
    </w:p>
    <w:p>
      <w:pPr>
        <w:numPr>
          <w:ilvl w:val="0"/>
          <w:numId w:val="1001"/>
        </w:numPr>
        <w:pStyle w:val="Compact"/>
      </w:pPr>
      <w:r>
        <w:t xml:space="preserve">Commandes Bloom → Production → Contrôle Qualité → Conditionnement → Expédition</w:t>
      </w:r>
    </w:p>
    <w:p>
      <w:pPr>
        <w:numPr>
          <w:ilvl w:val="0"/>
          <w:numId w:val="1001"/>
        </w:numPr>
        <w:pStyle w:val="Compact"/>
      </w:pPr>
      <w:r>
        <w:t xml:space="preserve">Inventaire des matières premières et consommables (FEFO)</w:t>
      </w:r>
    </w:p>
    <w:p>
      <w:pPr>
        <w:numPr>
          <w:ilvl w:val="0"/>
          <w:numId w:val="1001"/>
        </w:numPr>
        <w:pStyle w:val="Compact"/>
      </w:pPr>
      <w:r>
        <w:t xml:space="preserve">Fournisseurs (Liste des Fournisseurs Approuvés + certifications)</w:t>
      </w:r>
    </w:p>
    <w:p>
      <w:pPr>
        <w:numPr>
          <w:ilvl w:val="0"/>
          <w:numId w:val="1001"/>
        </w:numPr>
        <w:pStyle w:val="Compact"/>
      </w:pPr>
      <w:r>
        <w:t xml:space="preserve">Cluster qualité : Non-Conformités, CAPAs, Réclamations Clients, Audits Internes</w:t>
      </w:r>
    </w:p>
    <w:p>
      <w:pPr>
        <w:numPr>
          <w:ilvl w:val="0"/>
          <w:numId w:val="1001"/>
        </w:numPr>
        <w:pStyle w:val="Compact"/>
      </w:pPr>
      <w:r>
        <w:t xml:space="preserve">Équipe : pointage, rapport de temps, rôles, permissions</w:t>
      </w:r>
    </w:p>
    <w:p>
      <w:pPr>
        <w:numPr>
          <w:ilvl w:val="0"/>
          <w:numId w:val="1001"/>
        </w:numPr>
        <w:pStyle w:val="Compact"/>
      </w:pPr>
      <w:r>
        <w:t xml:space="preserve">Traçabilité continue : chaque action est signée et datée</w:t>
      </w:r>
    </w:p>
    <w:p>
      <w:pPr>
        <w:pStyle w:val="FirstParagraph"/>
      </w:pPr>
      <w:r>
        <w:t xml:space="preserve">L'application est livrée depuis GitHub Pages ; les données et</w:t>
      </w:r>
      <w:r>
        <w:t xml:space="preserve"> </w:t>
      </w:r>
      <w:r>
        <w:t xml:space="preserve">l'authentification sont chez Supabase (Postgres + Auth + Storage +</w:t>
      </w:r>
      <w:r>
        <w:t xml:space="preserve"> </w:t>
      </w:r>
      <w:r>
        <w:t xml:space="preserve">Edge Functions).</w:t>
      </w:r>
    </w:p>
    <w:bookmarkEnd w:id="20"/>
    <w:bookmarkStart w:id="21" w:name="X9bcdf73fe22fbe2e4a6e051e1fc415e3a76294d"/>
    <w:p>
      <w:pPr>
        <w:pStyle w:val="Heading2"/>
      </w:pPr>
      <w:r>
        <w:t xml:space="preserve">2. Rôles &amp; accès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qu'il peut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Direction, 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: créer/modifier/supprimer, approuver les réquisitions, clôturer NCs/CAPAs, configurer rôles &amp; routage.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Qualité (RQ)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Propriétaire des NCs, CAPAs, audits, investigations réclamations, évaluations fournisseurs.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Propriétaire des lots de production, matières, machines, maintenance.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Contrôleur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Opérateur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Mène les inspections en 16 points, ouvre des NCs en cas de rejet.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Opérateur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 de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Pointe, avance les étapes, voit son propre travail.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Magasinier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Réceptionne les lots, ouvre les réquisitions, gère le catalogue d'articles.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Représentant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Saisit les réclamations, fait les relances, marque résolu.</w:t>
            </w:r>
          </w:p>
        </w:tc>
      </w:tr>
    </w:tbl>
    <w:p>
      <w:pPr>
        <w:pStyle w:val="BodyText"/>
      </w:pPr>
      <w:r>
        <w:t xml:space="preserve">Les rôles sont stockés sur</w:t>
      </w:r>
      <w:r>
        <w:t xml:space="preserve"> </w:t>
      </w:r>
      <w:r>
        <w:rPr>
          <w:rStyle w:val="VerbatimChar"/>
        </w:rPr>
        <w:t xml:space="preserve">auth.users.user_metadata.role</w:t>
      </w:r>
      <w:r>
        <w:t xml:space="preserve">. La page</w:t>
      </w:r>
      <w:r>
        <w:t xml:space="preserve"> </w:t>
      </w:r>
      <w:r>
        <w:rPr>
          <w:bCs/>
          <w:b/>
        </w:rPr>
        <w:t xml:space="preserve">Roles</w:t>
      </w:r>
      <w:r>
        <w:t xml:space="preserve"> </w:t>
      </w:r>
      <w:r>
        <w:t xml:space="preserve">mappe chaque rôle aux pages et actions autorisées ;</w:t>
      </w:r>
      <w:r>
        <w:t xml:space="preserve"> </w:t>
      </w:r>
      <w:r>
        <w:t xml:space="preserve">l'accès est appliqué côté client (l'UI masque ce qui n'est pas</w:t>
      </w:r>
      <w:r>
        <w:t xml:space="preserve"> </w:t>
      </w:r>
      <w:r>
        <w:t xml:space="preserve">autorisé)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au niveau base via les politiques Row-Level Security +</w:t>
      </w:r>
      <w:r>
        <w:t xml:space="preserve"> </w:t>
      </w:r>
      <w:r>
        <w:t xml:space="preserve">un helper</w:t>
      </w:r>
      <w:r>
        <w:t xml:space="preserve"> </w:t>
      </w:r>
      <w:r>
        <w:rPr>
          <w:rStyle w:val="VerbatimChar"/>
        </w:rPr>
        <w:t xml:space="preserve">cw_is_manager()</w:t>
      </w:r>
      <w:r>
        <w:t xml:space="preserve">.</w:t>
      </w:r>
    </w:p>
    <w:bookmarkEnd w:id="21"/>
    <w:bookmarkStart w:id="22" w:name="X45f378f96e9f1c7112f87f49abf2b9cdb6b8091"/>
    <w:p>
      <w:pPr>
        <w:pStyle w:val="Heading2"/>
      </w:pPr>
      <w:r>
        <w:t xml:space="preserve">3. Flux opérationnel quotidien</w:t>
      </w:r>
    </w:p>
    <w:p>
      <w:pPr>
        <w:pStyle w:val="SourceCode"/>
      </w:pPr>
      <w:r>
        <w:rPr>
          <w:rStyle w:val="VerbatimChar"/>
        </w:rPr>
        <w:t xml:space="preserve">Dossier Bloom  ─►  Lot de production  ─►  QC 16 points  ─►  Conditionnement  ─►  Expédition</w:t>
      </w:r>
      <w:r>
        <w:br/>
      </w:r>
      <w:r>
        <w:rPr>
          <w:rStyle w:val="VerbatimChar"/>
        </w:rPr>
        <w:t xml:space="preserve">       │                  │                     │</w:t>
      </w:r>
      <w:r>
        <w:br/>
      </w:r>
      <w:r>
        <w:rPr>
          <w:rStyle w:val="VerbatimChar"/>
        </w:rPr>
        <w:t xml:space="preserve">       │                  │                     └─► rejet ? ──► NC ─► CAPA(s)</w:t>
      </w:r>
      <w:r>
        <w:br/>
      </w:r>
      <w:r>
        <w:rPr>
          <w:rStyle w:val="VerbatimChar"/>
        </w:rPr>
        <w:t xml:space="preserve">       │                  │</w:t>
      </w:r>
      <w:r>
        <w:br/>
      </w:r>
      <w:r>
        <w:rPr>
          <w:rStyle w:val="VerbatimChar"/>
        </w:rPr>
        <w:t xml:space="preserve">       │                  └─► matière première déduite de l'inventaire (FEFO)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└─► Réclamation client (surveillance post-commercialisation)</w:t>
      </w:r>
      <w:r>
        <w:br/>
      </w:r>
      <w:r>
        <w:rPr>
          <w:rStyle w:val="VerbatimChar"/>
        </w:rPr>
        <w:t xml:space="preserve">             ├─► investigation (Lot/UDI, cause racine, résultat)</w:t>
      </w:r>
      <w:r>
        <w:br/>
      </w:r>
      <w:r>
        <w:rPr>
          <w:rStyle w:val="VerbatimChar"/>
        </w:rPr>
        <w:t xml:space="preserve">             ├─► CAPA requis ? ─► registre CAPA</w:t>
      </w:r>
      <w:r>
        <w:br/>
      </w:r>
      <w:r>
        <w:rPr>
          <w:rStyle w:val="VerbatimChar"/>
        </w:rPr>
        <w:t xml:space="preserve">             └─► Vigilance à reporter ? ─► référence régulateur enregistrée</w:t>
      </w:r>
    </w:p>
    <w:p>
      <w:pPr>
        <w:pStyle w:val="FirstParagraph"/>
      </w:pPr>
      <w:r>
        <w:t xml:space="preserve">Chaque étape enregistre</w:t>
      </w:r>
      <w:r>
        <w:t xml:space="preserve"> </w:t>
      </w:r>
      <w:r>
        <w:rPr>
          <w:bCs/>
          <w:b/>
        </w:rPr>
        <w:t xml:space="preserve">qui l'a fait, quand, sur quel appareil,</w:t>
      </w:r>
      <w:r>
        <w:rPr>
          <w:bCs/>
          <w:b/>
        </w:rPr>
        <w:t xml:space="preserve"> </w:t>
      </w:r>
      <w:r>
        <w:rPr>
          <w:bCs/>
          <w:b/>
        </w:rPr>
        <w:t xml:space="preserve">contre quel lot/commande</w:t>
      </w:r>
      <w:r>
        <w:t xml:space="preserve"> </w:t>
      </w:r>
      <w:r>
        <w:t xml:space="preserve">et est visible sur la page Traçabilité.</w:t>
      </w:r>
    </w:p>
    <w:bookmarkEnd w:id="22"/>
    <w:bookmarkStart w:id="27" w:name="X9643d33089225f2633395ed81e99d3c4d265c63"/>
    <w:p>
      <w:pPr>
        <w:pStyle w:val="Heading2"/>
      </w:pPr>
      <w:r>
        <w:t xml:space="preserve">4. Le cluster qualité — comment les pièces s'emboîtent</w:t>
      </w:r>
    </w:p>
    <w:p>
      <w:pPr>
        <w:pStyle w:val="FirstParagraph"/>
      </w:pPr>
      <w:r>
        <w:t xml:space="preserve">Depuis l'audit du 20-05-2026, le cluster qualité est entièrement</w:t>
      </w:r>
      <w:r>
        <w:t xml:space="preserve"> </w:t>
      </w:r>
      <w:r>
        <w:t xml:space="preserve">séparé en quatre registres distincts, chacun avec sa propre page et son</w:t>
      </w:r>
      <w:r>
        <w:t xml:space="preserve"> </w:t>
      </w:r>
      <w:r>
        <w:t xml:space="preserve">propre cycle de vie. Ils se référencent mutuellement mais ne s'écrasent</w:t>
      </w:r>
      <w:r>
        <w:t xml:space="preserve"> </w:t>
      </w:r>
      <w:r>
        <w:t xml:space="preserve">pas l'un l'autre.</w:t>
      </w:r>
    </w:p>
    <w:bookmarkStart w:id="23" w:name="Xf6fd3aff541764540772eda9699152c262e5d74"/>
    <w:p>
      <w:pPr>
        <w:pStyle w:val="Heading3"/>
      </w:pPr>
      <w:r>
        <w:t xml:space="preserve">4.1 Non-Conformité (NC)</w:t>
      </w:r>
    </w:p>
    <w:p>
      <w:pPr>
        <w:numPr>
          <w:ilvl w:val="0"/>
          <w:numId w:val="1002"/>
        </w:numPr>
        <w:pStyle w:val="Compact"/>
      </w:pPr>
      <w:r>
        <w:t xml:space="preserve">Un rapport par défaut / écart de processus.</w:t>
      </w:r>
    </w:p>
    <w:p>
      <w:pPr>
        <w:numPr>
          <w:ilvl w:val="0"/>
          <w:numId w:val="1002"/>
        </w:numPr>
        <w:pStyle w:val="Compact"/>
      </w:pPr>
      <w:r>
        <w:t xml:space="preserve">Capture : détection, description, correction immédiate (quarantaine,</w:t>
      </w:r>
      <w:r>
        <w:t xml:space="preserve"> </w:t>
      </w:r>
      <w:r>
        <w:t xml:space="preserve">rebut…), cause racine, sévérité, statut.</w:t>
      </w:r>
    </w:p>
    <w:p>
      <w:pPr>
        <w:numPr>
          <w:ilvl w:val="0"/>
          <w:numId w:val="1002"/>
        </w:numPr>
        <w:pStyle w:val="Compact"/>
      </w:pPr>
      <w:r>
        <w:t xml:space="preserve">Ne se clôture que quand</w:t>
      </w:r>
      <w:r>
        <w:t xml:space="preserve"> </w:t>
      </w:r>
      <w:r>
        <w:rPr>
          <w:iCs/>
          <w:i/>
        </w:rPr>
        <w:t xml:space="preserve">chaque</w:t>
      </w:r>
      <w:r>
        <w:t xml:space="preserve"> </w:t>
      </w:r>
      <w:r>
        <w:t xml:space="preserve">CAPA lié est Verified ou Closed.</w:t>
      </w:r>
    </w:p>
    <w:p>
      <w:pPr>
        <w:numPr>
          <w:ilvl w:val="0"/>
          <w:numId w:val="1002"/>
        </w:numPr>
        <w:pStyle w:val="Compact"/>
      </w:pPr>
      <w:r>
        <w:t xml:space="preserve">Nouvelle tuile :</w:t>
      </w:r>
      <w:r>
        <w:t xml:space="preserve"> </w:t>
      </w:r>
      <w:r>
        <w:rPr>
          <w:bCs/>
          <w:b/>
        </w:rPr>
        <w:t xml:space="preserve">🛠 Linked CAPAs</w:t>
      </w:r>
      <w:r>
        <w:t xml:space="preserve"> </w:t>
      </w:r>
      <w:r>
        <w:t xml:space="preserve">(créer en ligne ou sélectionner</w:t>
      </w:r>
      <w:r>
        <w:t xml:space="preserve"> </w:t>
      </w:r>
      <w:r>
        <w:t xml:space="preserve">depuis le registre).</w:t>
      </w:r>
    </w:p>
    <w:bookmarkEnd w:id="23"/>
    <w:bookmarkStart w:id="24" w:name="X7f61bd4404607dd8a5ea28d22ad792387444ffd"/>
    <w:p>
      <w:pPr>
        <w:pStyle w:val="Heading3"/>
      </w:pPr>
      <w:r>
        <w:t xml:space="preserve">4.2 CAPA (Action Corrective &amp; Préventive)</w:t>
      </w:r>
    </w:p>
    <w:p>
      <w:pPr>
        <w:numPr>
          <w:ilvl w:val="0"/>
          <w:numId w:val="1003"/>
        </w:numPr>
        <w:pStyle w:val="Compact"/>
      </w:pPr>
      <w:r>
        <w:t xml:space="preserve">Vit dans son propre registre (</w:t>
      </w:r>
      <w:r>
        <w:rPr>
          <w:rStyle w:val="VerbatimChar"/>
        </w:rPr>
        <w:t xml:space="preserve">capa.html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Chaque CAPA porte : source (NC / Feedback / Audit / Other), énoncé</w:t>
      </w:r>
      <w:r>
        <w:t xml:space="preserve"> </w:t>
      </w:r>
      <w:r>
        <w:t xml:space="preserve">du problème, cause racine, plan d'action, propriétaire, date</w:t>
      </w:r>
      <w:r>
        <w:t xml:space="preserve"> </w:t>
      </w:r>
      <w:r>
        <w:t xml:space="preserve">d'échéance, statut, contrôle d'efficacité, vérifié par/à, clôturé</w:t>
      </w:r>
      <w:r>
        <w:t xml:space="preserve"> </w:t>
      </w:r>
      <w:r>
        <w:t xml:space="preserve">à.</w:t>
      </w:r>
    </w:p>
    <w:p>
      <w:pPr>
        <w:numPr>
          <w:ilvl w:val="0"/>
          <w:numId w:val="1003"/>
        </w:numPr>
        <w:pStyle w:val="Compact"/>
      </w:pPr>
      <w:r>
        <w:t xml:space="preserve">Cycle :</w:t>
      </w:r>
      <w:r>
        <w:t xml:space="preserve"> </w:t>
      </w:r>
      <w:r>
        <w:rPr>
          <w:bCs/>
          <w:b/>
        </w:rPr>
        <w:t xml:space="preserve">Open → In Progress → Verified → Closed</w:t>
      </w:r>
      <w:r>
        <w:t xml:space="preserve"> </w:t>
      </w:r>
      <w:r>
        <w:t xml:space="preserve">(ou</w:t>
      </w:r>
      <w:r>
        <w:t xml:space="preserve"> </w:t>
      </w:r>
      <w:r>
        <w:rPr>
          <w:iCs/>
          <w:i/>
        </w:rPr>
        <w:t xml:space="preserve">Cancelled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Export CSV, liens profonds, KPIs par statut, filtres source +</w:t>
      </w:r>
      <w:r>
        <w:t xml:space="preserve"> </w:t>
      </w:r>
      <w:r>
        <w:t xml:space="preserve">propriétaire.</w:t>
      </w:r>
    </w:p>
    <w:bookmarkEnd w:id="24"/>
    <w:bookmarkStart w:id="25" w:name="Xdc77f16a0cd916e6e1962701705a3f3d80d2ae1"/>
    <w:p>
      <w:pPr>
        <w:pStyle w:val="Heading3"/>
      </w:pPr>
      <w:r>
        <w:t xml:space="preserve">4.3 Réclamations Clients (Customer Feedback)</w:t>
      </w:r>
    </w:p>
    <w:p>
      <w:pPr>
        <w:numPr>
          <w:ilvl w:val="0"/>
          <w:numId w:val="1004"/>
        </w:numPr>
        <w:pStyle w:val="Compact"/>
      </w:pPr>
      <w:r>
        <w:t xml:space="preserve">Chaque réclamation, retour, demande de garantie, suggestion, retour</w:t>
      </w:r>
      <w:r>
        <w:t xml:space="preserve"> </w:t>
      </w:r>
      <w:r>
        <w:t xml:space="preserve">positif.</w:t>
      </w:r>
    </w:p>
    <w:p>
      <w:pPr>
        <w:numPr>
          <w:ilvl w:val="0"/>
          <w:numId w:val="1004"/>
        </w:numPr>
        <w:pStyle w:val="Compact"/>
      </w:pPr>
      <w:r>
        <w:t xml:space="preserve">Nouvelle section</w:t>
      </w:r>
      <w:r>
        <w:t xml:space="preserve"> </w:t>
      </w:r>
      <w:r>
        <w:rPr>
          <w:bCs/>
          <w:b/>
        </w:rPr>
        <w:t xml:space="preserve">Investigation &amp; Compliance</w:t>
      </w:r>
      <w:r>
        <w:t xml:space="preserve"> </w:t>
      </w:r>
      <w:r>
        <w:t xml:space="preserve">: Lot/UDI, début</w:t>
      </w:r>
      <w:r>
        <w:t xml:space="preserve"> </w:t>
      </w:r>
      <w:r>
        <w:t xml:space="preserve">d'investigation, résultat d'investigation, cause racine, indicateur</w:t>
      </w:r>
      <w:r>
        <w:t xml:space="preserve"> </w:t>
      </w:r>
      <w:r>
        <w:t xml:space="preserve">CAPA + CAPA lié, vigilance à reporter + référence régulateur.</w:t>
      </w:r>
    </w:p>
    <w:p>
      <w:pPr>
        <w:numPr>
          <w:ilvl w:val="0"/>
          <w:numId w:val="1004"/>
        </w:numPr>
        <w:pStyle w:val="Compact"/>
      </w:pPr>
      <w:r>
        <w:t xml:space="preserve">Routage automatique par catégorie (ex.</w:t>
      </w:r>
      <w:r>
        <w:t xml:space="preserve"> </w:t>
      </w:r>
      <w:r>
        <w:rPr>
          <w:iCs/>
          <w:i/>
        </w:rPr>
        <w:t xml:space="preserve">Product Quality</w:t>
      </w:r>
      <w:r>
        <w:t xml:space="preserve"> </w:t>
      </w:r>
      <w:r>
        <w:t xml:space="preserve">→ rôle RQ).</w:t>
      </w:r>
    </w:p>
    <w:p>
      <w:pPr>
        <w:numPr>
          <w:ilvl w:val="0"/>
          <w:numId w:val="1004"/>
        </w:numPr>
        <w:pStyle w:val="Compact"/>
      </w:pPr>
      <w:r>
        <w:t xml:space="preserve">Accusés de lecture (📧/📬), rappels de suivi (rouge/ambre/vert),</w:t>
      </w:r>
      <w:r>
        <w:t xml:space="preserve"> </w:t>
      </w:r>
      <w:r>
        <w:t xml:space="preserve">score de satisfaction du tableau de bord sur les dossiers clôturés</w:t>
      </w:r>
      <w:r>
        <w:t xml:space="preserve"> </w:t>
      </w:r>
      <w:r>
        <w:t xml:space="preserve">(30 derniers jours glissants).</w:t>
      </w:r>
    </w:p>
    <w:bookmarkEnd w:id="25"/>
    <w:bookmarkStart w:id="26" w:name="X464d5149ef1c709334020343b8b0443c2eeac1d"/>
    <w:p>
      <w:pPr>
        <w:pStyle w:val="Heading3"/>
      </w:pPr>
      <w:r>
        <w:t xml:space="preserve">4.4 Audit Interne</w:t>
      </w:r>
    </w:p>
    <w:p>
      <w:pPr>
        <w:numPr>
          <w:ilvl w:val="0"/>
          <w:numId w:val="1005"/>
        </w:numPr>
        <w:pStyle w:val="Compact"/>
      </w:pPr>
      <w:r>
        <w:t xml:space="preserve">Planifier et enregistrer les audits qualité internes.</w:t>
      </w:r>
    </w:p>
    <w:p>
      <w:pPr>
        <w:numPr>
          <w:ilvl w:val="0"/>
          <w:numId w:val="1005"/>
        </w:numPr>
        <w:pStyle w:val="Compact"/>
      </w:pPr>
      <w:r>
        <w:t xml:space="preserve">Chaque audit peut générer un ou plusieurs CAPAs (via source = audit).</w:t>
      </w:r>
    </w:p>
    <w:bookmarkEnd w:id="26"/>
    <w:bookmarkEnd w:id="27"/>
    <w:bookmarkStart w:id="28" w:name="X39df40e4af31a367a0844b5143ebb639407e54e"/>
    <w:p>
      <w:pPr>
        <w:pStyle w:val="Heading2"/>
      </w:pPr>
      <w:r>
        <w:t xml:space="preserve">5. Production &amp; Contrôle Qualité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Bloom Import</w:t>
      </w:r>
      <w:r>
        <w:t xml:space="preserve"> </w:t>
      </w:r>
      <w:r>
        <w:t xml:space="preserve">récupère les dossiers depuis bloomaligner.fr (CSV /</w:t>
      </w:r>
      <w:r>
        <w:t xml:space="preserve"> </w:t>
      </w:r>
      <w:r>
        <w:t xml:space="preserve">Excel / API).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Production</w:t>
      </w:r>
      <w:r>
        <w:t xml:space="preserve"> </w:t>
      </w:r>
      <w:r>
        <w:t xml:space="preserve">enregistre le lot : commande, machine, lot matière</w:t>
      </w:r>
      <w:r>
        <w:t xml:space="preserve"> </w:t>
      </w:r>
      <w:r>
        <w:t xml:space="preserve">(sélectionné automatiquement FEFO), opérateur, quantités sup/inf,</w:t>
      </w:r>
      <w:r>
        <w:t xml:space="preserve"> </w:t>
      </w:r>
      <w:r>
        <w:t xml:space="preserve">statut pending → in progress → completed.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Clocking</w:t>
      </w:r>
      <w:r>
        <w:t xml:space="preserve"> </w:t>
      </w:r>
      <w:r>
        <w:t xml:space="preserve">fait avancer le dossier étape par étape (Printing →</w:t>
      </w:r>
      <w:r>
        <w:t xml:space="preserve"> </w:t>
      </w:r>
      <w:r>
        <w:t xml:space="preserve">Thermoforming → Trimming → Packaging …). Chaque transition est</w:t>
      </w:r>
      <w:r>
        <w:t xml:space="preserve"> </w:t>
      </w:r>
      <w:r>
        <w:t xml:space="preserve">horodatée et attribuée.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Quality Control</w:t>
      </w:r>
      <w:r>
        <w:t xml:space="preserve"> </w:t>
      </w:r>
      <w:r>
        <w:t xml:space="preserve">mène l'inspection ISO en 16 points. Le</w:t>
      </w:r>
      <w:r>
        <w:t xml:space="preserve"> </w:t>
      </w:r>
      <w:r>
        <w:t xml:space="preserve">contrôleur signe (nom + login), soumet, puis :</w:t>
      </w:r>
    </w:p>
    <w:p>
      <w:pPr>
        <w:numPr>
          <w:ilvl w:val="1"/>
          <w:numId w:val="1007"/>
        </w:numPr>
        <w:pStyle w:val="Compact"/>
      </w:pPr>
      <w:r>
        <w:t xml:space="preserve">✅ Approuve → lot libéré pour expédition</w:t>
      </w:r>
    </w:p>
    <w:p>
      <w:pPr>
        <w:numPr>
          <w:ilvl w:val="1"/>
          <w:numId w:val="1007"/>
        </w:numPr>
        <w:pStyle w:val="Compact"/>
      </w:pPr>
      <w:r>
        <w:t xml:space="preserve">❌ Rejette → étape réinitialisée, bannière NC avec lien</w:t>
      </w:r>
      <w:r>
        <w:t xml:space="preserve"> </w:t>
      </w:r>
      <w:r>
        <w:t xml:space="preserve">pré-rempli</w:t>
      </w:r>
    </w:p>
    <w:p>
      <w:pPr>
        <w:numPr>
          <w:ilvl w:val="1"/>
          <w:numId w:val="1007"/>
        </w:numPr>
        <w:pStyle w:val="Compact"/>
      </w:pPr>
      <w:r>
        <w:t xml:space="preserve">⏸ Met en attente pour re-vérification</w:t>
      </w:r>
    </w:p>
    <w:p>
      <w:pPr>
        <w:numPr>
          <w:ilvl w:val="0"/>
          <w:numId w:val="1006"/>
        </w:numPr>
        <w:pStyle w:val="Compact"/>
      </w:pPr>
      <w:r>
        <w:t xml:space="preserve">Nouveaux champs QC (audit 2026-05) :</w:t>
      </w:r>
      <w:r>
        <w:t xml:space="preserve"> </w:t>
      </w:r>
      <w:r>
        <w:rPr>
          <w:bCs/>
          <w:b/>
        </w:rPr>
        <w:t xml:space="preserve">NC liée</w:t>
      </w:r>
      <w:r>
        <w:t xml:space="preserve">,</w:t>
      </w:r>
      <w:r>
        <w:t xml:space="preserve"> </w:t>
      </w:r>
      <w:r>
        <w:rPr>
          <w:bCs/>
          <w:b/>
        </w:rPr>
        <w:t xml:space="preserve">Référence de</w:t>
      </w:r>
      <w:r>
        <w:rPr>
          <w:bCs/>
          <w:b/>
        </w:rPr>
        <w:t xml:space="preserve"> </w:t>
      </w:r>
      <w:r>
        <w:rPr>
          <w:bCs/>
          <w:b/>
        </w:rPr>
        <w:t xml:space="preserve">procédure</w:t>
      </w:r>
      <w:r>
        <w:t xml:space="preserve">,</w:t>
      </w:r>
      <w:r>
        <w:t xml:space="preserve"> </w:t>
      </w:r>
      <w:r>
        <w:rPr>
          <w:bCs/>
          <w:b/>
        </w:rPr>
        <w:t xml:space="preserve">Mesures prises</w:t>
      </w:r>
      <w:r>
        <w:t xml:space="preserve"> </w:t>
      </w:r>
      <w:r>
        <w:t xml:space="preserve">— pour que le certificat QC documente</w:t>
      </w:r>
      <w:r>
        <w:t xml:space="preserve"> </w:t>
      </w:r>
      <w:r>
        <w:t xml:space="preserve">non seulement</w:t>
      </w:r>
      <w:r>
        <w:t xml:space="preserve"> </w:t>
      </w:r>
      <w:r>
        <w:rPr>
          <w:iCs/>
          <w:i/>
        </w:rPr>
        <w:t xml:space="preserve">ce qui a été vérifié</w:t>
      </w:r>
      <w:r>
        <w:t xml:space="preserve"> </w:t>
      </w:r>
      <w:r>
        <w:t xml:space="preserve">mais aussi</w:t>
      </w:r>
      <w:r>
        <w:t xml:space="preserve"> </w:t>
      </w:r>
      <w:r>
        <w:rPr>
          <w:iCs/>
          <w:i/>
        </w:rPr>
        <w:t xml:space="preserve">quelle SOP a été</w:t>
      </w:r>
      <w:r>
        <w:rPr>
          <w:iCs/>
          <w:i/>
        </w:rPr>
        <w:t xml:space="preserve"> </w:t>
      </w:r>
      <w:r>
        <w:rPr>
          <w:iCs/>
          <w:i/>
        </w:rPr>
        <w:t xml:space="preserve">suivie</w:t>
      </w:r>
      <w:r>
        <w:t xml:space="preserve"> </w:t>
      </w:r>
      <w:r>
        <w:t xml:space="preserve">et</w:t>
      </w:r>
      <w:r>
        <w:t xml:space="preserve"> </w:t>
      </w:r>
      <w:r>
        <w:rPr>
          <w:iCs/>
          <w:i/>
        </w:rPr>
        <w:t xml:space="preserve">ce qui a été fait du lot rejeté</w:t>
      </w:r>
      <w:r>
        <w:t xml:space="preserve">.</w:t>
      </w:r>
    </w:p>
    <w:bookmarkEnd w:id="28"/>
    <w:bookmarkStart w:id="32" w:name="X8749b6fc6900d2d85ce9807c7cdf30cbd74cacb"/>
    <w:p>
      <w:pPr>
        <w:pStyle w:val="Heading2"/>
      </w:pPr>
      <w:r>
        <w:t xml:space="preserve">6. Fournisseurs &amp; Inventaire</w:t>
      </w:r>
    </w:p>
    <w:bookmarkStart w:id="29" w:name="X72379765ce2a3748d5a772a0f8a093c9bf9257e"/>
    <w:p>
      <w:pPr>
        <w:pStyle w:val="Heading3"/>
      </w:pPr>
      <w:r>
        <w:t xml:space="preserve">6.1 Liste des Fournisseurs Approuvés (ISO 13485 §7.4)</w:t>
      </w:r>
    </w:p>
    <w:p>
      <w:pPr>
        <w:numPr>
          <w:ilvl w:val="0"/>
          <w:numId w:val="1008"/>
        </w:numPr>
        <w:pStyle w:val="Compact"/>
      </w:pPr>
      <w:r>
        <w:t xml:space="preserve">Aucun achat en dehors de la LFA.</w:t>
      </w:r>
    </w:p>
    <w:p>
      <w:pPr>
        <w:numPr>
          <w:ilvl w:val="0"/>
          <w:numId w:val="1008"/>
        </w:numPr>
        <w:pStyle w:val="Compact"/>
      </w:pPr>
      <w:r>
        <w:t xml:space="preserve">Statut : Approuvé / Conditionnel / Suspendu / Disqualifié.</w:t>
      </w:r>
    </w:p>
    <w:p>
      <w:pPr>
        <w:numPr>
          <w:ilvl w:val="0"/>
          <w:numId w:val="1008"/>
        </w:numPr>
        <w:pStyle w:val="Compact"/>
      </w:pPr>
      <w:r>
        <w:t xml:space="preserve">Réévaluation annuelle ; la LFA signale en rouge les évaluations</w:t>
      </w:r>
      <w:r>
        <w:t xml:space="preserve"> </w:t>
      </w:r>
      <w:r>
        <w:t xml:space="preserve">de plus de 12 mois.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Certifications &amp; contrats</w:t>
      </w:r>
      <w:r>
        <w:t xml:space="preserve"> </w:t>
      </w:r>
      <w:r>
        <w:t xml:space="preserve">avec date d'expiration — badges</w:t>
      </w:r>
      <w:r>
        <w:t xml:space="preserve"> </w:t>
      </w:r>
      <w:r>
        <w:t xml:space="preserve">automatiques :</w:t>
      </w:r>
    </w:p>
    <w:p>
      <w:pPr>
        <w:numPr>
          <w:ilvl w:val="1"/>
          <w:numId w:val="1009"/>
        </w:numPr>
        <w:pStyle w:val="Compact"/>
      </w:pPr>
      <w:r>
        <w:t xml:space="preserve">🟢 VALID (&gt; 30 jours)</w:t>
      </w:r>
    </w:p>
    <w:p>
      <w:pPr>
        <w:numPr>
          <w:ilvl w:val="1"/>
          <w:numId w:val="1009"/>
        </w:numPr>
        <w:pStyle w:val="Compact"/>
      </w:pPr>
      <w:r>
        <w:t xml:space="preserve">🟡 SOON (≤ 30 jours)</w:t>
      </w:r>
    </w:p>
    <w:p>
      <w:pPr>
        <w:numPr>
          <w:ilvl w:val="1"/>
          <w:numId w:val="1009"/>
        </w:numPr>
        <w:pStyle w:val="Compact"/>
      </w:pPr>
      <w:r>
        <w:t xml:space="preserve">🔴 EXPIRED (date passée)</w:t>
      </w:r>
    </w:p>
    <w:p>
      <w:pPr>
        <w:numPr>
          <w:ilvl w:val="0"/>
          <w:numId w:val="1008"/>
        </w:numPr>
        <w:pStyle w:val="Compact"/>
      </w:pPr>
      <w:r>
        <w:t xml:space="preserve">Pièces jointes PDF / image stockées dans un bucket</w:t>
      </w:r>
      <w:r>
        <w:t xml:space="preserve"> </w:t>
      </w:r>
      <w:r>
        <w:rPr>
          <w:bCs/>
          <w:b/>
        </w:rPr>
        <w:t xml:space="preserve">privé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supplier-docs</w:t>
      </w:r>
      <w:r>
        <w:t xml:space="preserve">) ; l'application les ouvre via une</w:t>
      </w:r>
      <w:r>
        <w:t xml:space="preserve"> </w:t>
      </w:r>
      <w:r>
        <w:rPr>
          <w:bCs/>
          <w:b/>
        </w:rPr>
        <w:t xml:space="preserve">URL signée à</w:t>
      </w:r>
      <w:r>
        <w:rPr>
          <w:bCs/>
          <w:b/>
        </w:rPr>
        <w:t xml:space="preserve"> </w:t>
      </w:r>
      <w:r>
        <w:rPr>
          <w:bCs/>
          <w:b/>
        </w:rPr>
        <w:t xml:space="preserve">courte durée de vie</w:t>
      </w:r>
      <w:r>
        <w:t xml:space="preserve"> </w:t>
      </w:r>
      <w:r>
        <w:t xml:space="preserve">(5 min). Seul l'auteur du téléversement ou</w:t>
      </w:r>
      <w:r>
        <w:t xml:space="preserve"> </w:t>
      </w:r>
      <w:r>
        <w:t xml:space="preserve">un manager peut supprimer un fichier.</w:t>
      </w:r>
    </w:p>
    <w:bookmarkEnd w:id="29"/>
    <w:bookmarkStart w:id="30" w:name="X84787923218a6d35e0b078fbf2383fc63e0397f"/>
    <w:p>
      <w:pPr>
        <w:pStyle w:val="Heading3"/>
      </w:pPr>
      <w:r>
        <w:t xml:space="preserve">6.2 Inventaire</w:t>
      </w:r>
    </w:p>
    <w:p>
      <w:pPr>
        <w:numPr>
          <w:ilvl w:val="0"/>
          <w:numId w:val="1010"/>
        </w:numPr>
        <w:pStyle w:val="Compact"/>
      </w:pPr>
      <w:r>
        <w:t xml:space="preserve">Catalogue d'articles + Lots (consommation FEFO).</w:t>
      </w:r>
    </w:p>
    <w:p>
      <w:pPr>
        <w:numPr>
          <w:ilvl w:val="0"/>
          <w:numId w:val="1010"/>
        </w:numPr>
        <w:pStyle w:val="Compact"/>
      </w:pPr>
      <w:r>
        <w:t xml:space="preserve">Chaque article porte une chaîne</w:t>
      </w:r>
      <w:r>
        <w:t xml:space="preserve"> </w:t>
      </w:r>
      <w:r>
        <w:rPr>
          <w:bCs/>
          <w:b/>
        </w:rPr>
        <w:t xml:space="preserve">Storage conditions</w:t>
      </w:r>
      <w:r>
        <w:t xml:space="preserve"> </w:t>
      </w:r>
      <w:r>
        <w:t xml:space="preserve">(désormais</w:t>
      </w:r>
      <w:r>
        <w:t xml:space="preserve"> </w:t>
      </w:r>
      <w:r>
        <w:t xml:space="preserve">remontée au niveau colonne du catalogue — texte long tronqué,</w:t>
      </w:r>
      <w:r>
        <w:t xml:space="preserve"> </w:t>
      </w:r>
      <w:r>
        <w:t xml:space="preserve">survoler pour voir l'intégralité).</w:t>
      </w:r>
    </w:p>
    <w:p>
      <w:pPr>
        <w:numPr>
          <w:ilvl w:val="0"/>
          <w:numId w:val="1010"/>
        </w:numPr>
        <w:pStyle w:val="Compact"/>
      </w:pPr>
      <w:r>
        <w:t xml:space="preserve">Les alertes de stock alimentent automatiquement le Tableau de Bord</w:t>
      </w:r>
      <w:r>
        <w:t xml:space="preserve"> </w:t>
      </w:r>
      <w:r>
        <w:t xml:space="preserve">et peuvent générer des réquisitions automatiques.</w:t>
      </w:r>
    </w:p>
    <w:bookmarkEnd w:id="30"/>
    <w:bookmarkStart w:id="31" w:name="X2307371d2db82562c95cd343e381c35ef4a5699"/>
    <w:p>
      <w:pPr>
        <w:pStyle w:val="Heading3"/>
      </w:pPr>
      <w:r>
        <w:t xml:space="preserve">6.3 Réquisitions</w:t>
      </w:r>
    </w:p>
    <w:p>
      <w:pPr>
        <w:numPr>
          <w:ilvl w:val="0"/>
          <w:numId w:val="1011"/>
        </w:numPr>
        <w:pStyle w:val="Compact"/>
      </w:pPr>
      <w:r>
        <w:t xml:space="preserve">Flux : pending → approved (manager) → sent → received.</w:t>
      </w:r>
    </w:p>
    <w:p>
      <w:pPr>
        <w:numPr>
          <w:ilvl w:val="0"/>
          <w:numId w:val="1011"/>
        </w:numPr>
        <w:pStyle w:val="Compact"/>
      </w:pPr>
      <w:r>
        <w:t xml:space="preserve">À réception, un nouveau lot d'inventaire est automatiquement créé</w:t>
      </w:r>
      <w:r>
        <w:t xml:space="preserve"> </w:t>
      </w:r>
      <w:r>
        <w:t xml:space="preserve">avec le numéro de lot fournisseur, qui pointe en retour vers la</w:t>
      </w:r>
      <w:r>
        <w:t xml:space="preserve"> </w:t>
      </w:r>
      <w:r>
        <w:t xml:space="preserve">réquisition pour la traçabilité.</w:t>
      </w:r>
    </w:p>
    <w:bookmarkEnd w:id="31"/>
    <w:bookmarkEnd w:id="32"/>
    <w:bookmarkStart w:id="33" w:name="X23cc32cb6fa4904635067a4efff941fbfb234b6"/>
    <w:p>
      <w:pPr>
        <w:pStyle w:val="Heading2"/>
      </w:pPr>
      <w:r>
        <w:t xml:space="preserve">7. Notifications &amp; relances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Réclamations Clients</w:t>
      </w:r>
      <w:r>
        <w:t xml:space="preserve"> </w:t>
      </w:r>
      <w:r>
        <w:t xml:space="preserve">: l'assigné reçoit un toast 🔔 + une</w:t>
      </w:r>
      <w:r>
        <w:t xml:space="preserve"> </w:t>
      </w:r>
      <w:r>
        <w:t xml:space="preserve">bannière persistante sur chaque page jusqu'à ce qu'il ouvre le</w:t>
      </w:r>
      <w:r>
        <w:t xml:space="preserve"> </w:t>
      </w:r>
      <w:r>
        <w:t xml:space="preserve">dossier (📧→📬).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Notifications push</w:t>
      </w:r>
      <w:r>
        <w:t xml:space="preserve"> </w:t>
      </w:r>
      <w:r>
        <w:t xml:space="preserve">(Web Push + VAPID) : affectation, mention</w:t>
      </w:r>
      <w:r>
        <w:t xml:space="preserve"> </w:t>
      </w:r>
      <w:r>
        <w:t xml:space="preserve">dans le chat, rappels de suivi. La livraison est tracée dans</w:t>
      </w:r>
      <w:r>
        <w:t xml:space="preserve"> </w:t>
      </w:r>
      <w:r>
        <w:rPr>
          <w:rStyle w:val="VerbatimChar"/>
        </w:rPr>
        <w:t xml:space="preserve">push_log</w:t>
      </w:r>
      <w:r>
        <w:t xml:space="preserve"> </w:t>
      </w:r>
      <w:r>
        <w:t xml:space="preserve">(Sent / Delivered / Opened).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Dates de suivi</w:t>
      </w:r>
      <w:r>
        <w:t xml:space="preserve"> </w:t>
      </w:r>
      <w:r>
        <w:t xml:space="preserve">affichées sur le Tableau de Bord avec un</w:t>
      </w:r>
      <w:r>
        <w:t xml:space="preserve"> </w:t>
      </w:r>
      <w:r>
        <w:t xml:space="preserve">décompte rouge/ambre.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Cron de rappels</w:t>
      </w:r>
      <w:r>
        <w:t xml:space="preserve"> </w:t>
      </w:r>
      <w:r>
        <w:t xml:space="preserve">s'exécute toutes les 15 minutes (pg_cron) pour</w:t>
      </w:r>
      <w:r>
        <w:t xml:space="preserve"> </w:t>
      </w:r>
      <w:r>
        <w:t xml:space="preserve">réveiller la fonction edge de push sur les suivis en retard.</w:t>
      </w:r>
    </w:p>
    <w:bookmarkEnd w:id="33"/>
    <w:bookmarkStart w:id="34" w:name="X5fb2f9819dce499e9c41e584d5ec83d0a14ea15"/>
    <w:p>
      <w:pPr>
        <w:pStyle w:val="Heading2"/>
      </w:pPr>
      <w:r>
        <w:t xml:space="preserve">8. Traçabilité par dossier (ce qui reste auditable)</w:t>
      </w:r>
    </w:p>
    <w:p>
      <w:pPr>
        <w:pStyle w:val="FirstParagraph"/>
      </w:pPr>
      <w:r>
        <w:t xml:space="preserve">Chaque enregistrement sur chaque page porte la même télémétrie —</w:t>
      </w:r>
      <w:r>
        <w:t xml:space="preserve"> </w:t>
      </w:r>
      <w:r>
        <w:t xml:space="preserve">visible sur la vue détaillée 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last_edited_by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last_edited_at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last_viewed_by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last_viewed_at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notification_seen_at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notification_seen_by</w:t>
      </w:r>
      <w:r>
        <w:t xml:space="preserve"> </w:t>
      </w:r>
      <w:r>
        <w:t xml:space="preserve">(le cas échéant)</w:t>
      </w:r>
    </w:p>
    <w:p>
      <w:pPr>
        <w:numPr>
          <w:ilvl w:val="0"/>
          <w:numId w:val="1013"/>
        </w:numPr>
        <w:pStyle w:val="Compact"/>
      </w:pPr>
      <w:r>
        <w:t xml:space="preserve">Les changements de statut sont journalisés dans la chronologie de</w:t>
      </w:r>
      <w:r>
        <w:t xml:space="preserve"> </w:t>
      </w:r>
      <w:r>
        <w:t xml:space="preserve">discussion du dossier</w:t>
      </w:r>
    </w:p>
    <w:p>
      <w:pPr>
        <w:pStyle w:val="FirstParagraph"/>
      </w:pPr>
      <w:r>
        <w:t xml:space="preserve">Les modifications d'une réclamation client sont restreintes en dur par</w:t>
      </w:r>
      <w:r>
        <w:t xml:space="preserve"> </w:t>
      </w:r>
      <w:r>
        <w:t xml:space="preserve">un trigger base de données (</w:t>
      </w:r>
      <w:r>
        <w:rPr>
          <w:rStyle w:val="VerbatimChar"/>
        </w:rPr>
        <w:t xml:space="preserve">cf_enforce_edit_owner</w:t>
      </w:r>
      <w:r>
        <w:t xml:space="preserve">) à : le créateur,</w:t>
      </w:r>
      <w:r>
        <w:t xml:space="preserve"> </w:t>
      </w:r>
      <w:r>
        <w:t xml:space="preserve">l'assigné/membre du rôle courant, ou un manager. Les autres</w:t>
      </w:r>
      <w:r>
        <w:t xml:space="preserve"> </w:t>
      </w:r>
      <w:r>
        <w:t xml:space="preserve">utilisateurs reçoivent une erreur de permission directement depuis</w:t>
      </w:r>
      <w:r>
        <w:t xml:space="preserve"> </w:t>
      </w:r>
      <w:r>
        <w:t xml:space="preserve">Postgres — l'UI ne peut pas le contourner.</w:t>
      </w:r>
    </w:p>
    <w:bookmarkEnd w:id="34"/>
    <w:bookmarkStart w:id="35" w:name="X4e41e197a2a1f55a8692ff6273eba6f7aee9853"/>
    <w:p>
      <w:pPr>
        <w:pStyle w:val="Heading2"/>
      </w:pPr>
      <w:r>
        <w:t xml:space="preserve">9. Stockage des données &amp; RLS</w:t>
      </w:r>
    </w:p>
    <w:p>
      <w:pPr>
        <w:numPr>
          <w:ilvl w:val="0"/>
          <w:numId w:val="1014"/>
        </w:numPr>
        <w:pStyle w:val="Compact"/>
      </w:pPr>
      <w:r>
        <w:t xml:space="preserve">Toutes les tables utilisent</w:t>
      </w:r>
      <w:r>
        <w:t xml:space="preserve"> </w:t>
      </w:r>
      <w:r>
        <w:rPr>
          <w:bCs/>
          <w:b/>
        </w:rPr>
        <w:t xml:space="preserve">Row-Level Security</w:t>
      </w:r>
      <w:r>
        <w:t xml:space="preserve"> </w:t>
      </w:r>
      <w:r>
        <w:t xml:space="preserve">; le motif du</w:t>
      </w:r>
      <w:r>
        <w:t xml:space="preserve"> </w:t>
      </w:r>
      <w:r>
        <w:t xml:space="preserve">projet est « authentifié = de confiance » plus des restrictions</w:t>
      </w:r>
      <w:r>
        <w:t xml:space="preserve"> </w:t>
      </w:r>
      <w:r>
        <w:t xml:space="preserve">ciblées owner/rôle sur les tables sensibles (customer_feedback,</w:t>
      </w:r>
      <w:r>
        <w:t xml:space="preserve"> </w:t>
      </w:r>
      <w:r>
        <w:t xml:space="preserve">capa, etc.).</w:t>
      </w:r>
    </w:p>
    <w:p>
      <w:pPr>
        <w:numPr>
          <w:ilvl w:val="0"/>
          <w:numId w:val="1014"/>
        </w:numPr>
        <w:pStyle w:val="Compact"/>
      </w:pPr>
      <w:r>
        <w:t xml:space="preserve">Buckets de stockage privés :</w:t>
      </w:r>
      <w:r>
        <w:t xml:space="preserve"> </w:t>
      </w:r>
      <w:r>
        <w:rPr>
          <w:rStyle w:val="VerbatimChar"/>
        </w:rPr>
        <w:t xml:space="preserve">chat-media</w:t>
      </w:r>
      <w:r>
        <w:t xml:space="preserve"> </w:t>
      </w:r>
      <w:r>
        <w:t xml:space="preserve">(pièces jointes de</w:t>
      </w:r>
      <w:r>
        <w:t xml:space="preserve"> </w:t>
      </w:r>
      <w:r>
        <w:t xml:space="preserve">discussion de dossier) et</w:t>
      </w:r>
      <w:r>
        <w:t xml:space="preserve"> </w:t>
      </w:r>
      <w:r>
        <w:rPr>
          <w:rStyle w:val="VerbatimChar"/>
        </w:rPr>
        <w:t xml:space="preserve">supplier-docs</w:t>
      </w:r>
      <w:r>
        <w:t xml:space="preserve"> </w:t>
      </w:r>
      <w:r>
        <w:t xml:space="preserve">(PDFs cert / contrats).</w:t>
      </w:r>
      <w:r>
        <w:t xml:space="preserve"> </w:t>
      </w:r>
      <w:r>
        <w:t xml:space="preserve">Les deux requièrent une authentification et servent des URLs</w:t>
      </w:r>
      <w:r>
        <w:t xml:space="preserve"> </w:t>
      </w:r>
      <w:r>
        <w:t xml:space="preserve">signées.</w:t>
      </w:r>
    </w:p>
    <w:p>
      <w:pPr>
        <w:numPr>
          <w:ilvl w:val="0"/>
          <w:numId w:val="1014"/>
        </w:numPr>
        <w:pStyle w:val="Compact"/>
      </w:pPr>
      <w:r>
        <w:t xml:space="preserve">Les fonctions SQL d'assistance vivent sous</w:t>
      </w:r>
      <w:r>
        <w:t xml:space="preserve"> </w:t>
      </w:r>
      <w:r>
        <w:rPr>
          <w:rStyle w:val="VerbatimChar"/>
        </w:rPr>
        <w:t xml:space="preserve">public.cw_*</w:t>
      </w:r>
      <w:r>
        <w:t xml:space="preserve"> </w:t>
      </w:r>
      <w:r>
        <w:t xml:space="preserve">— elles</w:t>
      </w:r>
      <w:r>
        <w:t xml:space="preserve"> </w:t>
      </w:r>
      <w:r>
        <w:t xml:space="preserve">sont en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et utilisent un search_path verrouillé</w:t>
      </w:r>
      <w:r>
        <w:t xml:space="preserve"> </w:t>
      </w:r>
      <w:r>
        <w:t xml:space="preserve">pour prévenir les injections.</w:t>
      </w:r>
    </w:p>
    <w:bookmarkEnd w:id="35"/>
    <w:bookmarkStart w:id="36" w:name="X58898376595d4ca34fdd4dd4432d059cb8ae0e5"/>
    <w:p>
      <w:pPr>
        <w:pStyle w:val="Heading2"/>
      </w:pPr>
      <w:r>
        <w:t xml:space="preserve">10. Où regarder quand quelque chose ne va pas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Premier endroit à vérifier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manquante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→ statut Push · table push_log pour l'état de livraison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Mauvais assigné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→ Routage Catégorie / Rôle · champ</w:t>
            </w:r>
            <w:r>
              <w:t xml:space="preserve"> </w:t>
            </w:r>
            <w:r>
              <w:rPr>
                <w:rStyle w:val="VerbatimChar"/>
              </w:rPr>
              <w:t xml:space="preserve">assigned_to</w:t>
            </w:r>
            <w:r>
              <w:t xml:space="preserve"> </w:t>
            </w:r>
            <w:r>
              <w:t xml:space="preserve">du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Onglet réseau des Dev Tools · Logs Supabase (</w:t>
            </w:r>
            <w:r>
              <w:rPr>
                <w:rStyle w:val="VerbatimChar"/>
              </w:rPr>
              <w:t xml:space="preserve">mcp__supabase__get_logs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Impossible de modifier un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Assigné + créateur + votre rôle — seuls ces trois peuvent modifier une réclamation ; les managers peuvent toujours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Boucle de connexion sur iOS 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complet : supprimer l'app + Réglages → Safari → Effacer historique · localStorage miroite la session pour la réouverture à froid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Pièce jointe storage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que l'URL signée n'a pas expiré (5 min) ; régénérer en ré-ouvrant le document</w:t>
            </w:r>
          </w:p>
        </w:tc>
      </w:tr>
    </w:tbl>
    <w:bookmarkEnd w:id="36"/>
    <w:bookmarkStart w:id="37" w:name="Xf672642b6d183a73218755a24ca4baddfbbe4ae"/>
    <w:p>
      <w:pPr>
        <w:pStyle w:val="Heading2"/>
      </w:pPr>
      <w:r>
        <w:t xml:space="preserve">11. Aide intégrée à l'application</w:t>
      </w:r>
    </w:p>
    <w:p>
      <w:pPr>
        <w:pStyle w:val="FirstParagraph"/>
      </w:pPr>
      <w:r>
        <w:t xml:space="preserve">Chaque page a un bouton flottant 🛟 dans la barre supérieure :</w:t>
      </w:r>
    </w:p>
    <w:p>
      <w:pPr>
        <w:numPr>
          <w:ilvl w:val="0"/>
          <w:numId w:val="1015"/>
        </w:numPr>
        <w:pStyle w:val="Compact"/>
      </w:pPr>
      <w:r>
        <w:t xml:space="preserve">Cliquer dessus.</w:t>
      </w:r>
    </w:p>
    <w:p>
      <w:pPr>
        <w:numPr>
          <w:ilvl w:val="0"/>
          <w:numId w:val="1015"/>
        </w:numPr>
        <w:pStyle w:val="Compact"/>
      </w:pPr>
      <w:r>
        <w:t xml:space="preserve">Le panneau s'ouvre avec</w:t>
      </w:r>
      <w:r>
        <w:t xml:space="preserve"> </w:t>
      </w:r>
      <w:r>
        <w:rPr>
          <w:bCs/>
          <w:b/>
        </w:rPr>
        <w:t xml:space="preserve">Rôle · Objectif · Processus · Boutons</w:t>
      </w:r>
      <w:r>
        <w:t xml:space="preserve"> </w:t>
      </w:r>
      <w:r>
        <w:t xml:space="preserve">pour cette page.</w:t>
      </w:r>
    </w:p>
    <w:p>
      <w:pPr>
        <w:numPr>
          <w:ilvl w:val="0"/>
          <w:numId w:val="1015"/>
        </w:numPr>
        <w:pStyle w:val="Compact"/>
      </w:pPr>
      <w:r>
        <w:t xml:space="preserve">Le bouton en haut à droite bascule</w:t>
      </w:r>
      <w:r>
        <w:t xml:space="preserve"> </w:t>
      </w:r>
      <w:r>
        <w:rPr>
          <w:bCs/>
          <w:b/>
        </w:rPr>
        <w:t xml:space="preserve">FR ⇄ EN</w:t>
      </w:r>
      <w:r>
        <w:t xml:space="preserve"> </w:t>
      </w:r>
      <w:r>
        <w:t xml:space="preserve">— les deux langues</w:t>
      </w:r>
      <w:r>
        <w:t xml:space="preserve"> </w:t>
      </w:r>
      <w:r>
        <w:t xml:space="preserve">sont maintenues synchronisées dans</w:t>
      </w:r>
      <w:r>
        <w:t xml:space="preserve"> </w:t>
      </w:r>
      <w:r>
        <w:rPr>
          <w:rStyle w:val="VerbatimChar"/>
        </w:rPr>
        <w:t xml:space="preserve">lang.js</w:t>
      </w:r>
      <w:r>
        <w:t xml:space="preserve">.</w:t>
      </w:r>
    </w:p>
    <w:p>
      <w:pPr>
        <w:pStyle w:val="FirstParagraph"/>
      </w:pPr>
      <w:r>
        <w:t xml:space="preserve">Après l'audit du 20-05-2026, le contenu d'aide a été mis à jour pour</w:t>
      </w:r>
      <w:r>
        <w:t xml:space="preserve"> </w:t>
      </w:r>
      <w:r>
        <w:t xml:space="preserve">couvrir :</w:t>
      </w:r>
    </w:p>
    <w:p>
      <w:pPr>
        <w:numPr>
          <w:ilvl w:val="0"/>
          <w:numId w:val="1016"/>
        </w:numPr>
        <w:pStyle w:val="Compact"/>
      </w:pPr>
      <w:r>
        <w:t xml:space="preserve">La nouvelle section Investigation &amp; Compliance dans les Réclamations</w:t>
      </w:r>
      <w:r>
        <w:t xml:space="preserve"> </w:t>
      </w:r>
      <w:r>
        <w:t xml:space="preserve">Clients</w:t>
      </w:r>
    </w:p>
    <w:p>
      <w:pPr>
        <w:numPr>
          <w:ilvl w:val="0"/>
          <w:numId w:val="1016"/>
        </w:numPr>
        <w:pStyle w:val="Compact"/>
      </w:pPr>
      <w:r>
        <w:t xml:space="preserve">Les nouveaux champs NC link / Procedure / Measures dans le Contrôle</w:t>
      </w:r>
      <w:r>
        <w:t xml:space="preserve"> </w:t>
      </w:r>
      <w:r>
        <w:t xml:space="preserve">Qualité</w:t>
      </w:r>
    </w:p>
    <w:p>
      <w:pPr>
        <w:numPr>
          <w:ilvl w:val="0"/>
          <w:numId w:val="1016"/>
        </w:numPr>
        <w:pStyle w:val="Compact"/>
      </w:pPr>
      <w:r>
        <w:t xml:space="preserve">La tuile Linked CAPAs dans les Non-Conformités</w:t>
      </w:r>
    </w:p>
    <w:p>
      <w:pPr>
        <w:numPr>
          <w:ilvl w:val="0"/>
          <w:numId w:val="1016"/>
        </w:numPr>
        <w:pStyle w:val="Compact"/>
      </w:pPr>
      <w:r>
        <w:t xml:space="preserve">La section Certifications &amp; contrats + pièces jointes PDF chez les</w:t>
      </w:r>
      <w:r>
        <w:t xml:space="preserve"> </w:t>
      </w:r>
      <w:r>
        <w:t xml:space="preserve">Fournisseurs</w:t>
      </w:r>
    </w:p>
    <w:p>
      <w:pPr>
        <w:numPr>
          <w:ilvl w:val="0"/>
          <w:numId w:val="1016"/>
        </w:numPr>
        <w:pStyle w:val="Compact"/>
      </w:pPr>
      <w:r>
        <w:t xml:space="preserve">La colonne Storage dans l'Inventaire</w:t>
      </w:r>
    </w:p>
    <w:p>
      <w:pPr>
        <w:numPr>
          <w:ilvl w:val="0"/>
          <w:numId w:val="1016"/>
        </w:numPr>
        <w:pStyle w:val="Compact"/>
      </w:pPr>
      <w:r>
        <w:t xml:space="preserve">La toute nouvelle page registre CAPA</w:t>
      </w:r>
    </w:p>
    <w:bookmarkEnd w:id="37"/>
    <w:bookmarkStart w:id="38" w:name="X625d90509c9c81ba24b81aed88daf88dac54595"/>
    <w:p>
      <w:pPr>
        <w:pStyle w:val="Heading2"/>
      </w:pPr>
      <w:r>
        <w:t xml:space="preserve">12. Historique des changements (pertinent pour ce protocole)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a changé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/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20-05-2026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Extensions modules audit : champs customer_feedback, champs QC, supplier_documents, table capa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20260520140000_audit_module_extensions.sql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20-05-2026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 privé</w:t>
            </w:r>
            <w:r>
              <w:t xml:space="preserve"> </w:t>
            </w:r>
            <w:r>
              <w:rPr>
                <w:rStyle w:val="VerbatimChar"/>
              </w:rPr>
              <w:t xml:space="preserve">supplier-docs</w:t>
            </w:r>
            <w:r>
              <w:t xml:space="preserve"> </w:t>
            </w:r>
            <w:r>
              <w:t xml:space="preserve">+ politiques de stockage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20260520150000_supplier_docs_storage.sql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20-05-2026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Déploiement UI (5 pages mises à jour, capa.html ajoutée, 11 sidebars reçoivent le lien CAPA)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</w:t>
            </w:r>
            <w:r>
              <w:t xml:space="preserve"> </w:t>
            </w:r>
            <w:r>
              <w:rPr>
                <w:rStyle w:val="VerbatimChar"/>
              </w:rPr>
              <w:t xml:space="preserve">claude/add-case-category-layout-AMA0d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20-05-2026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d'aide rafraîchi dans lang.js (FR + 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commit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Pour les descriptions au niveau du champ, ouvrir la page dans</w:t>
      </w:r>
      <w:r>
        <w:rPr>
          <w:iCs/>
          <w:i/>
        </w:rPr>
        <w:t xml:space="preserve"> </w:t>
      </w:r>
      <w:r>
        <w:rPr>
          <w:iCs/>
          <w:i/>
        </w:rPr>
        <w:t xml:space="preserve">l'application et cliquer sur le bouton 🛟 Help — l'aide intégrée est</w:t>
      </w:r>
      <w:r>
        <w:rPr>
          <w:iCs/>
          <w:i/>
        </w:rPr>
        <w:t xml:space="preserve"> </w:t>
      </w:r>
      <w:r>
        <w:rPr>
          <w:iCs/>
          <w:i/>
        </w:rPr>
        <w:t xml:space="preserve">toujours la source unique de vérité, dans les deux langues.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2026-05-20T18:12:02Z</dcterms:created>
  <dcterms:modified xsi:type="dcterms:W3CDTF">2026-05-20T18:12:02Z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