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407FD">
      <w:pPr>
        <w:spacing w:before="380" w:after="140"/>
      </w:pPr>
      <w:r>
        <w:rPr>
          <w:rFonts w:ascii="Georgia" w:hAnsi="Georgia" w:eastAsia="Georgia" w:cs="Georgia"/>
          <w:b/>
          <w:bCs/>
          <w:color w:val="4A3F6B"/>
          <w:sz w:val="38"/>
          <w:szCs w:val="38"/>
        </w:rPr>
        <w:t>1. Executive Summary</w:t>
      </w:r>
    </w:p>
    <w:p w14:paraId="171C189E">
      <w:pPr>
        <w:spacing w:before="60" w:after="100"/>
      </w:pPr>
      <w:r>
        <w:rPr>
          <w:rFonts w:ascii="Arial" w:hAnsi="Arial" w:eastAsia="Arial" w:cs="Arial"/>
          <w:color w:val="4A4A4A"/>
          <w:sz w:val="22"/>
          <w:szCs w:val="22"/>
        </w:rPr>
        <w:t xml:space="preserve">Bloom is a student-led social impact initiative started by a group of students from </w:t>
      </w:r>
      <w:r>
        <w:rPr>
          <w:rFonts w:hint="default" w:cs="Arial"/>
          <w:color w:val="4A4A4A"/>
          <w:sz w:val="22"/>
          <w:szCs w:val="22"/>
          <w:lang w:val="en-US"/>
        </w:rPr>
        <w:t xml:space="preserve">Maxfort School </w:t>
      </w:r>
      <w:r>
        <w:rPr>
          <w:rFonts w:ascii="Arial" w:hAnsi="Arial" w:eastAsia="Arial" w:cs="Arial"/>
          <w:color w:val="4A4A4A"/>
          <w:sz w:val="22"/>
          <w:szCs w:val="22"/>
        </w:rPr>
        <w:t xml:space="preserve"> who believe that every child — regardless of their background — deserves a real chance to learn, grow, and thrive. What began as a conversation among classmates about the inequality we see around us has grown into a structured, purposeful initiative with a clear mission: to reach underprivileged children in our community and give them something that too many of them are denied — access to education, mentorship, and a platform to express themselves.</w:t>
      </w:r>
    </w:p>
    <w:p w14:paraId="65BD5D6D">
      <w:pPr>
        <w:spacing w:before="60" w:after="100"/>
      </w:pPr>
      <w:r>
        <w:rPr>
          <w:rFonts w:ascii="Arial" w:hAnsi="Arial" w:eastAsia="Arial" w:cs="Arial"/>
          <w:color w:val="4A4A4A"/>
          <w:sz w:val="22"/>
          <w:szCs w:val="22"/>
        </w:rPr>
        <w:t>We are not waiting to graduate or to be "old enough" to make a difference. We are acting now — with the skills, the energy, and the commitment we already have. Bloom is built entirely by students, run by students, and driven by the genuine desire to serve.</w:t>
      </w:r>
    </w:p>
    <w:p w14:paraId="516BB627">
      <w:pPr>
        <w:spacing w:before="60" w:after="100"/>
      </w:pPr>
      <w:r>
        <w:rPr>
          <w:rFonts w:ascii="Arial" w:hAnsi="Arial" w:eastAsia="Arial" w:cs="Arial"/>
          <w:color w:val="4A4A4A"/>
          <w:sz w:val="22"/>
          <w:szCs w:val="22"/>
        </w:rPr>
        <w:t>This proposal outlines what Bloom stands for, what we plan to do, how we intend to do it, and the kind of impact we aim to create. It is our way of formally presenting this initiative to our school and teachers — to share our vision, earn your support, and take the first official step toward making Bloom real.</w:t>
      </w:r>
    </w:p>
    <w:p w14:paraId="164F26DB">
      <w:pPr>
        <w:spacing w:before="60" w:after="100"/>
        <w:rPr>
          <w:rFonts w:ascii="Arial" w:hAnsi="Arial" w:eastAsia="Arial" w:cs="Arial"/>
          <w:color w:val="4A4A4A"/>
          <w:sz w:val="22"/>
          <w:szCs w:val="22"/>
        </w:rPr>
      </w:pPr>
      <w:r>
        <w:rPr>
          <w:rFonts w:ascii="Arial" w:hAnsi="Arial" w:eastAsia="Arial" w:cs="Arial"/>
          <w:color w:val="4A4A4A"/>
          <w:sz w:val="22"/>
          <w:szCs w:val="22"/>
        </w:rPr>
        <w:t>We believe that students who are given the opportunity to lead with purpose don't just change the world around them — they change themselves. Bloom is as much about developing us as it is about serving others. It is leadership through service, and we are ready.</w:t>
      </w:r>
    </w:p>
    <w:p w14:paraId="6D258E81">
      <w:pPr>
        <w:spacing w:before="60" w:after="100"/>
      </w:pPr>
      <w:r>
        <w:rPr>
          <w:rFonts w:ascii="Georgia" w:hAnsi="Georgia" w:eastAsia="Georgia" w:cs="Georgia"/>
          <w:b/>
          <w:bCs/>
          <w:color w:val="4A3F6B"/>
          <w:sz w:val="38"/>
          <w:szCs w:val="38"/>
        </w:rPr>
        <w:t>2. About Bloom</w:t>
      </w:r>
    </w:p>
    <w:p w14:paraId="601E8BA7">
      <w:pPr>
        <w:spacing w:before="260" w:after="100"/>
      </w:pPr>
      <w:r>
        <w:rPr>
          <w:rFonts w:ascii="Georgia" w:hAnsi="Georgia" w:eastAsia="Georgia" w:cs="Georgia"/>
          <w:b/>
          <w:bCs/>
          <w:color w:val="7B6FA0"/>
          <w:sz w:val="26"/>
          <w:szCs w:val="26"/>
        </w:rPr>
        <w:t>2.1 The Name &amp; What It Means</w:t>
      </w:r>
    </w:p>
    <w:p w14:paraId="2D574938">
      <w:pPr>
        <w:spacing w:before="60" w:after="100"/>
      </w:pPr>
      <w:r>
        <w:rPr>
          <w:rFonts w:ascii="Arial" w:hAnsi="Arial" w:eastAsia="Arial" w:cs="Arial"/>
          <w:color w:val="4A4A4A"/>
          <w:sz w:val="22"/>
          <w:szCs w:val="22"/>
        </w:rPr>
        <w:t>We chose the name "Bloom" very deliberately. A flower doesn't bloom because conditions are perfect — it blooms because, despite everything, it is given just enough light and care to reach its potential. That is exactly what we want to do for the children we work with. We want to be that light. That care. That opportunity.</w:t>
      </w:r>
      <w:r>
        <w:rPr>
          <w:rFonts w:hint="default" w:cs="Arial"/>
          <w:color w:val="4A4A4A"/>
          <w:sz w:val="22"/>
          <w:szCs w:val="22"/>
          <w:lang w:val="en-US"/>
        </w:rPr>
        <w:t xml:space="preserve"> </w:t>
      </w:r>
      <w:r>
        <w:rPr>
          <w:rFonts w:ascii="Arial" w:hAnsi="Arial" w:eastAsia="Arial" w:cs="Arial"/>
          <w:color w:val="4A4A4A"/>
          <w:sz w:val="22"/>
          <w:szCs w:val="22"/>
        </w:rPr>
        <w:t>The name also reflects something we feel deeply as students: that we ourselves are still growing, still becoming. Bloom is not just about what we give — it is about who we become through the act of giving.</w:t>
      </w:r>
    </w:p>
    <w:p w14:paraId="4BA003B1">
      <w:pPr>
        <w:spacing w:before="60" w:after="100"/>
      </w:pPr>
      <w:r>
        <w:rPr>
          <w:rFonts w:ascii="Arial" w:hAnsi="Arial" w:eastAsia="Arial" w:cs="Arial"/>
          <w:color w:val="4A4A4A"/>
          <w:sz w:val="22"/>
          <w:szCs w:val="22"/>
        </w:rPr>
        <w:t>Each letter in BLOOM carries a promise that defines what this initiative is all about: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6600"/>
      </w:tblGrid>
      <w:tr w14:paraId="5355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4C2C2"/>
            <w:tcMar>
              <w:top w:w="100" w:type="dxa"/>
              <w:left w:w="100" w:type="dxa"/>
              <w:bottom w:w="100" w:type="dxa"/>
              <w:right w:w="100" w:type="dxa"/>
            </w:tcMar>
            <w:vAlign w:val="center"/>
          </w:tcPr>
          <w:p w14:paraId="5E58B315">
            <w:pPr>
              <w:jc w:val="center"/>
            </w:pPr>
            <w:r>
              <w:rPr>
                <w:rFonts w:ascii="Georgia" w:hAnsi="Georgia" w:eastAsia="Georgia" w:cs="Georgia"/>
                <w:b/>
                <w:bCs/>
                <w:color w:val="4A3F6B"/>
                <w:sz w:val="36"/>
                <w:szCs w:val="36"/>
              </w:rPr>
              <w:t>B</w:t>
            </w:r>
          </w:p>
        </w:tc>
        <w:tc>
          <w:tcPr>
            <w:tcW w:w="1800" w:type="dxa"/>
            <w:tcBorders>
              <w:top w:val="nil"/>
              <w:left w:val="nil"/>
              <w:bottom w:val="nil"/>
              <w:right w:val="nil"/>
            </w:tcBorders>
            <w:shd w:val="clear" w:color="auto" w:fill="F0EBF8"/>
            <w:tcMar>
              <w:top w:w="100" w:type="dxa"/>
              <w:left w:w="140" w:type="dxa"/>
              <w:bottom w:w="100" w:type="dxa"/>
              <w:right w:w="140" w:type="dxa"/>
            </w:tcMar>
          </w:tcPr>
          <w:p w14:paraId="6DB7F570">
            <w:r>
              <w:rPr>
                <w:rFonts w:ascii="Arial" w:hAnsi="Arial" w:eastAsia="Arial" w:cs="Arial"/>
                <w:b/>
                <w:bCs/>
                <w:color w:val="4A3F6B"/>
                <w:sz w:val="22"/>
                <w:szCs w:val="22"/>
              </w:rPr>
              <w:t>Believe</w:t>
            </w:r>
          </w:p>
        </w:tc>
        <w:tc>
          <w:tcPr>
            <w:tcW w:w="6600" w:type="dxa"/>
            <w:tcBorders>
              <w:top w:val="nil"/>
              <w:left w:val="nil"/>
              <w:bottom w:val="nil"/>
              <w:right w:val="nil"/>
            </w:tcBorders>
            <w:tcMar>
              <w:top w:w="100" w:type="dxa"/>
              <w:left w:w="140" w:type="dxa"/>
              <w:bottom w:w="100" w:type="dxa"/>
              <w:right w:w="140" w:type="dxa"/>
            </w:tcMar>
          </w:tcPr>
          <w:p w14:paraId="2C327F4D">
            <w:r>
              <w:rPr>
                <w:rFonts w:ascii="Arial" w:hAnsi="Arial" w:eastAsia="Arial" w:cs="Arial"/>
                <w:color w:val="4A4A4A"/>
                <w:sz w:val="21"/>
                <w:szCs w:val="21"/>
              </w:rPr>
              <w:t>Believe in every child's potential — unconditionally and without exception.</w:t>
            </w:r>
          </w:p>
        </w:tc>
      </w:tr>
      <w:tr w14:paraId="255D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E8D5F5"/>
            <w:tcMar>
              <w:top w:w="100" w:type="dxa"/>
              <w:left w:w="100" w:type="dxa"/>
              <w:bottom w:w="100" w:type="dxa"/>
              <w:right w:w="100" w:type="dxa"/>
            </w:tcMar>
            <w:vAlign w:val="center"/>
          </w:tcPr>
          <w:p w14:paraId="5CB0B49F">
            <w:pPr>
              <w:jc w:val="center"/>
            </w:pPr>
            <w:r>
              <w:rPr>
                <w:rFonts w:ascii="Georgia" w:hAnsi="Georgia" w:eastAsia="Georgia" w:cs="Georgia"/>
                <w:b/>
                <w:bCs/>
                <w:color w:val="4A3F6B"/>
                <w:sz w:val="36"/>
                <w:szCs w:val="36"/>
              </w:rPr>
              <w:t>L</w:t>
            </w:r>
          </w:p>
        </w:tc>
        <w:tc>
          <w:tcPr>
            <w:tcW w:w="1800" w:type="dxa"/>
            <w:tcBorders>
              <w:top w:val="nil"/>
              <w:left w:val="nil"/>
              <w:bottom w:val="nil"/>
              <w:right w:val="nil"/>
            </w:tcBorders>
            <w:shd w:val="clear" w:color="auto" w:fill="F0EBF8"/>
            <w:tcMar>
              <w:top w:w="100" w:type="dxa"/>
              <w:left w:w="140" w:type="dxa"/>
              <w:bottom w:w="100" w:type="dxa"/>
              <w:right w:w="140" w:type="dxa"/>
            </w:tcMar>
          </w:tcPr>
          <w:p w14:paraId="23EEA504">
            <w:r>
              <w:rPr>
                <w:rFonts w:ascii="Arial" w:hAnsi="Arial" w:eastAsia="Arial" w:cs="Arial"/>
                <w:b/>
                <w:bCs/>
                <w:color w:val="4A3F6B"/>
                <w:sz w:val="22"/>
                <w:szCs w:val="22"/>
              </w:rPr>
              <w:t>Lead</w:t>
            </w:r>
          </w:p>
        </w:tc>
        <w:tc>
          <w:tcPr>
            <w:tcW w:w="6600" w:type="dxa"/>
            <w:tcBorders>
              <w:top w:val="nil"/>
              <w:left w:val="nil"/>
              <w:bottom w:val="nil"/>
              <w:right w:val="nil"/>
            </w:tcBorders>
            <w:tcMar>
              <w:top w:w="100" w:type="dxa"/>
              <w:left w:w="140" w:type="dxa"/>
              <w:bottom w:w="100" w:type="dxa"/>
              <w:right w:w="140" w:type="dxa"/>
            </w:tcMar>
          </w:tcPr>
          <w:p w14:paraId="2E9032A4">
            <w:r>
              <w:rPr>
                <w:rFonts w:ascii="Arial" w:hAnsi="Arial" w:eastAsia="Arial" w:cs="Arial"/>
                <w:color w:val="4A4A4A"/>
                <w:sz w:val="21"/>
                <w:szCs w:val="21"/>
              </w:rPr>
              <w:t>Lead with purpose, empathy, and the courage to serve before being served.</w:t>
            </w:r>
          </w:p>
        </w:tc>
      </w:tr>
      <w:tr w14:paraId="2CEB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C3DFB1"/>
            <w:tcMar>
              <w:top w:w="100" w:type="dxa"/>
              <w:left w:w="100" w:type="dxa"/>
              <w:bottom w:w="100" w:type="dxa"/>
              <w:right w:w="100" w:type="dxa"/>
            </w:tcMar>
            <w:vAlign w:val="center"/>
          </w:tcPr>
          <w:p w14:paraId="253D0274">
            <w:pPr>
              <w:jc w:val="center"/>
            </w:pPr>
            <w:r>
              <w:rPr>
                <w:rFonts w:ascii="Georgia" w:hAnsi="Georgia" w:eastAsia="Georgia" w:cs="Georgia"/>
                <w:b/>
                <w:bCs/>
                <w:color w:val="4A3F6B"/>
                <w:sz w:val="36"/>
                <w:szCs w:val="36"/>
              </w:rPr>
              <w:t>O</w:t>
            </w:r>
          </w:p>
        </w:tc>
        <w:tc>
          <w:tcPr>
            <w:tcW w:w="1800" w:type="dxa"/>
            <w:tcBorders>
              <w:top w:val="nil"/>
              <w:left w:val="nil"/>
              <w:bottom w:val="nil"/>
              <w:right w:val="nil"/>
            </w:tcBorders>
            <w:shd w:val="clear" w:color="auto" w:fill="F0EBF8"/>
            <w:tcMar>
              <w:top w:w="100" w:type="dxa"/>
              <w:left w:w="140" w:type="dxa"/>
              <w:bottom w:w="100" w:type="dxa"/>
              <w:right w:w="140" w:type="dxa"/>
            </w:tcMar>
          </w:tcPr>
          <w:p w14:paraId="6B6D1A59">
            <w:r>
              <w:rPr>
                <w:rFonts w:ascii="Arial" w:hAnsi="Arial" w:eastAsia="Arial" w:cs="Arial"/>
                <w:b/>
                <w:bCs/>
                <w:color w:val="4A3F6B"/>
                <w:sz w:val="22"/>
                <w:szCs w:val="22"/>
              </w:rPr>
              <w:t>Overcome</w:t>
            </w:r>
          </w:p>
        </w:tc>
        <w:tc>
          <w:tcPr>
            <w:tcW w:w="6600" w:type="dxa"/>
            <w:tcBorders>
              <w:top w:val="nil"/>
              <w:left w:val="nil"/>
              <w:bottom w:val="nil"/>
              <w:right w:val="nil"/>
            </w:tcBorders>
            <w:tcMar>
              <w:top w:w="100" w:type="dxa"/>
              <w:left w:w="140" w:type="dxa"/>
              <w:bottom w:w="100" w:type="dxa"/>
              <w:right w:w="140" w:type="dxa"/>
            </w:tcMar>
          </w:tcPr>
          <w:p w14:paraId="22B34C32">
            <w:r>
              <w:rPr>
                <w:rFonts w:ascii="Arial" w:hAnsi="Arial" w:eastAsia="Arial" w:cs="Arial"/>
                <w:color w:val="4A4A4A"/>
                <w:sz w:val="21"/>
                <w:szCs w:val="21"/>
              </w:rPr>
              <w:t>Overcome the barriers of poverty and inequality — together.</w:t>
            </w:r>
          </w:p>
        </w:tc>
      </w:tr>
      <w:tr w14:paraId="6DA4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9E4D4"/>
            <w:tcMar>
              <w:top w:w="100" w:type="dxa"/>
              <w:left w:w="100" w:type="dxa"/>
              <w:bottom w:w="100" w:type="dxa"/>
              <w:right w:w="100" w:type="dxa"/>
            </w:tcMar>
            <w:vAlign w:val="center"/>
          </w:tcPr>
          <w:p w14:paraId="3E3D0408">
            <w:pPr>
              <w:jc w:val="center"/>
            </w:pPr>
            <w:r>
              <w:rPr>
                <w:rFonts w:ascii="Georgia" w:hAnsi="Georgia" w:eastAsia="Georgia" w:cs="Georgia"/>
                <w:b/>
                <w:bCs/>
                <w:color w:val="4A3F6B"/>
                <w:sz w:val="36"/>
                <w:szCs w:val="36"/>
              </w:rPr>
              <w:t>O</w:t>
            </w:r>
          </w:p>
        </w:tc>
        <w:tc>
          <w:tcPr>
            <w:tcW w:w="1800" w:type="dxa"/>
            <w:tcBorders>
              <w:top w:val="nil"/>
              <w:left w:val="nil"/>
              <w:bottom w:val="nil"/>
              <w:right w:val="nil"/>
            </w:tcBorders>
            <w:shd w:val="clear" w:color="auto" w:fill="F0EBF8"/>
            <w:tcMar>
              <w:top w:w="100" w:type="dxa"/>
              <w:left w:w="140" w:type="dxa"/>
              <w:bottom w:w="100" w:type="dxa"/>
              <w:right w:w="140" w:type="dxa"/>
            </w:tcMar>
          </w:tcPr>
          <w:p w14:paraId="65325E1D">
            <w:r>
              <w:rPr>
                <w:rFonts w:ascii="Arial" w:hAnsi="Arial" w:eastAsia="Arial" w:cs="Arial"/>
                <w:b/>
                <w:bCs/>
                <w:color w:val="4A3F6B"/>
                <w:sz w:val="22"/>
                <w:szCs w:val="22"/>
              </w:rPr>
              <w:t>Open</w:t>
            </w:r>
          </w:p>
        </w:tc>
        <w:tc>
          <w:tcPr>
            <w:tcW w:w="6600" w:type="dxa"/>
            <w:tcBorders>
              <w:top w:val="nil"/>
              <w:left w:val="nil"/>
              <w:bottom w:val="nil"/>
              <w:right w:val="nil"/>
            </w:tcBorders>
            <w:tcMar>
              <w:top w:w="100" w:type="dxa"/>
              <w:left w:w="140" w:type="dxa"/>
              <w:bottom w:w="100" w:type="dxa"/>
              <w:right w:w="140" w:type="dxa"/>
            </w:tcMar>
          </w:tcPr>
          <w:p w14:paraId="3843DABC">
            <w:r>
              <w:rPr>
                <w:rFonts w:ascii="Arial" w:hAnsi="Arial" w:eastAsia="Arial" w:cs="Arial"/>
                <w:color w:val="4A4A4A"/>
                <w:sz w:val="21"/>
                <w:szCs w:val="21"/>
              </w:rPr>
              <w:t>Open doors of opportunity that would otherwise remain shut.</w:t>
            </w:r>
          </w:p>
        </w:tc>
      </w:tr>
      <w:tr w14:paraId="53E9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B8D8EA"/>
            <w:tcMar>
              <w:top w:w="100" w:type="dxa"/>
              <w:left w:w="100" w:type="dxa"/>
              <w:bottom w:w="100" w:type="dxa"/>
              <w:right w:w="100" w:type="dxa"/>
            </w:tcMar>
            <w:vAlign w:val="center"/>
          </w:tcPr>
          <w:p w14:paraId="57280248">
            <w:pPr>
              <w:jc w:val="center"/>
            </w:pPr>
            <w:r>
              <w:rPr>
                <w:rFonts w:ascii="Georgia" w:hAnsi="Georgia" w:eastAsia="Georgia" w:cs="Georgia"/>
                <w:b/>
                <w:bCs/>
                <w:color w:val="4A3F6B"/>
                <w:sz w:val="36"/>
                <w:szCs w:val="36"/>
              </w:rPr>
              <w:t>M</w:t>
            </w:r>
          </w:p>
        </w:tc>
        <w:tc>
          <w:tcPr>
            <w:tcW w:w="1800" w:type="dxa"/>
            <w:tcBorders>
              <w:top w:val="nil"/>
              <w:left w:val="nil"/>
              <w:bottom w:val="nil"/>
              <w:right w:val="nil"/>
            </w:tcBorders>
            <w:shd w:val="clear" w:color="auto" w:fill="F0EBF8"/>
            <w:tcMar>
              <w:top w:w="100" w:type="dxa"/>
              <w:left w:w="140" w:type="dxa"/>
              <w:bottom w:w="100" w:type="dxa"/>
              <w:right w:w="140" w:type="dxa"/>
            </w:tcMar>
          </w:tcPr>
          <w:p w14:paraId="4808FC93">
            <w:r>
              <w:rPr>
                <w:rFonts w:ascii="Arial" w:hAnsi="Arial" w:eastAsia="Arial" w:cs="Arial"/>
                <w:b/>
                <w:bCs/>
                <w:color w:val="4A3F6B"/>
                <w:sz w:val="22"/>
                <w:szCs w:val="22"/>
              </w:rPr>
              <w:t>Matter</w:t>
            </w:r>
          </w:p>
        </w:tc>
        <w:tc>
          <w:tcPr>
            <w:tcW w:w="6600" w:type="dxa"/>
            <w:tcBorders>
              <w:top w:val="nil"/>
              <w:left w:val="nil"/>
              <w:bottom w:val="nil"/>
              <w:right w:val="nil"/>
            </w:tcBorders>
            <w:tcMar>
              <w:top w:w="100" w:type="dxa"/>
              <w:left w:w="140" w:type="dxa"/>
              <w:bottom w:w="100" w:type="dxa"/>
              <w:right w:w="140" w:type="dxa"/>
            </w:tcMar>
          </w:tcPr>
          <w:p w14:paraId="777F51C7">
            <w:r>
              <w:rPr>
                <w:rFonts w:ascii="Arial" w:hAnsi="Arial" w:eastAsia="Arial" w:cs="Arial"/>
                <w:color w:val="4A4A4A"/>
                <w:sz w:val="21"/>
                <w:szCs w:val="21"/>
              </w:rPr>
              <w:t>Make every young life matter — because it always has, and always will.</w:t>
            </w:r>
          </w:p>
        </w:tc>
      </w:tr>
    </w:tbl>
    <w:p w14:paraId="5D3CCB8E">
      <w:pPr>
        <w:spacing w:before="260" w:after="100"/>
      </w:pPr>
      <w:r>
        <w:rPr>
          <w:rFonts w:ascii="Georgia" w:hAnsi="Georgia" w:eastAsia="Georgia" w:cs="Georgia"/>
          <w:b/>
          <w:bCs/>
          <w:color w:val="7B6FA0"/>
          <w:sz w:val="26"/>
          <w:szCs w:val="26"/>
        </w:rPr>
        <w:t>2.2 How Bloom Started</w:t>
      </w:r>
    </w:p>
    <w:p w14:paraId="408C0AD6">
      <w:pPr>
        <w:spacing w:before="60" w:after="100"/>
      </w:pPr>
      <w:r>
        <w:rPr>
          <w:rFonts w:ascii="Arial" w:hAnsi="Arial" w:eastAsia="Arial" w:cs="Arial"/>
          <w:color w:val="4A4A4A"/>
          <w:sz w:val="22"/>
          <w:szCs w:val="22"/>
        </w:rPr>
        <w:t>Bloom started the way most meaningful things do — with a conversation. A few of us were talking about the stark difference between the resources and opportunities we have access to, and what children in underprivileged communities around us go through every single day. Kids who are just as bright, just as curious, just as full of potential — but who don't have the books, the guidance, or the platform to prove it.</w:t>
      </w:r>
      <w:r>
        <w:rPr>
          <w:rFonts w:hint="default" w:cs="Arial"/>
          <w:color w:val="4A4A4A"/>
          <w:sz w:val="22"/>
          <w:szCs w:val="22"/>
          <w:lang w:val="en-US"/>
        </w:rPr>
        <w:t xml:space="preserve"> </w:t>
      </w:r>
      <w:r>
        <w:rPr>
          <w:rFonts w:ascii="Arial" w:hAnsi="Arial" w:eastAsia="Arial" w:cs="Arial"/>
          <w:color w:val="4A4A4A"/>
          <w:sz w:val="22"/>
          <w:szCs w:val="22"/>
        </w:rPr>
        <w:t>We realized we didn't need to wait for someone else to fix this. We had time, skills, and most importantly — we had each other. So we decided to do something about it. Bloom is that something.</w:t>
      </w:r>
    </w:p>
    <w:p w14:paraId="5F24B136">
      <w:pPr>
        <w:spacing w:before="260" w:after="100"/>
      </w:pPr>
      <w:r>
        <w:rPr>
          <w:rFonts w:ascii="Georgia" w:hAnsi="Georgia" w:eastAsia="Georgia" w:cs="Georgia"/>
          <w:b/>
          <w:bCs/>
          <w:color w:val="7B6FA0"/>
          <w:sz w:val="26"/>
          <w:szCs w:val="26"/>
        </w:rPr>
        <w:t>2.3 What Makes Bloom Different</w:t>
      </w:r>
    </w:p>
    <w:p w14:paraId="02D8522B">
      <w:pPr>
        <w:pStyle w:val="16"/>
        <w:numPr>
          <w:ilvl w:val="0"/>
          <w:numId w:val="1"/>
        </w:numPr>
        <w:spacing w:before="50" w:after="50"/>
      </w:pPr>
      <w:r>
        <w:rPr>
          <w:rFonts w:ascii="Arial" w:hAnsi="Arial" w:eastAsia="Arial" w:cs="Arial"/>
          <w:color w:val="4A4A4A"/>
          <w:sz w:val="22"/>
          <w:szCs w:val="22"/>
        </w:rPr>
        <w:t>Bloom is student-led from the ground up. Every idea, every program, every event is planned and executed by students — which means we bring energy, creativity, and a genuine peer-level connection to everything we do.</w:t>
      </w:r>
    </w:p>
    <w:p w14:paraId="0BD9C1AF">
      <w:pPr>
        <w:pStyle w:val="16"/>
        <w:numPr>
          <w:ilvl w:val="0"/>
          <w:numId w:val="1"/>
        </w:numPr>
        <w:spacing w:before="50" w:after="50"/>
      </w:pPr>
      <w:r>
        <w:rPr>
          <w:rFonts w:ascii="Arial" w:hAnsi="Arial" w:eastAsia="Arial" w:cs="Arial"/>
          <w:color w:val="4A4A4A"/>
          <w:sz w:val="22"/>
          <w:szCs w:val="22"/>
        </w:rPr>
        <w:t>We focus on long-term empowerment, not short-term charity. We are not just handing things out — we are building skills, confidence, and opportunities that last.</w:t>
      </w:r>
    </w:p>
    <w:p w14:paraId="01BE6F8D">
      <w:pPr>
        <w:pStyle w:val="16"/>
        <w:numPr>
          <w:ilvl w:val="0"/>
          <w:numId w:val="1"/>
        </w:numPr>
        <w:spacing w:before="50" w:after="50"/>
      </w:pPr>
      <w:r>
        <w:rPr>
          <w:rFonts w:ascii="Arial" w:hAnsi="Arial" w:eastAsia="Arial" w:cs="Arial"/>
          <w:color w:val="4A4A4A"/>
          <w:sz w:val="22"/>
          <w:szCs w:val="22"/>
        </w:rPr>
        <w:t>We are practical and resourceful. We understand that as students, our resources are limited, so we have designed our model to be as cost-effective and sustainable as possible — including running donation drives so that the community itself contributes to the cause.</w:t>
      </w:r>
    </w:p>
    <w:p w14:paraId="69775103">
      <w:pPr>
        <w:pStyle w:val="16"/>
        <w:numPr>
          <w:ilvl w:val="0"/>
          <w:numId w:val="1"/>
        </w:numPr>
        <w:spacing w:before="50" w:after="50"/>
      </w:pPr>
      <w:r>
        <w:rPr>
          <w:rFonts w:ascii="Arial" w:hAnsi="Arial" w:eastAsia="Arial" w:cs="Arial"/>
          <w:color w:val="4A4A4A"/>
          <w:sz w:val="22"/>
          <w:szCs w:val="22"/>
        </w:rPr>
        <w:t>Bloom grows us too. Every volunteer who works with Bloom comes away a better communicator, a stronger leader, and a more empathetic human being. The learning is mutual.</w:t>
      </w:r>
    </w:p>
    <w:p w14:paraId="7318251D">
      <w:r>
        <w:rPr>
          <w:rFonts w:ascii="Georgia" w:hAnsi="Georgia" w:eastAsia="Georgia" w:cs="Georgia"/>
          <w:b/>
          <w:bCs/>
          <w:color w:val="4A3F6B"/>
          <w:sz w:val="38"/>
          <w:szCs w:val="38"/>
        </w:rPr>
        <w:t>3. Vision, Mission &amp; Values</w:t>
      </w:r>
    </w:p>
    <w:p w14:paraId="196CC589">
      <w:pPr>
        <w:spacing w:before="260" w:after="100"/>
      </w:pPr>
      <w:r>
        <w:rPr>
          <w:rFonts w:ascii="Georgia" w:hAnsi="Georgia" w:eastAsia="Georgia" w:cs="Georgia"/>
          <w:b/>
          <w:bCs/>
          <w:color w:val="7B6FA0"/>
          <w:sz w:val="26"/>
          <w:szCs w:val="26"/>
        </w:rPr>
        <w:t>3.1 Our Vision</w:t>
      </w:r>
    </w:p>
    <w:p w14:paraId="609CF078">
      <w:pPr>
        <w:pBdr>
          <w:left w:val="single" w:color="7B6FA0" w:sz="18" w:space="8"/>
        </w:pBdr>
        <w:shd w:val="clear" w:fill="F0EBF8"/>
        <w:spacing w:before="120" w:after="160"/>
        <w:ind w:left="360"/>
      </w:pPr>
      <w:r>
        <w:rPr>
          <w:rFonts w:ascii="Arial" w:hAnsi="Arial" w:eastAsia="Arial" w:cs="Arial"/>
          <w:i/>
          <w:iCs/>
          <w:color w:val="4A3F6B"/>
          <w:sz w:val="23"/>
          <w:szCs w:val="23"/>
        </w:rPr>
        <w:t>To build a platform where students lead meaningful change — one child, one community, one opportunity at a time — creating a generation that is educated, confident, and compassionate enough to shape a more equal world.</w:t>
      </w:r>
    </w:p>
    <w:p w14:paraId="63B60F4E">
      <w:pPr>
        <w:spacing w:before="260" w:after="100"/>
      </w:pPr>
      <w:r>
        <w:rPr>
          <w:rFonts w:ascii="Georgia" w:hAnsi="Georgia" w:eastAsia="Georgia" w:cs="Georgia"/>
          <w:b/>
          <w:bCs/>
          <w:color w:val="7B6FA0"/>
          <w:sz w:val="26"/>
          <w:szCs w:val="26"/>
        </w:rPr>
        <w:t>3.2 Our Mission</w:t>
      </w:r>
    </w:p>
    <w:p w14:paraId="6F7EB9F2">
      <w:pPr>
        <w:pBdr>
          <w:left w:val="single" w:color="7B6FA0" w:sz="18" w:space="8"/>
        </w:pBdr>
        <w:shd w:val="clear" w:fill="F0EBF8"/>
        <w:spacing w:before="120" w:after="160"/>
        <w:ind w:left="360"/>
      </w:pPr>
      <w:r>
        <w:rPr>
          <w:rFonts w:ascii="Arial" w:hAnsi="Arial" w:eastAsia="Arial" w:cs="Arial"/>
          <w:i/>
          <w:iCs/>
          <w:color w:val="4A3F6B"/>
          <w:sz w:val="23"/>
          <w:szCs w:val="23"/>
        </w:rPr>
        <w:t>To reach underprivileged children in our community and provide them with consistent access to educational support, creative expression, mentorship, and the kind of encouragement that tells them — loudly and clearly — that they matter and that they can.</w:t>
      </w:r>
    </w:p>
    <w:p w14:paraId="3B5B7FC6">
      <w:pPr>
        <w:spacing w:before="260" w:after="100"/>
      </w:pPr>
      <w:r>
        <w:rPr>
          <w:rFonts w:ascii="Georgia" w:hAnsi="Georgia" w:eastAsia="Georgia" w:cs="Georgia"/>
          <w:b/>
          <w:bCs/>
          <w:color w:val="7B6FA0"/>
          <w:sz w:val="26"/>
          <w:szCs w:val="26"/>
        </w:rPr>
        <w:t>3.3 Our Core Values</w:t>
      </w:r>
    </w:p>
    <w:p w14:paraId="4BBB6B36">
      <w:pPr>
        <w:spacing w:after="11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00"/>
      </w:tblGrid>
      <w:tr w14:paraId="26EC60B8">
        <w:tblPrEx>
          <w:tblCellMar>
            <w:top w:w="0" w:type="dxa"/>
            <w:left w:w="10" w:type="dxa"/>
            <w:bottom w:w="0" w:type="dxa"/>
            <w:right w:w="10" w:type="dxa"/>
          </w:tblCellMar>
        </w:tblPrEx>
        <w:tc>
          <w:tcPr>
            <w:tcW w:w="1600" w:type="dxa"/>
            <w:tcBorders>
              <w:top w:val="single" w:color="FFFFFF" w:sz="0" w:space="0"/>
              <w:left w:val="single" w:color="FFFFFF" w:sz="0" w:space="0"/>
              <w:bottom w:val="single" w:color="FFFFFF" w:sz="0" w:space="0"/>
              <w:right w:val="single" w:color="FFFFFF" w:sz="0" w:space="0"/>
            </w:tcBorders>
            <w:shd w:val="clear" w:color="auto" w:fill="F4C2C2"/>
            <w:tcMar>
              <w:top w:w="110" w:type="dxa"/>
              <w:left w:w="140" w:type="dxa"/>
              <w:bottom w:w="110" w:type="dxa"/>
              <w:right w:w="140" w:type="dxa"/>
            </w:tcMar>
            <w:vAlign w:val="center"/>
          </w:tcPr>
          <w:p w14:paraId="1C5F5502">
            <w:pPr>
              <w:jc w:val="center"/>
            </w:pPr>
            <w:r>
              <w:rPr>
                <w:rFonts w:ascii="Arial" w:hAnsi="Arial" w:eastAsia="Arial" w:cs="Arial"/>
                <w:b/>
                <w:bCs/>
                <w:color w:val="4A3F6B"/>
                <w:sz w:val="19"/>
                <w:szCs w:val="19"/>
              </w:rPr>
              <w:t>Empowerment</w:t>
            </w:r>
          </w:p>
        </w:tc>
        <w:tc>
          <w:tcPr>
            <w:tcW w:w="7400" w:type="dxa"/>
            <w:tcBorders>
              <w:top w:val="single" w:color="DDDDDD" w:sz="0" w:space="0"/>
              <w:left w:val="single" w:color="DDDDDD" w:sz="0" w:space="0"/>
              <w:bottom w:val="single" w:color="DDDDDD" w:sz="0" w:space="0"/>
              <w:right w:val="single" w:color="DDDDDD" w:sz="0" w:space="0"/>
            </w:tcBorders>
            <w:tcMar>
              <w:top w:w="110" w:type="dxa"/>
              <w:left w:w="150" w:type="dxa"/>
              <w:bottom w:w="110" w:type="dxa"/>
              <w:right w:w="150" w:type="dxa"/>
            </w:tcMar>
          </w:tcPr>
          <w:p w14:paraId="2C598C4E">
            <w:r>
              <w:rPr>
                <w:rFonts w:ascii="Arial" w:hAnsi="Arial" w:eastAsia="Arial" w:cs="Arial"/>
                <w:color w:val="4A4A4A"/>
                <w:sz w:val="21"/>
                <w:szCs w:val="21"/>
              </w:rPr>
              <w:t>We build capability, not dependency. Every program gives children something they can carry forward for life.</w:t>
            </w:r>
          </w:p>
        </w:tc>
      </w:tr>
      <w:tr w14:paraId="13E4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FFFFFF" w:sz="0" w:space="0"/>
              <w:left w:val="single" w:color="FFFFFF" w:sz="0" w:space="0"/>
              <w:bottom w:val="single" w:color="FFFFFF" w:sz="0" w:space="0"/>
              <w:right w:val="single" w:color="FFFFFF" w:sz="0" w:space="0"/>
            </w:tcBorders>
            <w:shd w:val="clear" w:color="auto" w:fill="E8D5F5"/>
            <w:tcMar>
              <w:top w:w="110" w:type="dxa"/>
              <w:left w:w="140" w:type="dxa"/>
              <w:bottom w:w="110" w:type="dxa"/>
              <w:right w:w="140" w:type="dxa"/>
            </w:tcMar>
            <w:vAlign w:val="center"/>
          </w:tcPr>
          <w:p w14:paraId="095E5401">
            <w:pPr>
              <w:jc w:val="center"/>
            </w:pPr>
            <w:r>
              <w:rPr>
                <w:rFonts w:ascii="Arial" w:hAnsi="Arial" w:eastAsia="Arial" w:cs="Arial"/>
                <w:b/>
                <w:bCs/>
                <w:color w:val="4A3F6B"/>
                <w:sz w:val="19"/>
                <w:szCs w:val="19"/>
              </w:rPr>
              <w:t>Compassion</w:t>
            </w:r>
          </w:p>
        </w:tc>
        <w:tc>
          <w:tcPr>
            <w:tcW w:w="7400" w:type="dxa"/>
            <w:tcBorders>
              <w:top w:val="single" w:color="DDDDDD" w:sz="0" w:space="0"/>
              <w:left w:val="single" w:color="DDDDDD" w:sz="0" w:space="0"/>
              <w:bottom w:val="single" w:color="DDDDDD" w:sz="0" w:space="0"/>
              <w:right w:val="single" w:color="DDDDDD" w:sz="0" w:space="0"/>
            </w:tcBorders>
            <w:tcMar>
              <w:top w:w="110" w:type="dxa"/>
              <w:left w:w="150" w:type="dxa"/>
              <w:bottom w:w="110" w:type="dxa"/>
              <w:right w:w="150" w:type="dxa"/>
            </w:tcMar>
          </w:tcPr>
          <w:p w14:paraId="19708506">
            <w:r>
              <w:rPr>
                <w:rFonts w:ascii="Arial" w:hAnsi="Arial" w:eastAsia="Arial" w:cs="Arial"/>
                <w:color w:val="4A4A4A"/>
                <w:sz w:val="21"/>
                <w:szCs w:val="21"/>
              </w:rPr>
              <w:t>We show up with genuine empathy and respect — for the children we serve, the communities we enter, and the people we work alongside.</w:t>
            </w:r>
          </w:p>
        </w:tc>
      </w:tr>
      <w:tr w14:paraId="78F7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FFFFFF" w:sz="0" w:space="0"/>
              <w:left w:val="single" w:color="FFFFFF" w:sz="0" w:space="0"/>
              <w:bottom w:val="single" w:color="FFFFFF" w:sz="0" w:space="0"/>
              <w:right w:val="single" w:color="FFFFFF" w:sz="0" w:space="0"/>
            </w:tcBorders>
            <w:shd w:val="clear" w:color="auto" w:fill="C3DFB1"/>
            <w:tcMar>
              <w:top w:w="110" w:type="dxa"/>
              <w:left w:w="140" w:type="dxa"/>
              <w:bottom w:w="110" w:type="dxa"/>
              <w:right w:w="140" w:type="dxa"/>
            </w:tcMar>
            <w:vAlign w:val="center"/>
          </w:tcPr>
          <w:p w14:paraId="376ABECC">
            <w:pPr>
              <w:jc w:val="center"/>
            </w:pPr>
            <w:r>
              <w:rPr>
                <w:rFonts w:ascii="Arial" w:hAnsi="Arial" w:eastAsia="Arial" w:cs="Arial"/>
                <w:b/>
                <w:bCs/>
                <w:color w:val="4A3F6B"/>
                <w:sz w:val="19"/>
                <w:szCs w:val="19"/>
              </w:rPr>
              <w:t>Creativity</w:t>
            </w:r>
          </w:p>
        </w:tc>
        <w:tc>
          <w:tcPr>
            <w:tcW w:w="7400" w:type="dxa"/>
            <w:tcBorders>
              <w:top w:val="single" w:color="DDDDDD" w:sz="0" w:space="0"/>
              <w:left w:val="single" w:color="DDDDDD" w:sz="0" w:space="0"/>
              <w:bottom w:val="single" w:color="DDDDDD" w:sz="0" w:space="0"/>
              <w:right w:val="single" w:color="DDDDDD" w:sz="0" w:space="0"/>
            </w:tcBorders>
            <w:tcMar>
              <w:top w:w="110" w:type="dxa"/>
              <w:left w:w="150" w:type="dxa"/>
              <w:bottom w:w="110" w:type="dxa"/>
              <w:right w:w="150" w:type="dxa"/>
            </w:tcMar>
          </w:tcPr>
          <w:p w14:paraId="4611FDCA">
            <w:r>
              <w:rPr>
                <w:rFonts w:ascii="Arial" w:hAnsi="Arial" w:eastAsia="Arial" w:cs="Arial"/>
                <w:color w:val="4A4A4A"/>
                <w:sz w:val="21"/>
                <w:szCs w:val="21"/>
              </w:rPr>
              <w:t>We believe every child has a story worth telling and a talent worth celebrating. We create the space for that.</w:t>
            </w:r>
          </w:p>
        </w:tc>
      </w:tr>
      <w:tr w14:paraId="47B2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FFFFFF" w:sz="0" w:space="0"/>
              <w:left w:val="single" w:color="FFFFFF" w:sz="0" w:space="0"/>
              <w:bottom w:val="single" w:color="FFFFFF" w:sz="0" w:space="0"/>
              <w:right w:val="single" w:color="FFFFFF" w:sz="0" w:space="0"/>
            </w:tcBorders>
            <w:shd w:val="clear" w:color="auto" w:fill="F9E4D4"/>
            <w:tcMar>
              <w:top w:w="110" w:type="dxa"/>
              <w:left w:w="140" w:type="dxa"/>
              <w:bottom w:w="110" w:type="dxa"/>
              <w:right w:w="140" w:type="dxa"/>
            </w:tcMar>
            <w:vAlign w:val="center"/>
          </w:tcPr>
          <w:p w14:paraId="1CC423C6">
            <w:pPr>
              <w:jc w:val="center"/>
            </w:pPr>
            <w:r>
              <w:rPr>
                <w:rFonts w:ascii="Arial" w:hAnsi="Arial" w:eastAsia="Arial" w:cs="Arial"/>
                <w:b/>
                <w:bCs/>
                <w:color w:val="4A3F6B"/>
                <w:sz w:val="19"/>
                <w:szCs w:val="19"/>
              </w:rPr>
              <w:t>Leadership</w:t>
            </w:r>
          </w:p>
        </w:tc>
        <w:tc>
          <w:tcPr>
            <w:tcW w:w="7400" w:type="dxa"/>
            <w:tcBorders>
              <w:top w:val="single" w:color="DDDDDD" w:sz="0" w:space="0"/>
              <w:left w:val="single" w:color="DDDDDD" w:sz="0" w:space="0"/>
              <w:bottom w:val="single" w:color="DDDDDD" w:sz="0" w:space="0"/>
              <w:right w:val="single" w:color="DDDDDD" w:sz="0" w:space="0"/>
            </w:tcBorders>
            <w:tcMar>
              <w:top w:w="110" w:type="dxa"/>
              <w:left w:w="150" w:type="dxa"/>
              <w:bottom w:w="110" w:type="dxa"/>
              <w:right w:w="150" w:type="dxa"/>
            </w:tcMar>
          </w:tcPr>
          <w:p w14:paraId="2E97A51A">
            <w:r>
              <w:rPr>
                <w:rFonts w:ascii="Arial" w:hAnsi="Arial" w:eastAsia="Arial" w:cs="Arial"/>
                <w:color w:val="4A4A4A"/>
                <w:sz w:val="21"/>
                <w:szCs w:val="21"/>
              </w:rPr>
              <w:t>We believe students can lead — and Bloom is our proof of that. Leadership through service is at the heart of everything we do.</w:t>
            </w:r>
          </w:p>
        </w:tc>
      </w:tr>
      <w:tr w14:paraId="097D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FFFFFF" w:sz="0" w:space="0"/>
              <w:left w:val="single" w:color="FFFFFF" w:sz="0" w:space="0"/>
              <w:bottom w:val="single" w:color="FFFFFF" w:sz="0" w:space="0"/>
              <w:right w:val="single" w:color="FFFFFF" w:sz="0" w:space="0"/>
            </w:tcBorders>
            <w:shd w:val="clear" w:color="auto" w:fill="B8D8EA"/>
            <w:tcMar>
              <w:top w:w="110" w:type="dxa"/>
              <w:left w:w="140" w:type="dxa"/>
              <w:bottom w:w="110" w:type="dxa"/>
              <w:right w:w="140" w:type="dxa"/>
            </w:tcMar>
            <w:vAlign w:val="center"/>
          </w:tcPr>
          <w:p w14:paraId="197DF94D">
            <w:pPr>
              <w:jc w:val="center"/>
            </w:pPr>
            <w:r>
              <w:rPr>
                <w:rFonts w:ascii="Arial" w:hAnsi="Arial" w:eastAsia="Arial" w:cs="Arial"/>
                <w:b/>
                <w:bCs/>
                <w:color w:val="4A3F6B"/>
                <w:sz w:val="19"/>
                <w:szCs w:val="19"/>
              </w:rPr>
              <w:t>Integrity</w:t>
            </w:r>
          </w:p>
        </w:tc>
        <w:tc>
          <w:tcPr>
            <w:tcW w:w="7400" w:type="dxa"/>
            <w:tcBorders>
              <w:top w:val="single" w:color="DDDDDD" w:sz="0" w:space="0"/>
              <w:left w:val="single" w:color="DDDDDD" w:sz="0" w:space="0"/>
              <w:bottom w:val="single" w:color="DDDDDD" w:sz="0" w:space="0"/>
              <w:right w:val="single" w:color="DDDDDD" w:sz="0" w:space="0"/>
            </w:tcBorders>
            <w:tcMar>
              <w:top w:w="110" w:type="dxa"/>
              <w:left w:w="150" w:type="dxa"/>
              <w:bottom w:w="110" w:type="dxa"/>
              <w:right w:w="150" w:type="dxa"/>
            </w:tcMar>
          </w:tcPr>
          <w:p w14:paraId="0EDD7CE5">
            <w:r>
              <w:rPr>
                <w:rFonts w:ascii="Arial" w:hAnsi="Arial" w:eastAsia="Arial" w:cs="Arial"/>
                <w:color w:val="4A4A4A"/>
                <w:sz w:val="21"/>
                <w:szCs w:val="21"/>
              </w:rPr>
              <w:t>We are honest about what we can do, responsible with what we are trusted with, and accountable for the outcomes we create.</w:t>
            </w:r>
          </w:p>
        </w:tc>
      </w:tr>
      <w:tr w14:paraId="5697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FFFFFF" w:sz="0" w:space="0"/>
              <w:left w:val="single" w:color="FFFFFF" w:sz="0" w:space="0"/>
              <w:bottom w:val="single" w:color="FFFFFF" w:sz="0" w:space="0"/>
              <w:right w:val="single" w:color="FFFFFF" w:sz="0" w:space="0"/>
            </w:tcBorders>
            <w:shd w:val="clear" w:color="auto" w:fill="D5C5F0"/>
            <w:tcMar>
              <w:top w:w="110" w:type="dxa"/>
              <w:left w:w="140" w:type="dxa"/>
              <w:bottom w:w="110" w:type="dxa"/>
              <w:right w:w="140" w:type="dxa"/>
            </w:tcMar>
            <w:vAlign w:val="center"/>
          </w:tcPr>
          <w:p w14:paraId="489A34B2">
            <w:pPr>
              <w:jc w:val="center"/>
            </w:pPr>
            <w:r>
              <w:rPr>
                <w:rFonts w:ascii="Arial" w:hAnsi="Arial" w:eastAsia="Arial" w:cs="Arial"/>
                <w:b/>
                <w:bCs/>
                <w:color w:val="4A3F6B"/>
                <w:sz w:val="19"/>
                <w:szCs w:val="19"/>
              </w:rPr>
              <w:t>Inclusion</w:t>
            </w:r>
          </w:p>
        </w:tc>
        <w:tc>
          <w:tcPr>
            <w:tcW w:w="7400" w:type="dxa"/>
            <w:tcBorders>
              <w:top w:val="single" w:color="DDDDDD" w:sz="0" w:space="0"/>
              <w:left w:val="single" w:color="DDDDDD" w:sz="0" w:space="0"/>
              <w:bottom w:val="single" w:color="DDDDDD" w:sz="0" w:space="0"/>
              <w:right w:val="single" w:color="DDDDDD" w:sz="0" w:space="0"/>
            </w:tcBorders>
            <w:tcMar>
              <w:top w:w="110" w:type="dxa"/>
              <w:left w:w="150" w:type="dxa"/>
              <w:bottom w:w="110" w:type="dxa"/>
              <w:right w:w="150" w:type="dxa"/>
            </w:tcMar>
          </w:tcPr>
          <w:p w14:paraId="7F0FC09D">
            <w:r>
              <w:rPr>
                <w:rFonts w:ascii="Arial" w:hAnsi="Arial" w:eastAsia="Arial" w:cs="Arial"/>
                <w:color w:val="4A4A4A"/>
                <w:sz w:val="21"/>
                <w:szCs w:val="21"/>
              </w:rPr>
              <w:t>Bloom is for everyone. We do not discriminate — not by gender, background, religion, or ability.</w:t>
            </w:r>
          </w:p>
        </w:tc>
      </w:tr>
    </w:tbl>
    <w:p w14:paraId="6A48C37A">
      <w:pPr>
        <w:spacing w:after="220"/>
      </w:pPr>
    </w:p>
    <w:p w14:paraId="0650648F">
      <w:r>
        <w:rPr>
          <w:rFonts w:ascii="Georgia" w:hAnsi="Georgia" w:eastAsia="Georgia" w:cs="Georgia"/>
          <w:b/>
          <w:bCs/>
          <w:color w:val="4A3F6B"/>
          <w:sz w:val="38"/>
          <w:szCs w:val="38"/>
        </w:rPr>
        <w:t>4. What We Do — Our Focus Areas</w:t>
      </w:r>
    </w:p>
    <w:p w14:paraId="6D616A63">
      <w:pPr>
        <w:pBdr>
          <w:bottom w:val="single" w:color="C3B1E1" w:sz="6" w:space="1"/>
        </w:pBdr>
        <w:spacing w:before="140" w:after="180"/>
      </w:pPr>
    </w:p>
    <w:p w14:paraId="0B570467">
      <w:pPr>
        <w:spacing w:before="60" w:after="100"/>
      </w:pPr>
      <w:r>
        <w:rPr>
          <w:rFonts w:ascii="Arial" w:hAnsi="Arial" w:eastAsia="Arial" w:cs="Arial"/>
          <w:color w:val="4A4A4A"/>
          <w:sz w:val="22"/>
          <w:szCs w:val="22"/>
        </w:rPr>
        <w:t>Bloom works across five areas that we believe are deeply connected. A child who cannot read cannot fully participate. A child who has never been encouraged cannot truly lead. A child who has never had a platform cannot know what they are capable of. Our programs address all of these dimensions together — because real empowerment is holistic.</w:t>
      </w:r>
    </w:p>
    <w:p w14:paraId="59E9944F">
      <w:pPr>
        <w:pBdr>
          <w:left w:val="single" w:color="F4C2C2" w:sz="20" w:space="8"/>
        </w:pBdr>
        <w:shd w:val="clear" w:fill="F0EBF8"/>
        <w:spacing w:before="0" w:after="0"/>
        <w:ind w:left="200"/>
      </w:pPr>
      <w:r>
        <w:rPr>
          <w:rFonts w:ascii="Georgia" w:hAnsi="Georgia" w:eastAsia="Georgia" w:cs="Georgia"/>
          <w:b/>
          <w:bCs/>
          <w:color w:val="4A3F6B"/>
          <w:sz w:val="26"/>
          <w:szCs w:val="26"/>
        </w:rPr>
        <w:t>01  ·  Educational Support &amp; Academic Empowerment</w:t>
      </w:r>
    </w:p>
    <w:p w14:paraId="1537750A">
      <w:pPr>
        <w:spacing w:after="110"/>
      </w:pPr>
    </w:p>
    <w:p w14:paraId="527445DD">
      <w:pPr>
        <w:spacing w:before="60" w:after="100"/>
      </w:pPr>
      <w:r>
        <w:rPr>
          <w:rFonts w:ascii="Arial" w:hAnsi="Arial" w:eastAsia="Arial" w:cs="Arial"/>
          <w:color w:val="4A4A4A"/>
          <w:sz w:val="22"/>
          <w:szCs w:val="22"/>
        </w:rPr>
        <w:t>This is the foundation of everything we do. So many of the children we aim to reach are falling behind not because they are not capable, but because they do not have the support or materials to keep up. We want to change that</w:t>
      </w:r>
      <w:r>
        <w:rPr>
          <w:rFonts w:hint="default" w:cs="Arial"/>
          <w:color w:val="4A4A4A"/>
          <w:sz w:val="22"/>
          <w:szCs w:val="22"/>
          <w:lang w:val="en-US"/>
        </w:rPr>
        <w:t xml:space="preserve">. </w:t>
      </w:r>
      <w:r>
        <w:rPr>
          <w:rFonts w:ascii="Arial" w:hAnsi="Arial" w:eastAsia="Arial" w:cs="Arial"/>
          <w:color w:val="4A4A4A"/>
          <w:sz w:val="22"/>
          <w:szCs w:val="22"/>
        </w:rPr>
        <w:t>One of the things we are most passionate about is making this as sustainable as possible. We know that as students, we cannot always afford to buy new notebooks, textbooks, or stationery for everyone. So we came up with an idea that we think is both smart and community-driven: Donation Camps.</w:t>
      </w:r>
    </w:p>
    <w:p w14:paraId="1017C92D">
      <w:pPr>
        <w:spacing w:before="60" w:after="100"/>
      </w:pPr>
      <w:r>
        <w:rPr>
          <w:rFonts w:ascii="Arial" w:hAnsi="Arial" w:eastAsia="Arial" w:cs="Arial"/>
          <w:b/>
          <w:bCs/>
          <w:color w:val="4A4A4A"/>
          <w:sz w:val="22"/>
          <w:szCs w:val="22"/>
        </w:rPr>
        <w:t>The idea is simple. Many students in our school and neighbourhood have used notebooks with blank pages left in them, old textbooks they no longer need, pens, pencils, rulers, and other stationery that would otherwise just sit unused. Instead of letting those go to waste, we organize donation camps where people can bring and contribute what they no longer need. These items are then collected, sorted, and distributed directly to the children we work with. This way, we reduce waste, involve the broader community in our mission, and ensure that our resources stretch as far as possible — without putting financial pressure on the initiative or on anyone involved.</w:t>
      </w:r>
    </w:p>
    <w:p w14:paraId="502C2837">
      <w:pPr>
        <w:spacing w:before="180" w:after="70"/>
      </w:pPr>
      <w:r>
        <w:rPr>
          <w:rFonts w:ascii="Arial" w:hAnsi="Arial" w:eastAsia="Arial" w:cs="Arial"/>
          <w:b/>
          <w:bCs/>
          <w:color w:val="4A3F6B"/>
          <w:sz w:val="22"/>
          <w:szCs w:val="22"/>
        </w:rPr>
        <w:t>Other Key Activities:</w:t>
      </w:r>
    </w:p>
    <w:p w14:paraId="43D7BB9D">
      <w:pPr>
        <w:pStyle w:val="16"/>
        <w:numPr>
          <w:ilvl w:val="0"/>
          <w:numId w:val="1"/>
        </w:numPr>
        <w:spacing w:before="50" w:after="50"/>
      </w:pPr>
      <w:r>
        <w:rPr>
          <w:rFonts w:ascii="Arial" w:hAnsi="Arial" w:eastAsia="Arial" w:cs="Arial"/>
          <w:color w:val="4A4A4A"/>
          <w:sz w:val="22"/>
          <w:szCs w:val="22"/>
        </w:rPr>
        <w:t>Regular tutoring sessions in core subjects — Maths, Science, English, and Hindi — for children in Classes 1 to 10, conducted by trained student volunteers.</w:t>
      </w:r>
    </w:p>
    <w:p w14:paraId="6D4601EC">
      <w:pPr>
        <w:pStyle w:val="16"/>
        <w:numPr>
          <w:ilvl w:val="0"/>
          <w:numId w:val="1"/>
        </w:numPr>
        <w:spacing w:before="50" w:after="50"/>
      </w:pPr>
      <w:r>
        <w:rPr>
          <w:rFonts w:ascii="Arial" w:hAnsi="Arial" w:eastAsia="Arial" w:cs="Arial"/>
          <w:color w:val="4A4A4A"/>
          <w:sz w:val="22"/>
          <w:szCs w:val="22"/>
        </w:rPr>
        <w:t>Learning workshops covering study skills, time management, exam preparation, and how to learn more effectively — not just what to learn.</w:t>
      </w:r>
    </w:p>
    <w:p w14:paraId="3CCD135F">
      <w:pPr>
        <w:pStyle w:val="16"/>
        <w:numPr>
          <w:ilvl w:val="0"/>
          <w:numId w:val="1"/>
        </w:numPr>
        <w:spacing w:before="50" w:after="50"/>
      </w:pPr>
      <w:r>
        <w:rPr>
          <w:rFonts w:ascii="Arial" w:hAnsi="Arial" w:eastAsia="Arial" w:cs="Arial"/>
          <w:color w:val="4A4A4A"/>
          <w:sz w:val="22"/>
          <w:szCs w:val="22"/>
        </w:rPr>
        <w:t>Awareness sessions for students and families about scholarships, free online resources, and educational opportunities they may not know exist.</w:t>
      </w:r>
    </w:p>
    <w:p w14:paraId="085A00E1">
      <w:pPr>
        <w:pStyle w:val="16"/>
        <w:numPr>
          <w:ilvl w:val="0"/>
          <w:numId w:val="1"/>
        </w:numPr>
        <w:spacing w:before="50" w:after="50"/>
      </w:pPr>
      <w:r>
        <w:rPr>
          <w:rFonts w:ascii="Arial" w:hAnsi="Arial" w:eastAsia="Arial" w:cs="Arial"/>
          <w:color w:val="4A4A4A"/>
          <w:sz w:val="22"/>
          <w:szCs w:val="22"/>
        </w:rPr>
        <w:t>Basic digital literacy — helping children understand and navigate technology, which is increasingly essential for education and opportunity.</w:t>
      </w:r>
    </w:p>
    <w:p w14:paraId="40CAAD16">
      <w:pPr>
        <w:spacing w:before="60" w:after="100"/>
      </w:pPr>
      <w:r>
        <w:rPr>
          <w:rFonts w:ascii="Arial" w:hAnsi="Arial" w:eastAsia="Arial" w:cs="Arial"/>
          <w:b/>
          <w:bCs/>
          <w:color w:val="7B6FA0"/>
          <w:sz w:val="22"/>
          <w:szCs w:val="22"/>
        </w:rPr>
        <w:t>Goal: Make sure that no child falls behind simply because they lacked the materials or the support to keep going.</w:t>
      </w:r>
    </w:p>
    <w:p w14:paraId="46D53D06">
      <w:pPr>
        <w:pBdr>
          <w:left w:val="single" w:color="E8D5F5" w:sz="20" w:space="8"/>
        </w:pBdr>
        <w:shd w:val="clear" w:fill="F0EBF8"/>
        <w:spacing w:before="0" w:after="0"/>
        <w:ind w:left="200"/>
      </w:pPr>
      <w:r>
        <w:rPr>
          <w:rFonts w:ascii="Georgia" w:hAnsi="Georgia" w:eastAsia="Georgia" w:cs="Georgia"/>
          <w:b/>
          <w:bCs/>
          <w:color w:val="4A3F6B"/>
          <w:sz w:val="26"/>
          <w:szCs w:val="26"/>
        </w:rPr>
        <w:t>02  ·  Personality Development &amp; Confidence Building</w:t>
      </w:r>
    </w:p>
    <w:p w14:paraId="6BC3E583">
      <w:pPr>
        <w:spacing w:before="60" w:after="100"/>
      </w:pPr>
      <w:r>
        <w:rPr>
          <w:rFonts w:ascii="Arial" w:hAnsi="Arial" w:eastAsia="Arial" w:cs="Arial"/>
          <w:color w:val="4A4A4A"/>
          <w:sz w:val="22"/>
          <w:szCs w:val="22"/>
        </w:rPr>
        <w:t>We have seen firsthand how much of a difference confidence makes. A child who believes in themselves shows up differently — in the classroom, in conversations, in life. But for children who have grown up being told — directly or indirectly — that they don't have much to offer, that confidence doesn't come naturally. We want to help build it.</w:t>
      </w:r>
    </w:p>
    <w:p w14:paraId="0F19CE82">
      <w:pPr>
        <w:spacing w:before="180" w:after="70"/>
      </w:pPr>
      <w:r>
        <w:rPr>
          <w:rFonts w:ascii="Arial" w:hAnsi="Arial" w:eastAsia="Arial" w:cs="Arial"/>
          <w:b/>
          <w:bCs/>
          <w:color w:val="4A3F6B"/>
          <w:sz w:val="22"/>
          <w:szCs w:val="22"/>
        </w:rPr>
        <w:t>Key Activities:</w:t>
      </w:r>
    </w:p>
    <w:p w14:paraId="5AEA8269">
      <w:pPr>
        <w:pStyle w:val="16"/>
        <w:numPr>
          <w:ilvl w:val="0"/>
          <w:numId w:val="1"/>
        </w:numPr>
        <w:spacing w:before="50" w:after="50"/>
      </w:pPr>
      <w:r>
        <w:rPr>
          <w:rFonts w:ascii="Arial" w:hAnsi="Arial" w:eastAsia="Arial" w:cs="Arial"/>
          <w:color w:val="4A4A4A"/>
          <w:sz w:val="22"/>
          <w:szCs w:val="22"/>
        </w:rPr>
        <w:t>Public speaking and debate workshops where children practice expressing themselves clearly and confidently in front of others.</w:t>
      </w:r>
    </w:p>
    <w:p w14:paraId="47594187">
      <w:pPr>
        <w:pStyle w:val="16"/>
        <w:numPr>
          <w:ilvl w:val="0"/>
          <w:numId w:val="1"/>
        </w:numPr>
        <w:spacing w:before="50" w:after="50"/>
      </w:pPr>
      <w:r>
        <w:rPr>
          <w:rFonts w:ascii="Arial" w:hAnsi="Arial" w:eastAsia="Arial" w:cs="Arial"/>
          <w:color w:val="4A4A4A"/>
          <w:sz w:val="22"/>
          <w:szCs w:val="22"/>
        </w:rPr>
        <w:t>Leadership activities and team exercises that help children discover how to work together, make decisions, and take initiative.</w:t>
      </w:r>
    </w:p>
    <w:p w14:paraId="5B1DE48B">
      <w:pPr>
        <w:pStyle w:val="16"/>
        <w:numPr>
          <w:ilvl w:val="0"/>
          <w:numId w:val="1"/>
        </w:numPr>
        <w:spacing w:before="50" w:after="50"/>
      </w:pPr>
      <w:r>
        <w:rPr>
          <w:rFonts w:ascii="Arial" w:hAnsi="Arial" w:eastAsia="Arial" w:cs="Arial"/>
          <w:color w:val="4A4A4A"/>
          <w:sz w:val="22"/>
          <w:szCs w:val="22"/>
        </w:rPr>
        <w:t>Goal-setting sessions that help children think about their futures, identify what they want, and understand that their ambitions are valid and achievable.</w:t>
      </w:r>
    </w:p>
    <w:p w14:paraId="01CCE6B0">
      <w:pPr>
        <w:pStyle w:val="16"/>
        <w:numPr>
          <w:ilvl w:val="0"/>
          <w:numId w:val="1"/>
        </w:numPr>
        <w:spacing w:before="50" w:after="50"/>
      </w:pPr>
      <w:r>
        <w:rPr>
          <w:rFonts w:ascii="Arial" w:hAnsi="Arial" w:eastAsia="Arial" w:cs="Arial"/>
          <w:color w:val="4A4A4A"/>
          <w:sz w:val="22"/>
          <w:szCs w:val="22"/>
        </w:rPr>
        <w:t>Interactions with inspiring young role models — people who were once in similar positions and found their way forward.</w:t>
      </w:r>
    </w:p>
    <w:p w14:paraId="5BCDE68E">
      <w:pPr>
        <w:pStyle w:val="16"/>
        <w:numPr>
          <w:ilvl w:val="0"/>
          <w:numId w:val="1"/>
        </w:numPr>
        <w:spacing w:before="50" w:after="50"/>
      </w:pPr>
      <w:r>
        <w:rPr>
          <w:rFonts w:ascii="Arial" w:hAnsi="Arial" w:eastAsia="Arial" w:cs="Arial"/>
          <w:color w:val="4A4A4A"/>
          <w:sz w:val="22"/>
          <w:szCs w:val="22"/>
        </w:rPr>
        <w:t>Communication and interpersonal skills training — because how you express yourself matters as much as what you know.</w:t>
      </w:r>
    </w:p>
    <w:p w14:paraId="3A3972BB">
      <w:pPr>
        <w:spacing w:after="110"/>
      </w:pPr>
    </w:p>
    <w:p w14:paraId="3829DE3D">
      <w:pPr>
        <w:spacing w:before="60" w:after="100"/>
      </w:pPr>
      <w:r>
        <w:rPr>
          <w:rFonts w:ascii="Arial" w:hAnsi="Arial" w:eastAsia="Arial" w:cs="Arial"/>
          <w:b/>
          <w:bCs/>
          <w:color w:val="7B6FA0"/>
          <w:sz w:val="22"/>
          <w:szCs w:val="22"/>
        </w:rPr>
        <w:t>Goal: Help every child walk a little taller, speak a little louder, and believe a little more in what they are capable of.</w:t>
      </w:r>
    </w:p>
    <w:p w14:paraId="49B72B85">
      <w:pPr>
        <w:pBdr>
          <w:left w:val="single" w:color="C3DFB1" w:sz="20" w:space="8"/>
        </w:pBdr>
        <w:shd w:val="clear" w:fill="F0EBF8"/>
        <w:spacing w:before="0" w:after="0"/>
        <w:ind w:left="200"/>
      </w:pPr>
      <w:r>
        <w:rPr>
          <w:rFonts w:ascii="Georgia" w:hAnsi="Georgia" w:eastAsia="Georgia" w:cs="Georgia"/>
          <w:b/>
          <w:bCs/>
          <w:color w:val="4A3F6B"/>
          <w:sz w:val="26"/>
          <w:szCs w:val="26"/>
        </w:rPr>
        <w:t>03  ·  Creative Expression &amp; Talent Development</w:t>
      </w:r>
    </w:p>
    <w:p w14:paraId="47DC2BDA">
      <w:pPr>
        <w:spacing w:after="110"/>
      </w:pPr>
    </w:p>
    <w:p w14:paraId="0F7B129F">
      <w:pPr>
        <w:spacing w:before="60" w:after="100"/>
      </w:pPr>
      <w:r>
        <w:rPr>
          <w:rFonts w:ascii="Arial" w:hAnsi="Arial" w:eastAsia="Arial" w:cs="Arial"/>
          <w:color w:val="4A4A4A"/>
          <w:sz w:val="22"/>
          <w:szCs w:val="22"/>
        </w:rPr>
        <w:t>Every child has something to say. Every child has something they are good at. But when you are growing up in a difficult environment, creativity is often the first thing that gets pushed aside — because survival takes priority. Bloom wants to bring it back.</w:t>
      </w:r>
      <w:r>
        <w:rPr>
          <w:rFonts w:hint="default" w:cs="Arial"/>
          <w:color w:val="4A4A4A"/>
          <w:sz w:val="22"/>
          <w:szCs w:val="22"/>
          <w:lang w:val="en-US"/>
        </w:rPr>
        <w:t xml:space="preserve"> </w:t>
      </w:r>
      <w:r>
        <w:rPr>
          <w:rFonts w:ascii="Arial" w:hAnsi="Arial" w:eastAsia="Arial" w:cs="Arial"/>
          <w:color w:val="4A4A4A"/>
          <w:sz w:val="22"/>
          <w:szCs w:val="22"/>
        </w:rPr>
        <w:t>We believe art, writing, storytelling, and performance are not just hobbies — they are tools for building identity, processing emotion, and connecting with others. For many of the children we work with, a creative workshop might be the first time anyone has ever asked them what they think, how they feel, or what they imagine.</w:t>
      </w:r>
    </w:p>
    <w:p w14:paraId="7D899A5B">
      <w:pPr>
        <w:spacing w:before="180" w:after="70"/>
      </w:pPr>
      <w:r>
        <w:rPr>
          <w:rFonts w:ascii="Arial" w:hAnsi="Arial" w:eastAsia="Arial" w:cs="Arial"/>
          <w:b/>
          <w:bCs/>
          <w:color w:val="4A3F6B"/>
          <w:sz w:val="22"/>
          <w:szCs w:val="22"/>
        </w:rPr>
        <w:t>Key Activities:</w:t>
      </w:r>
    </w:p>
    <w:p w14:paraId="63951417">
      <w:pPr>
        <w:pStyle w:val="16"/>
        <w:numPr>
          <w:ilvl w:val="0"/>
          <w:numId w:val="1"/>
        </w:numPr>
        <w:spacing w:before="50" w:after="50"/>
      </w:pPr>
      <w:r>
        <w:rPr>
          <w:rFonts w:ascii="Arial" w:hAnsi="Arial" w:eastAsia="Arial" w:cs="Arial"/>
          <w:color w:val="4A4A4A"/>
          <w:sz w:val="22"/>
          <w:szCs w:val="22"/>
        </w:rPr>
        <w:t>Art and craft workshops — painting, sketching, and making things with their hands — where the goal is not perfection but expression.</w:t>
      </w:r>
    </w:p>
    <w:p w14:paraId="02A7FC4C">
      <w:pPr>
        <w:pStyle w:val="16"/>
        <w:numPr>
          <w:ilvl w:val="0"/>
          <w:numId w:val="1"/>
        </w:numPr>
        <w:spacing w:before="50" w:after="50"/>
      </w:pPr>
      <w:r>
        <w:rPr>
          <w:rFonts w:ascii="Arial" w:hAnsi="Arial" w:eastAsia="Arial" w:cs="Arial"/>
          <w:color w:val="4A4A4A"/>
          <w:sz w:val="22"/>
          <w:szCs w:val="22"/>
        </w:rPr>
        <w:t>Creative writing and storytelling sessions where children write, share, and celebrate their own stories and ideas.</w:t>
      </w:r>
    </w:p>
    <w:p w14:paraId="0D617ED1">
      <w:pPr>
        <w:pStyle w:val="16"/>
        <w:numPr>
          <w:ilvl w:val="0"/>
          <w:numId w:val="1"/>
        </w:numPr>
        <w:spacing w:before="50" w:after="50"/>
      </w:pPr>
      <w:r>
        <w:rPr>
          <w:rFonts w:ascii="Arial" w:hAnsi="Arial" w:eastAsia="Arial" w:cs="Arial"/>
          <w:color w:val="4A4A4A"/>
          <w:sz w:val="22"/>
          <w:szCs w:val="22"/>
        </w:rPr>
        <w:t>Drama and theatre exercises that build confidence, empathy, and the ability to see the world through someone else's eyes.</w:t>
      </w:r>
    </w:p>
    <w:p w14:paraId="0328EE7C">
      <w:pPr>
        <w:pStyle w:val="16"/>
        <w:numPr>
          <w:ilvl w:val="0"/>
          <w:numId w:val="1"/>
        </w:numPr>
        <w:spacing w:before="50" w:after="50"/>
      </w:pPr>
      <w:r>
        <w:rPr>
          <w:rFonts w:ascii="Arial" w:hAnsi="Arial" w:eastAsia="Arial" w:cs="Arial"/>
          <w:color w:val="4A4A4A"/>
          <w:sz w:val="22"/>
          <w:szCs w:val="22"/>
        </w:rPr>
        <w:t>Talent showcases where children perform and present their work to a real audience — and feel what it means to be applauded.</w:t>
      </w:r>
    </w:p>
    <w:p w14:paraId="0C8BA547">
      <w:pPr>
        <w:spacing w:after="110"/>
      </w:pPr>
    </w:p>
    <w:p w14:paraId="348E2CE4">
      <w:pPr>
        <w:spacing w:before="60" w:after="100"/>
      </w:pPr>
      <w:r>
        <w:rPr>
          <w:rFonts w:ascii="Arial" w:hAnsi="Arial" w:eastAsia="Arial" w:cs="Arial"/>
          <w:b/>
          <w:bCs/>
          <w:color w:val="7B6FA0"/>
          <w:sz w:val="22"/>
          <w:szCs w:val="22"/>
        </w:rPr>
        <w:t>Goal: Give every child a stage, a canvas, or a page — and the confidence to fill it.</w:t>
      </w:r>
    </w:p>
    <w:p w14:paraId="7E7E05EB">
      <w:pPr>
        <w:pBdr>
          <w:left w:val="single" w:color="F9E4D4" w:sz="20" w:space="8"/>
        </w:pBdr>
        <w:shd w:val="clear" w:fill="F0EBF8"/>
        <w:spacing w:before="0" w:after="0"/>
        <w:ind w:left="200"/>
      </w:pPr>
      <w:r>
        <w:rPr>
          <w:rFonts w:ascii="Georgia" w:hAnsi="Georgia" w:eastAsia="Georgia" w:cs="Georgia"/>
          <w:b/>
          <w:bCs/>
          <w:color w:val="4A3F6B"/>
          <w:sz w:val="26"/>
          <w:szCs w:val="26"/>
        </w:rPr>
        <w:t>04  ·  Women Empowerment &amp; Gender Equality</w:t>
      </w:r>
    </w:p>
    <w:p w14:paraId="7D84C749">
      <w:pPr>
        <w:spacing w:after="110"/>
      </w:pPr>
    </w:p>
    <w:p w14:paraId="239BE83C">
      <w:pPr>
        <w:spacing w:before="60" w:after="100"/>
      </w:pPr>
      <w:r>
        <w:rPr>
          <w:rFonts w:ascii="Arial" w:hAnsi="Arial" w:eastAsia="Arial" w:cs="Arial"/>
          <w:color w:val="4A4A4A"/>
          <w:sz w:val="22"/>
          <w:szCs w:val="22"/>
        </w:rPr>
        <w:t>This is something we feel strongly about. In many of the communities we plan to work in, girls face additional and deeply unfair barriers — they are pulled out of school earlier, given fewer opportunities, and told in countless ways that their ambitions don't matter as much. We refuse to accept that.</w:t>
      </w:r>
    </w:p>
    <w:p w14:paraId="3965AD59">
      <w:pPr>
        <w:spacing w:before="180" w:after="70"/>
      </w:pPr>
      <w:r>
        <w:rPr>
          <w:rFonts w:ascii="Arial" w:hAnsi="Arial" w:eastAsia="Arial" w:cs="Arial"/>
          <w:b/>
          <w:bCs/>
          <w:color w:val="4A3F6B"/>
          <w:sz w:val="22"/>
          <w:szCs w:val="22"/>
        </w:rPr>
        <w:t>Key Activities:</w:t>
      </w:r>
    </w:p>
    <w:p w14:paraId="53D23CE6">
      <w:pPr>
        <w:pStyle w:val="16"/>
        <w:numPr>
          <w:ilvl w:val="0"/>
          <w:numId w:val="1"/>
        </w:numPr>
        <w:spacing w:before="50" w:after="50"/>
      </w:pPr>
      <w:r>
        <w:rPr>
          <w:rFonts w:ascii="Arial" w:hAnsi="Arial" w:eastAsia="Arial" w:cs="Arial"/>
          <w:color w:val="4A4A4A"/>
          <w:sz w:val="22"/>
          <w:szCs w:val="22"/>
        </w:rPr>
        <w:t>Gender sensitization workshops for both boys and girls — because equality is everyone's responsibility, not just the girls' to fight for.</w:t>
      </w:r>
    </w:p>
    <w:p w14:paraId="45E2346C">
      <w:pPr>
        <w:pStyle w:val="16"/>
        <w:numPr>
          <w:ilvl w:val="0"/>
          <w:numId w:val="1"/>
        </w:numPr>
        <w:spacing w:before="50" w:after="50"/>
      </w:pPr>
      <w:r>
        <w:rPr>
          <w:rFonts w:ascii="Arial" w:hAnsi="Arial" w:eastAsia="Arial" w:cs="Arial"/>
          <w:color w:val="4A4A4A"/>
          <w:sz w:val="22"/>
          <w:szCs w:val="22"/>
        </w:rPr>
        <w:t>Menstrual health and hygiene education — sensitive, age-appropriate, and aimed at breaking taboos that hold girls back from attending school.</w:t>
      </w:r>
    </w:p>
    <w:p w14:paraId="1A8A3A37">
      <w:pPr>
        <w:pStyle w:val="16"/>
        <w:numPr>
          <w:ilvl w:val="0"/>
          <w:numId w:val="1"/>
        </w:numPr>
        <w:spacing w:before="50" w:after="50"/>
      </w:pPr>
      <w:r>
        <w:rPr>
          <w:rFonts w:ascii="Arial" w:hAnsi="Arial" w:eastAsia="Arial" w:cs="Arial"/>
          <w:color w:val="4A4A4A"/>
          <w:sz w:val="22"/>
          <w:szCs w:val="22"/>
        </w:rPr>
        <w:t>Girls' leadership sessions and mentorship that specifically help young women build confidence, voice their aspirations, and see themselves as leaders.</w:t>
      </w:r>
    </w:p>
    <w:p w14:paraId="50CB7705">
      <w:pPr>
        <w:pStyle w:val="16"/>
        <w:numPr>
          <w:ilvl w:val="0"/>
          <w:numId w:val="1"/>
        </w:numPr>
        <w:spacing w:before="50" w:after="50"/>
      </w:pPr>
      <w:r>
        <w:rPr>
          <w:rFonts w:ascii="Arial" w:hAnsi="Arial" w:eastAsia="Arial" w:cs="Arial"/>
          <w:color w:val="4A4A4A"/>
          <w:sz w:val="22"/>
          <w:szCs w:val="22"/>
        </w:rPr>
        <w:t>Community awareness outreach to families and local communities about the importance of girls' education and equal opportunity.</w:t>
      </w:r>
    </w:p>
    <w:p w14:paraId="5A6067A5">
      <w:pPr>
        <w:pStyle w:val="16"/>
        <w:numPr>
          <w:ilvl w:val="0"/>
          <w:numId w:val="1"/>
        </w:numPr>
        <w:spacing w:before="50" w:after="50"/>
      </w:pPr>
      <w:r>
        <w:rPr>
          <w:rFonts w:ascii="Arial" w:hAnsi="Arial" w:eastAsia="Arial" w:cs="Arial"/>
          <w:color w:val="4A4A4A"/>
          <w:sz w:val="22"/>
          <w:szCs w:val="22"/>
        </w:rPr>
        <w:t>Sanitary product and hygiene kit donation drives — practical, dignified, and genuinely impactful.</w:t>
      </w:r>
    </w:p>
    <w:p w14:paraId="5E1A4D21">
      <w:pPr>
        <w:spacing w:before="60" w:after="100"/>
      </w:pPr>
      <w:r>
        <w:rPr>
          <w:rFonts w:ascii="Arial" w:hAnsi="Arial" w:eastAsia="Arial" w:cs="Arial"/>
          <w:b/>
          <w:bCs/>
          <w:color w:val="7B6FA0"/>
          <w:sz w:val="22"/>
          <w:szCs w:val="22"/>
        </w:rPr>
        <w:t>Goal: Ensure that every girl we reach knows that her education, her confidence, and her future are just as important as anyone else's.</w:t>
      </w:r>
    </w:p>
    <w:p w14:paraId="103EB0DF">
      <w:pPr>
        <w:spacing w:after="220"/>
      </w:pPr>
    </w:p>
    <w:p w14:paraId="038B9CA1">
      <w:pPr>
        <w:pBdr>
          <w:left w:val="single" w:color="B8D8EA" w:sz="20" w:space="8"/>
        </w:pBdr>
        <w:shd w:val="clear" w:fill="F0EBF8"/>
        <w:spacing w:before="0" w:after="0"/>
        <w:ind w:firstLine="130" w:firstLineChars="50"/>
      </w:pPr>
      <w:r>
        <w:rPr>
          <w:rFonts w:ascii="Georgia" w:hAnsi="Georgia" w:eastAsia="Georgia" w:cs="Georgia"/>
          <w:b/>
          <w:bCs/>
          <w:color w:val="4A3F6B"/>
          <w:sz w:val="26"/>
          <w:szCs w:val="26"/>
        </w:rPr>
        <w:t>05  ·  Community Care &amp; Awareness</w:t>
      </w:r>
    </w:p>
    <w:p w14:paraId="7103A845">
      <w:pPr>
        <w:spacing w:after="110"/>
      </w:pPr>
    </w:p>
    <w:p w14:paraId="743B8479">
      <w:pPr>
        <w:spacing w:before="60" w:after="100"/>
      </w:pPr>
      <w:r>
        <w:rPr>
          <w:rFonts w:ascii="Arial" w:hAnsi="Arial" w:eastAsia="Arial" w:cs="Arial"/>
          <w:color w:val="4A4A4A"/>
          <w:sz w:val="22"/>
          <w:szCs w:val="22"/>
        </w:rPr>
        <w:t>We know that a child's wellbeing does not exist in isolation — it is shaped by the family they come from, the community they live in, and the environment around them. So while our primary focus is on individual children, we also work at the community level to create a wider ecosystem of care.</w:t>
      </w:r>
    </w:p>
    <w:p w14:paraId="4A320513">
      <w:pPr>
        <w:spacing w:before="180" w:after="70"/>
      </w:pPr>
      <w:r>
        <w:rPr>
          <w:rFonts w:ascii="Arial" w:hAnsi="Arial" w:eastAsia="Arial" w:cs="Arial"/>
          <w:b/>
          <w:bCs/>
          <w:color w:val="4A3F6B"/>
          <w:sz w:val="22"/>
          <w:szCs w:val="22"/>
        </w:rPr>
        <w:t>Key Activities:</w:t>
      </w:r>
    </w:p>
    <w:p w14:paraId="7E25728F">
      <w:pPr>
        <w:pStyle w:val="16"/>
        <w:numPr>
          <w:ilvl w:val="0"/>
          <w:numId w:val="1"/>
        </w:numPr>
        <w:spacing w:before="50" w:after="50"/>
      </w:pPr>
      <w:r>
        <w:rPr>
          <w:rFonts w:ascii="Arial" w:hAnsi="Arial" w:eastAsia="Arial" w:cs="Arial"/>
          <w:color w:val="4A4A4A"/>
          <w:sz w:val="22"/>
          <w:szCs w:val="22"/>
        </w:rPr>
        <w:t>Donation camps and drives — collecting clothes, food, books, stationery, toys, and other essentials from those who can give, and distributing them to those who need. This community-to-community model is central to how Bloom operates sustainably.</w:t>
      </w:r>
    </w:p>
    <w:p w14:paraId="04CC2057">
      <w:pPr>
        <w:pStyle w:val="16"/>
        <w:numPr>
          <w:ilvl w:val="0"/>
          <w:numId w:val="1"/>
        </w:numPr>
        <w:spacing w:before="50" w:after="50"/>
      </w:pPr>
      <w:r>
        <w:rPr>
          <w:rFonts w:ascii="Arial" w:hAnsi="Arial" w:eastAsia="Arial" w:cs="Arial"/>
          <w:color w:val="4A4A4A"/>
          <w:sz w:val="22"/>
          <w:szCs w:val="22"/>
        </w:rPr>
        <w:t>Awareness campaigns on topics like child rights, mental health, anti-bullying, hygiene, environmental responsibility, and civic responsibility.</w:t>
      </w:r>
    </w:p>
    <w:p w14:paraId="42F67F81">
      <w:pPr>
        <w:pStyle w:val="16"/>
        <w:numPr>
          <w:ilvl w:val="0"/>
          <w:numId w:val="1"/>
        </w:numPr>
        <w:spacing w:before="50" w:after="50"/>
      </w:pPr>
      <w:r>
        <w:rPr>
          <w:rFonts w:ascii="Arial" w:hAnsi="Arial" w:eastAsia="Arial" w:cs="Arial"/>
          <w:color w:val="4A4A4A"/>
          <w:sz w:val="22"/>
          <w:szCs w:val="22"/>
        </w:rPr>
        <w:t>Volunteer outreach visits to government schools, shelter homes, and community centres.</w:t>
      </w:r>
    </w:p>
    <w:p w14:paraId="0BB95AE2">
      <w:pPr>
        <w:pStyle w:val="16"/>
        <w:numPr>
          <w:ilvl w:val="0"/>
          <w:numId w:val="1"/>
        </w:numPr>
        <w:spacing w:before="50" w:after="50"/>
      </w:pPr>
      <w:r>
        <w:rPr>
          <w:rFonts w:ascii="Arial" w:hAnsi="Arial" w:eastAsia="Arial" w:cs="Arial"/>
          <w:color w:val="4A4A4A"/>
          <w:sz w:val="22"/>
          <w:szCs w:val="22"/>
        </w:rPr>
        <w:t>Health and nutrition awareness sessions for children and families — because learning is hard when you are unwell or underfed.</w:t>
      </w:r>
    </w:p>
    <w:p w14:paraId="3EC32271">
      <w:pPr>
        <w:spacing w:before="60" w:after="100"/>
      </w:pPr>
      <w:r>
        <w:rPr>
          <w:rFonts w:ascii="Arial" w:hAnsi="Arial" w:eastAsia="Arial" w:cs="Arial"/>
          <w:b/>
          <w:bCs/>
          <w:color w:val="7B6FA0"/>
          <w:sz w:val="22"/>
          <w:szCs w:val="22"/>
        </w:rPr>
        <w:t>Goal: Create communities where more people are looking out for each other — and where the act of giving becomes a habit, not an event.</w:t>
      </w:r>
    </w:p>
    <w:p w14:paraId="6701D608">
      <w:r>
        <w:rPr>
          <w:rFonts w:ascii="Georgia" w:hAnsi="Georgia" w:eastAsia="Georgia" w:cs="Georgia"/>
          <w:b/>
          <w:bCs/>
          <w:color w:val="4A3F6B"/>
          <w:sz w:val="38"/>
          <w:szCs w:val="38"/>
        </w:rPr>
        <w:t>5. How Bloom Operates</w:t>
      </w:r>
    </w:p>
    <w:p w14:paraId="7BCE9E96">
      <w:pPr>
        <w:spacing w:before="260" w:after="100"/>
      </w:pPr>
      <w:r>
        <w:rPr>
          <w:rFonts w:ascii="Georgia" w:hAnsi="Georgia" w:eastAsia="Georgia" w:cs="Georgia"/>
          <w:b/>
          <w:bCs/>
          <w:color w:val="7B6FA0"/>
          <w:sz w:val="26"/>
          <w:szCs w:val="26"/>
        </w:rPr>
        <w:t>5.1 The Donation Camp Model</w:t>
      </w:r>
    </w:p>
    <w:p w14:paraId="24C0FFC7">
      <w:pPr>
        <w:spacing w:before="60" w:after="100"/>
      </w:pPr>
      <w:r>
        <w:rPr>
          <w:rFonts w:ascii="Arial" w:hAnsi="Arial" w:eastAsia="Arial" w:cs="Arial"/>
          <w:color w:val="4A4A4A"/>
          <w:sz w:val="22"/>
          <w:szCs w:val="22"/>
        </w:rPr>
        <w:t>One of the things we are most proud of in Bloom's design is our Donation Camp model. As students, we are deeply aware that financial resources are limited. We cannot run a large-scale operation by simply spending money we don't have. So we built our model around community generosity instead.</w:t>
      </w:r>
    </w:p>
    <w:p w14:paraId="4BC68F61">
      <w:pPr>
        <w:spacing w:before="60" w:after="100"/>
        <w:rPr>
          <w:rFonts w:ascii="Arial" w:hAnsi="Arial" w:eastAsia="Arial" w:cs="Arial"/>
          <w:color w:val="4A4A4A"/>
          <w:sz w:val="22"/>
          <w:szCs w:val="22"/>
        </w:rPr>
      </w:pPr>
      <w:r>
        <w:rPr>
          <w:rFonts w:ascii="Arial" w:hAnsi="Arial" w:eastAsia="Arial" w:cs="Arial"/>
          <w:color w:val="4A4A4A"/>
          <w:sz w:val="22"/>
          <w:szCs w:val="22"/>
        </w:rPr>
        <w:t>Donation Camps are organized events — held at school, in neighbourhoods, or online — where students, teachers, families, and community members can contribute items they no longer need. This includes used notebooks with blank pages remaining, old textbooks, pens, pencils, geometry sets, rulers, story books, fiction novels, clothes, and other essentials. These items are collected, sorted by our volunteer team, and then distributed thoughtfully to the children and communities we serve.</w:t>
      </w:r>
      <w:r>
        <w:rPr>
          <w:rFonts w:hint="default" w:cs="Arial"/>
          <w:color w:val="4A4A4A"/>
          <w:sz w:val="22"/>
          <w:szCs w:val="22"/>
          <w:lang w:val="en-US"/>
        </w:rPr>
        <w:t xml:space="preserve"> </w:t>
      </w:r>
      <w:r>
        <w:rPr>
          <w:rFonts w:ascii="Arial" w:hAnsi="Arial" w:eastAsia="Arial" w:cs="Arial"/>
          <w:color w:val="4A4A4A"/>
          <w:sz w:val="22"/>
          <w:szCs w:val="22"/>
        </w:rPr>
        <w:t>This model works on multiple levels. It reduces waste. It involves the broader community in our mission. It teaches the act of giving to those who donate. And it ensures that Bloom's operations remain sustainable without placing a financial burden on anyone. The children who receive these items get what they need. The people who donate feel the satisfaction of contributing to something real. And Bloom gets to keep running — responsibly and meaningfully.</w:t>
      </w:r>
    </w:p>
    <w:p w14:paraId="44B263AE">
      <w:pPr>
        <w:spacing w:before="60" w:after="100"/>
      </w:pPr>
      <w:r>
        <w:rPr>
          <w:rFonts w:ascii="Georgia" w:hAnsi="Georgia" w:eastAsia="Georgia" w:cs="Georgia"/>
          <w:b/>
          <w:bCs/>
          <w:color w:val="7B6FA0"/>
          <w:sz w:val="26"/>
          <w:szCs w:val="26"/>
        </w:rPr>
        <w:t>5.2 Our Volunteer Model</w:t>
      </w:r>
    </w:p>
    <w:p w14:paraId="057D7D24">
      <w:pPr>
        <w:spacing w:before="60" w:after="100"/>
      </w:pPr>
      <w:r>
        <w:rPr>
          <w:rFonts w:ascii="Arial" w:hAnsi="Arial" w:eastAsia="Arial" w:cs="Arial"/>
          <w:color w:val="4A4A4A"/>
          <w:sz w:val="22"/>
          <w:szCs w:val="22"/>
        </w:rPr>
        <w:t>Bloom runs entirely on voluntary effort. Every student who joins Bloom does so because they genuinely want to — not for credit, not for a line on a CV, but because they believe in what we are doing. That said, we do want our volunteers to feel valued, recognized, and supported throughout their time with us.</w:t>
      </w:r>
    </w:p>
    <w:p w14:paraId="7171D105">
      <w:pPr>
        <w:pStyle w:val="16"/>
        <w:numPr>
          <w:ilvl w:val="0"/>
          <w:numId w:val="1"/>
        </w:numPr>
        <w:spacing w:before="50" w:after="50"/>
      </w:pPr>
      <w:r>
        <w:rPr>
          <w:rFonts w:ascii="Arial" w:hAnsi="Arial" w:eastAsia="Arial" w:cs="Arial"/>
          <w:color w:val="4A4A4A"/>
          <w:sz w:val="22"/>
          <w:szCs w:val="22"/>
        </w:rPr>
        <w:t>All volunteers receive a proper orientation before they are deployed on any program.</w:t>
      </w:r>
    </w:p>
    <w:p w14:paraId="6E6B7E88">
      <w:pPr>
        <w:pStyle w:val="16"/>
        <w:numPr>
          <w:ilvl w:val="0"/>
          <w:numId w:val="1"/>
        </w:numPr>
        <w:spacing w:before="50" w:after="50"/>
      </w:pPr>
      <w:r>
        <w:rPr>
          <w:rFonts w:ascii="Arial" w:hAnsi="Arial" w:eastAsia="Arial" w:cs="Arial"/>
          <w:color w:val="4A4A4A"/>
          <w:sz w:val="22"/>
          <w:szCs w:val="22"/>
        </w:rPr>
        <w:t>Volunteers are matched to roles based on their strengths, interests, and availability.</w:t>
      </w:r>
    </w:p>
    <w:p w14:paraId="12298F5F">
      <w:pPr>
        <w:pStyle w:val="16"/>
        <w:numPr>
          <w:ilvl w:val="0"/>
          <w:numId w:val="1"/>
        </w:numPr>
        <w:spacing w:before="50" w:after="50"/>
      </w:pPr>
      <w:r>
        <w:rPr>
          <w:rFonts w:ascii="Arial" w:hAnsi="Arial" w:eastAsia="Arial" w:cs="Arial"/>
          <w:color w:val="4A4A4A"/>
          <w:sz w:val="22"/>
          <w:szCs w:val="22"/>
        </w:rPr>
        <w:t>We maintain records of volunteer hours and contributions, and issue formal certificates of appreciation.</w:t>
      </w:r>
    </w:p>
    <w:p w14:paraId="3C460D1C">
      <w:pPr>
        <w:pStyle w:val="16"/>
        <w:numPr>
          <w:ilvl w:val="0"/>
          <w:numId w:val="1"/>
        </w:numPr>
        <w:spacing w:before="50" w:after="50"/>
      </w:pPr>
      <w:r>
        <w:rPr>
          <w:rFonts w:ascii="Arial" w:hAnsi="Arial" w:eastAsia="Arial" w:cs="Arial"/>
          <w:color w:val="4A4A4A"/>
          <w:sz w:val="22"/>
          <w:szCs w:val="22"/>
        </w:rPr>
        <w:t>We actively create a team culture that is warm, encouraging, and collaborative — because Bloom should be a great experience for everyone involved, not just those we serve.</w:t>
      </w:r>
    </w:p>
    <w:p w14:paraId="43091283">
      <w:pPr>
        <w:spacing w:after="110"/>
      </w:pPr>
    </w:p>
    <w:p w14:paraId="2CB2884D">
      <w:pPr>
        <w:spacing w:before="260" w:after="100"/>
      </w:pPr>
      <w:r>
        <w:rPr>
          <w:rFonts w:ascii="Georgia" w:hAnsi="Georgia" w:eastAsia="Georgia" w:cs="Georgia"/>
          <w:b/>
          <w:bCs/>
          <w:color w:val="7B6FA0"/>
          <w:sz w:val="26"/>
          <w:szCs w:val="26"/>
        </w:rPr>
        <w:t>5.3 Keeping It Cost-Effective</w:t>
      </w:r>
    </w:p>
    <w:p w14:paraId="21346D9B">
      <w:pPr>
        <w:spacing w:before="60" w:after="100"/>
      </w:pPr>
      <w:r>
        <w:rPr>
          <w:rFonts w:ascii="Arial" w:hAnsi="Arial" w:eastAsia="Arial" w:cs="Arial"/>
          <w:color w:val="4A4A4A"/>
          <w:sz w:val="22"/>
          <w:szCs w:val="22"/>
        </w:rPr>
        <w:t>We have thought carefully about how to run Bloom without requiring large amounts of money. Our strategy includes:</w:t>
      </w:r>
    </w:p>
    <w:p w14:paraId="7154609F">
      <w:pPr>
        <w:pStyle w:val="16"/>
        <w:numPr>
          <w:ilvl w:val="0"/>
          <w:numId w:val="1"/>
        </w:numPr>
        <w:spacing w:before="50" w:after="50"/>
      </w:pPr>
      <w:r>
        <w:rPr>
          <w:rFonts w:ascii="Arial" w:hAnsi="Arial" w:eastAsia="Arial" w:cs="Arial"/>
          <w:color w:val="4A4A4A"/>
          <w:sz w:val="22"/>
          <w:szCs w:val="22"/>
        </w:rPr>
        <w:t>Donation camps as our primary resource collection method — keeping material costs close to zero.</w:t>
      </w:r>
    </w:p>
    <w:p w14:paraId="351DBA7C">
      <w:pPr>
        <w:pStyle w:val="16"/>
        <w:numPr>
          <w:ilvl w:val="0"/>
          <w:numId w:val="1"/>
        </w:numPr>
        <w:spacing w:before="50" w:after="50"/>
      </w:pPr>
      <w:r>
        <w:rPr>
          <w:rFonts w:ascii="Arial" w:hAnsi="Arial" w:eastAsia="Arial" w:cs="Arial"/>
          <w:color w:val="4A4A4A"/>
          <w:sz w:val="22"/>
          <w:szCs w:val="22"/>
        </w:rPr>
        <w:t>Using school facilities and community spaces for sessions and events wherever possible.</w:t>
      </w:r>
    </w:p>
    <w:p w14:paraId="72ADDF48">
      <w:pPr>
        <w:pStyle w:val="16"/>
        <w:numPr>
          <w:ilvl w:val="0"/>
          <w:numId w:val="1"/>
        </w:numPr>
        <w:spacing w:before="50" w:after="50"/>
      </w:pPr>
      <w:r>
        <w:rPr>
          <w:rFonts w:ascii="Arial" w:hAnsi="Arial" w:eastAsia="Arial" w:cs="Arial"/>
          <w:color w:val="4A4A4A"/>
          <w:sz w:val="22"/>
          <w:szCs w:val="22"/>
        </w:rPr>
        <w:t>Leveraging digital tools — social media, free design platforms, online communication — to keep operational costs minimal.</w:t>
      </w:r>
    </w:p>
    <w:p w14:paraId="553C767B">
      <w:pPr>
        <w:pStyle w:val="16"/>
        <w:numPr>
          <w:ilvl w:val="0"/>
          <w:numId w:val="1"/>
        </w:numPr>
        <w:spacing w:before="50" w:after="50"/>
      </w:pPr>
      <w:r>
        <w:rPr>
          <w:rFonts w:ascii="Arial" w:hAnsi="Arial" w:eastAsia="Arial" w:cs="Arial"/>
          <w:color w:val="4A4A4A"/>
          <w:sz w:val="22"/>
          <w:szCs w:val="22"/>
        </w:rPr>
        <w:t>Partnering with other student groups, local organizations, and institutions who share our values and can contribute resources or support in kind.</w:t>
      </w:r>
    </w:p>
    <w:p w14:paraId="3E61FA2C">
      <w:pPr>
        <w:pStyle w:val="16"/>
        <w:numPr>
          <w:ilvl w:val="0"/>
          <w:numId w:val="1"/>
        </w:numPr>
        <w:spacing w:before="50" w:after="50"/>
      </w:pPr>
      <w:r>
        <w:rPr>
          <w:rFonts w:ascii="Arial" w:hAnsi="Arial" w:eastAsia="Arial" w:cs="Arial"/>
          <w:color w:val="4A4A4A"/>
          <w:sz w:val="22"/>
          <w:szCs w:val="22"/>
        </w:rPr>
        <w:t>Running small fundraising campaigns when needed — bake sales, awareness events, crowdfunding — to cover any necessary costs.</w:t>
      </w:r>
    </w:p>
    <w:p w14:paraId="7982836E">
      <w:pPr>
        <w:spacing w:after="220"/>
      </w:pPr>
    </w:p>
    <w:p w14:paraId="362C6FD8">
      <w:r>
        <w:rPr>
          <w:rFonts w:ascii="Georgia" w:hAnsi="Georgia" w:eastAsia="Georgia" w:cs="Georgia"/>
          <w:b/>
          <w:bCs/>
          <w:color w:val="4A3F6B"/>
          <w:sz w:val="38"/>
          <w:szCs w:val="38"/>
        </w:rPr>
        <w:t>6. Our Plan — Phase by Phase</w:t>
      </w:r>
    </w:p>
    <w:p w14:paraId="00BEDCAB">
      <w:pPr>
        <w:pBdr>
          <w:bottom w:val="single" w:color="C3B1E1" w:sz="6" w:space="1"/>
        </w:pBdr>
        <w:spacing w:before="140" w:after="180"/>
      </w:pPr>
    </w:p>
    <w:p w14:paraId="525AB1BE">
      <w:pPr>
        <w:spacing w:before="60" w:after="100"/>
      </w:pPr>
      <w:r>
        <w:rPr>
          <w:rFonts w:ascii="Arial" w:hAnsi="Arial" w:eastAsia="Arial" w:cs="Arial"/>
          <w:color w:val="4A4A4A"/>
          <w:sz w:val="22"/>
          <w:szCs w:val="22"/>
        </w:rPr>
        <w:t>We want to be honest: Bloom is just beginning. But we have a clear, realistic plan for how we intend to grow — step by step, phase by phase, without overreaching or overpromising.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14:paraId="1C52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7B6FA0" w:sz="0" w:space="0"/>
              <w:left w:val="single" w:color="7B6FA0" w:sz="0" w:space="0"/>
              <w:bottom w:val="single" w:color="7B6FA0" w:sz="0" w:space="0"/>
              <w:right w:val="single" w:color="7B6FA0" w:sz="0" w:space="0"/>
            </w:tcBorders>
            <w:shd w:val="clear" w:color="auto" w:fill="4A3F6B"/>
            <w:tcMar>
              <w:top w:w="100" w:type="dxa"/>
              <w:left w:w="150" w:type="dxa"/>
              <w:bottom w:w="100" w:type="dxa"/>
              <w:right w:w="150" w:type="dxa"/>
            </w:tcMar>
          </w:tcPr>
          <w:p w14:paraId="5B977211">
            <w:r>
              <w:rPr>
                <w:rFonts w:ascii="Arial" w:hAnsi="Arial" w:eastAsia="Arial" w:cs="Arial"/>
                <w:b/>
                <w:bCs/>
                <w:color w:val="FFFFFF"/>
                <w:sz w:val="20"/>
                <w:szCs w:val="20"/>
              </w:rPr>
              <w:t>Phase</w:t>
            </w:r>
          </w:p>
        </w:tc>
        <w:tc>
          <w:tcPr>
            <w:tcW w:w="6800" w:type="dxa"/>
            <w:tcBorders>
              <w:top w:val="single" w:color="7B6FA0" w:sz="0" w:space="0"/>
              <w:left w:val="single" w:color="7B6FA0" w:sz="0" w:space="0"/>
              <w:bottom w:val="single" w:color="7B6FA0" w:sz="0" w:space="0"/>
              <w:right w:val="single" w:color="7B6FA0" w:sz="0" w:space="0"/>
            </w:tcBorders>
            <w:shd w:val="clear" w:color="auto" w:fill="4A3F6B"/>
            <w:tcMar>
              <w:top w:w="100" w:type="dxa"/>
              <w:left w:w="150" w:type="dxa"/>
              <w:bottom w:w="100" w:type="dxa"/>
              <w:right w:w="150" w:type="dxa"/>
            </w:tcMar>
          </w:tcPr>
          <w:p w14:paraId="2452395E">
            <w:r>
              <w:rPr>
                <w:rFonts w:ascii="Arial" w:hAnsi="Arial" w:eastAsia="Arial" w:cs="Arial"/>
                <w:b/>
                <w:bCs/>
                <w:color w:val="FFFFFF"/>
                <w:sz w:val="20"/>
                <w:szCs w:val="20"/>
              </w:rPr>
              <w:t>What We Plan to Do</w:t>
            </w:r>
          </w:p>
        </w:tc>
      </w:tr>
      <w:tr w14:paraId="6063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4C2C2"/>
            <w:tcMar>
              <w:top w:w="130" w:type="dxa"/>
              <w:left w:w="150" w:type="dxa"/>
              <w:bottom w:w="130" w:type="dxa"/>
              <w:right w:w="150" w:type="dxa"/>
            </w:tcMar>
            <w:vAlign w:val="center"/>
          </w:tcPr>
          <w:p w14:paraId="3113C078">
            <w:pPr>
              <w:jc w:val="center"/>
            </w:pPr>
            <w:r>
              <w:rPr>
                <w:rFonts w:ascii="Arial" w:hAnsi="Arial" w:eastAsia="Arial" w:cs="Arial"/>
                <w:b/>
                <w:bCs/>
                <w:color w:val="4A3F6B"/>
                <w:sz w:val="22"/>
                <w:szCs w:val="22"/>
              </w:rPr>
              <w:t>Phase 1</w:t>
            </w:r>
          </w:p>
          <w:p w14:paraId="0A4C76BB">
            <w:pPr>
              <w:jc w:val="center"/>
            </w:pPr>
            <w:r>
              <w:rPr>
                <w:rFonts w:ascii="Arial" w:hAnsi="Arial" w:eastAsia="Arial" w:cs="Arial"/>
                <w:i/>
                <w:iCs/>
                <w:color w:val="7B6FA0"/>
                <w:sz w:val="19"/>
                <w:szCs w:val="19"/>
              </w:rPr>
              <w:t>Foundation</w:t>
            </w:r>
          </w:p>
          <w:p w14:paraId="5408ECB3">
            <w:pPr>
              <w:jc w:val="center"/>
            </w:pPr>
            <w:r>
              <w:rPr>
                <w:rFonts w:ascii="Arial" w:hAnsi="Arial" w:eastAsia="Arial" w:cs="Arial"/>
                <w:color w:val="777777"/>
                <w:sz w:val="18"/>
                <w:szCs w:val="18"/>
              </w:rPr>
              <w:t>Months 1–3</w:t>
            </w:r>
          </w:p>
        </w:tc>
        <w:tc>
          <w:tcPr>
            <w:tcW w:w="6800" w:type="dxa"/>
            <w:tcBorders>
              <w:top w:val="single" w:color="DDDDDD" w:sz="0" w:space="0"/>
              <w:left w:val="single" w:color="DDDDDD" w:sz="0" w:space="0"/>
              <w:bottom w:val="single" w:color="DDDDDD" w:sz="0" w:space="0"/>
              <w:right w:val="single" w:color="DDDDDD" w:sz="0" w:space="0"/>
            </w:tcBorders>
            <w:tcMar>
              <w:top w:w="120" w:type="dxa"/>
              <w:left w:w="160" w:type="dxa"/>
              <w:bottom w:w="120" w:type="dxa"/>
              <w:right w:w="160" w:type="dxa"/>
            </w:tcMar>
          </w:tcPr>
          <w:p w14:paraId="075CE6B6">
            <w:pPr>
              <w:spacing w:after="50"/>
            </w:pPr>
            <w:r>
              <w:rPr>
                <w:rFonts w:ascii="Arial" w:hAnsi="Arial" w:eastAsia="Arial" w:cs="Arial"/>
                <w:i/>
                <w:iCs/>
                <w:color w:val="4A4A4A"/>
                <w:sz w:val="21"/>
                <w:szCs w:val="21"/>
              </w:rPr>
              <w:t>Get Bloom formally set up and run our very first activities.</w:t>
            </w:r>
          </w:p>
          <w:p w14:paraId="3D255138">
            <w:pPr>
              <w:pStyle w:val="16"/>
              <w:numPr>
                <w:ilvl w:val="0"/>
                <w:numId w:val="1"/>
              </w:numPr>
              <w:spacing w:before="35" w:after="35"/>
            </w:pPr>
            <w:r>
              <w:rPr>
                <w:rFonts w:ascii="Arial" w:hAnsi="Arial" w:eastAsia="Arial" w:cs="Arial"/>
                <w:color w:val="4A4A4A"/>
                <w:sz w:val="20"/>
                <w:szCs w:val="20"/>
              </w:rPr>
              <w:t>Finalize the founding team and confirm everyone's role.</w:t>
            </w:r>
          </w:p>
          <w:p w14:paraId="41176D73">
            <w:pPr>
              <w:pStyle w:val="16"/>
              <w:numPr>
                <w:ilvl w:val="0"/>
                <w:numId w:val="1"/>
              </w:numPr>
              <w:spacing w:before="35" w:after="35"/>
            </w:pPr>
            <w:r>
              <w:rPr>
                <w:rFonts w:ascii="Arial" w:hAnsi="Arial" w:eastAsia="Arial" w:cs="Arial"/>
                <w:color w:val="4A4A4A"/>
                <w:sz w:val="20"/>
                <w:szCs w:val="20"/>
              </w:rPr>
              <w:t>Draft Bloom's founding documents — purpose, structure, and guidelines.</w:t>
            </w:r>
          </w:p>
          <w:p w14:paraId="563A9362">
            <w:pPr>
              <w:pStyle w:val="16"/>
              <w:numPr>
                <w:ilvl w:val="0"/>
                <w:numId w:val="1"/>
              </w:numPr>
              <w:spacing w:before="35" w:after="35"/>
            </w:pPr>
            <w:r>
              <w:rPr>
                <w:rFonts w:ascii="Arial" w:hAnsi="Arial" w:eastAsia="Arial" w:cs="Arial"/>
                <w:color w:val="4A4A4A"/>
                <w:sz w:val="20"/>
                <w:szCs w:val="20"/>
              </w:rPr>
              <w:t>Set up our digital presence — Instagram, LinkedIn, and a shared email.</w:t>
            </w:r>
          </w:p>
          <w:p w14:paraId="3CA4584A">
            <w:pPr>
              <w:pStyle w:val="16"/>
              <w:numPr>
                <w:ilvl w:val="0"/>
                <w:numId w:val="1"/>
              </w:numPr>
              <w:spacing w:before="35" w:after="35"/>
            </w:pPr>
            <w:r>
              <w:rPr>
                <w:rFonts w:ascii="Arial" w:hAnsi="Arial" w:eastAsia="Arial" w:cs="Arial"/>
                <w:color w:val="4A4A4A"/>
                <w:sz w:val="20"/>
                <w:szCs w:val="20"/>
              </w:rPr>
              <w:t>Design our brand identity — logo (already done!), colour scheme, and templates.</w:t>
            </w:r>
          </w:p>
          <w:p w14:paraId="690EAB56">
            <w:pPr>
              <w:pStyle w:val="16"/>
              <w:numPr>
                <w:ilvl w:val="0"/>
                <w:numId w:val="1"/>
              </w:numPr>
              <w:spacing w:before="35" w:after="35"/>
            </w:pPr>
            <w:r>
              <w:rPr>
                <w:rFonts w:ascii="Arial" w:hAnsi="Arial" w:eastAsia="Arial" w:cs="Arial"/>
                <w:color w:val="4A4A4A"/>
                <w:sz w:val="20"/>
                <w:szCs w:val="20"/>
              </w:rPr>
              <w:t>Conduct our first community visit to understand the needs of the children we will serve.</w:t>
            </w:r>
          </w:p>
          <w:p w14:paraId="308945D5">
            <w:pPr>
              <w:pStyle w:val="16"/>
              <w:numPr>
                <w:ilvl w:val="0"/>
                <w:numId w:val="1"/>
              </w:numPr>
              <w:spacing w:before="35" w:after="35"/>
            </w:pPr>
            <w:r>
              <w:rPr>
                <w:rFonts w:ascii="Arial" w:hAnsi="Arial" w:eastAsia="Arial" w:cs="Arial"/>
                <w:color w:val="4A4A4A"/>
                <w:sz w:val="20"/>
                <w:szCs w:val="20"/>
              </w:rPr>
              <w:t>Run our first donation camp to collect books, notebooks, and stationery.</w:t>
            </w:r>
          </w:p>
          <w:p w14:paraId="29B9E789">
            <w:pPr>
              <w:pStyle w:val="16"/>
              <w:numPr>
                <w:ilvl w:val="0"/>
                <w:numId w:val="1"/>
              </w:numPr>
              <w:spacing w:before="35" w:after="35"/>
            </w:pPr>
            <w:r>
              <w:rPr>
                <w:rFonts w:ascii="Arial" w:hAnsi="Arial" w:eastAsia="Arial" w:cs="Arial"/>
                <w:color w:val="4A4A4A"/>
                <w:sz w:val="20"/>
                <w:szCs w:val="20"/>
              </w:rPr>
              <w:t>Launch our pilot tutoring sessions with a small group of children.</w:t>
            </w:r>
          </w:p>
          <w:p w14:paraId="7EF16727">
            <w:pPr>
              <w:pStyle w:val="16"/>
              <w:numPr>
                <w:ilvl w:val="0"/>
                <w:numId w:val="1"/>
              </w:numPr>
              <w:spacing w:before="35" w:after="35"/>
            </w:pPr>
            <w:r>
              <w:rPr>
                <w:rFonts w:ascii="Arial" w:hAnsi="Arial" w:eastAsia="Arial" w:cs="Arial"/>
                <w:color w:val="4A4A4A"/>
                <w:sz w:val="20"/>
                <w:szCs w:val="20"/>
              </w:rPr>
              <w:t>Recruit and onboard our first batch of student volunteers.</w:t>
            </w:r>
          </w:p>
        </w:tc>
      </w:tr>
      <w:tr w14:paraId="3E20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E8D5F5"/>
            <w:tcMar>
              <w:top w:w="130" w:type="dxa"/>
              <w:left w:w="150" w:type="dxa"/>
              <w:bottom w:w="130" w:type="dxa"/>
              <w:right w:w="150" w:type="dxa"/>
            </w:tcMar>
            <w:vAlign w:val="center"/>
          </w:tcPr>
          <w:p w14:paraId="3485E0D3">
            <w:pPr>
              <w:jc w:val="center"/>
            </w:pPr>
            <w:r>
              <w:rPr>
                <w:rFonts w:ascii="Arial" w:hAnsi="Arial" w:eastAsia="Arial" w:cs="Arial"/>
                <w:b/>
                <w:bCs/>
                <w:color w:val="4A3F6B"/>
                <w:sz w:val="22"/>
                <w:szCs w:val="22"/>
              </w:rPr>
              <w:t>Phase 2</w:t>
            </w:r>
          </w:p>
          <w:p w14:paraId="31009A60">
            <w:pPr>
              <w:jc w:val="center"/>
            </w:pPr>
            <w:r>
              <w:rPr>
                <w:rFonts w:ascii="Arial" w:hAnsi="Arial" w:eastAsia="Arial" w:cs="Arial"/>
                <w:i/>
                <w:iCs/>
                <w:color w:val="7B6FA0"/>
                <w:sz w:val="19"/>
                <w:szCs w:val="19"/>
              </w:rPr>
              <w:t>Growth</w:t>
            </w:r>
          </w:p>
          <w:p w14:paraId="41631058">
            <w:pPr>
              <w:jc w:val="center"/>
            </w:pPr>
            <w:r>
              <w:rPr>
                <w:rFonts w:ascii="Arial" w:hAnsi="Arial" w:eastAsia="Arial" w:cs="Arial"/>
                <w:color w:val="777777"/>
                <w:sz w:val="18"/>
                <w:szCs w:val="18"/>
              </w:rPr>
              <w:t>Months 4–9</w:t>
            </w:r>
          </w:p>
        </w:tc>
        <w:tc>
          <w:tcPr>
            <w:tcW w:w="6800" w:type="dxa"/>
            <w:tcBorders>
              <w:top w:val="single" w:color="DDDDDD" w:sz="0" w:space="0"/>
              <w:left w:val="single" w:color="DDDDDD" w:sz="0" w:space="0"/>
              <w:bottom w:val="single" w:color="DDDDDD" w:sz="0" w:space="0"/>
              <w:right w:val="single" w:color="DDDDDD" w:sz="0" w:space="0"/>
            </w:tcBorders>
            <w:tcMar>
              <w:top w:w="120" w:type="dxa"/>
              <w:left w:w="160" w:type="dxa"/>
              <w:bottom w:w="120" w:type="dxa"/>
              <w:right w:w="160" w:type="dxa"/>
            </w:tcMar>
          </w:tcPr>
          <w:p w14:paraId="335EF544">
            <w:pPr>
              <w:spacing w:after="50"/>
            </w:pPr>
            <w:r>
              <w:rPr>
                <w:rFonts w:ascii="Arial" w:hAnsi="Arial" w:eastAsia="Arial" w:cs="Arial"/>
                <w:i/>
                <w:iCs/>
                <w:color w:val="4A4A4A"/>
                <w:sz w:val="21"/>
                <w:szCs w:val="21"/>
              </w:rPr>
              <w:t>Expand our reach, grow our team, and establish Bloom as a visible initiative.</w:t>
            </w:r>
          </w:p>
          <w:p w14:paraId="431C50E9">
            <w:pPr>
              <w:pStyle w:val="16"/>
              <w:numPr>
                <w:ilvl w:val="0"/>
                <w:numId w:val="1"/>
              </w:numPr>
              <w:spacing w:before="35" w:after="35"/>
            </w:pPr>
            <w:r>
              <w:rPr>
                <w:rFonts w:ascii="Arial" w:hAnsi="Arial" w:eastAsia="Arial" w:cs="Arial"/>
                <w:color w:val="4A4A4A"/>
                <w:sz w:val="20"/>
                <w:szCs w:val="20"/>
              </w:rPr>
              <w:t>Launch all five focus area programs.</w:t>
            </w:r>
          </w:p>
          <w:p w14:paraId="4F14C66D">
            <w:pPr>
              <w:pStyle w:val="16"/>
              <w:numPr>
                <w:ilvl w:val="0"/>
                <w:numId w:val="1"/>
              </w:numPr>
              <w:spacing w:before="35" w:after="35"/>
            </w:pPr>
            <w:r>
              <w:rPr>
                <w:rFonts w:ascii="Arial" w:hAnsi="Arial" w:eastAsia="Arial" w:cs="Arial"/>
                <w:color w:val="4A4A4A"/>
                <w:sz w:val="20"/>
                <w:szCs w:val="20"/>
              </w:rPr>
              <w:t>Grow our active volunteer base to 20–30 students.</w:t>
            </w:r>
          </w:p>
          <w:p w14:paraId="0C4AF28D">
            <w:pPr>
              <w:pStyle w:val="16"/>
              <w:numPr>
                <w:ilvl w:val="0"/>
                <w:numId w:val="1"/>
              </w:numPr>
              <w:spacing w:before="35" w:after="35"/>
            </w:pPr>
            <w:r>
              <w:rPr>
                <w:rFonts w:ascii="Arial" w:hAnsi="Arial" w:eastAsia="Arial" w:cs="Arial"/>
                <w:color w:val="4A4A4A"/>
                <w:sz w:val="20"/>
                <w:szCs w:val="20"/>
              </w:rPr>
              <w:t>Host our first major public event — a talent showcase, awareness campaign, or community day.</w:t>
            </w:r>
          </w:p>
          <w:p w14:paraId="164B5FA0">
            <w:pPr>
              <w:pStyle w:val="16"/>
              <w:numPr>
                <w:ilvl w:val="0"/>
                <w:numId w:val="1"/>
              </w:numPr>
              <w:spacing w:before="35" w:after="35"/>
            </w:pPr>
            <w:r>
              <w:rPr>
                <w:rFonts w:ascii="Arial" w:hAnsi="Arial" w:eastAsia="Arial" w:cs="Arial"/>
                <w:color w:val="4A4A4A"/>
                <w:sz w:val="20"/>
                <w:szCs w:val="20"/>
              </w:rPr>
              <w:t>Establish partnerships with at least two schools or community organizations.</w:t>
            </w:r>
          </w:p>
          <w:p w14:paraId="4567E369">
            <w:pPr>
              <w:pStyle w:val="16"/>
              <w:numPr>
                <w:ilvl w:val="0"/>
                <w:numId w:val="1"/>
              </w:numPr>
              <w:spacing w:before="35" w:after="35"/>
            </w:pPr>
            <w:r>
              <w:rPr>
                <w:rFonts w:ascii="Arial" w:hAnsi="Arial" w:eastAsia="Arial" w:cs="Arial"/>
                <w:color w:val="4A4A4A"/>
                <w:sz w:val="20"/>
                <w:szCs w:val="20"/>
              </w:rPr>
              <w:t>Run regular donation camps and distribution drives.</w:t>
            </w:r>
          </w:p>
          <w:p w14:paraId="23144D68">
            <w:pPr>
              <w:pStyle w:val="16"/>
              <w:numPr>
                <w:ilvl w:val="0"/>
                <w:numId w:val="1"/>
              </w:numPr>
              <w:spacing w:before="35" w:after="35"/>
            </w:pPr>
            <w:r>
              <w:rPr>
                <w:rFonts w:ascii="Arial" w:hAnsi="Arial" w:eastAsia="Arial" w:cs="Arial"/>
                <w:color w:val="4A4A4A"/>
                <w:sz w:val="20"/>
                <w:szCs w:val="20"/>
              </w:rPr>
              <w:t>Apply for recognition and youth initiative awards.</w:t>
            </w:r>
          </w:p>
          <w:p w14:paraId="54CAB164">
            <w:pPr>
              <w:pStyle w:val="16"/>
              <w:numPr>
                <w:ilvl w:val="0"/>
                <w:numId w:val="1"/>
              </w:numPr>
              <w:spacing w:before="35" w:after="35"/>
            </w:pPr>
            <w:r>
              <w:rPr>
                <w:rFonts w:ascii="Arial" w:hAnsi="Arial" w:eastAsia="Arial" w:cs="Arial"/>
                <w:color w:val="4A4A4A"/>
                <w:sz w:val="20"/>
                <w:szCs w:val="20"/>
              </w:rPr>
              <w:t>Publish our first impact report with real numbers and real stories.</w:t>
            </w:r>
          </w:p>
        </w:tc>
      </w:tr>
      <w:tr w14:paraId="2FE1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C3B1E1"/>
            <w:tcMar>
              <w:top w:w="130" w:type="dxa"/>
              <w:left w:w="150" w:type="dxa"/>
              <w:bottom w:w="130" w:type="dxa"/>
              <w:right w:w="150" w:type="dxa"/>
            </w:tcMar>
            <w:vAlign w:val="center"/>
          </w:tcPr>
          <w:p w14:paraId="72FB7480">
            <w:pPr>
              <w:jc w:val="center"/>
            </w:pPr>
            <w:r>
              <w:rPr>
                <w:rFonts w:ascii="Arial" w:hAnsi="Arial" w:eastAsia="Arial" w:cs="Arial"/>
                <w:b/>
                <w:bCs/>
                <w:color w:val="FFFFFF"/>
                <w:sz w:val="22"/>
                <w:szCs w:val="22"/>
              </w:rPr>
              <w:t>Phase 3</w:t>
            </w:r>
          </w:p>
          <w:p w14:paraId="6063B6DB">
            <w:pPr>
              <w:jc w:val="center"/>
            </w:pPr>
            <w:r>
              <w:rPr>
                <w:rFonts w:ascii="Arial" w:hAnsi="Arial" w:eastAsia="Arial" w:cs="Arial"/>
                <w:i/>
                <w:iCs/>
                <w:color w:val="FFFFFF"/>
                <w:sz w:val="19"/>
                <w:szCs w:val="19"/>
              </w:rPr>
              <w:t>Scale</w:t>
            </w:r>
          </w:p>
          <w:p w14:paraId="607A601A">
            <w:pPr>
              <w:jc w:val="center"/>
            </w:pPr>
            <w:r>
              <w:rPr>
                <w:rFonts w:ascii="Arial" w:hAnsi="Arial" w:eastAsia="Arial" w:cs="Arial"/>
                <w:color w:val="FFFFFF"/>
                <w:sz w:val="18"/>
                <w:szCs w:val="18"/>
              </w:rPr>
              <w:t>Month 10+</w:t>
            </w:r>
          </w:p>
        </w:tc>
        <w:tc>
          <w:tcPr>
            <w:tcW w:w="6800" w:type="dxa"/>
            <w:tcBorders>
              <w:top w:val="single" w:color="DDDDDD" w:sz="0" w:space="0"/>
              <w:left w:val="single" w:color="DDDDDD" w:sz="0" w:space="0"/>
              <w:bottom w:val="single" w:color="DDDDDD" w:sz="0" w:space="0"/>
              <w:right w:val="single" w:color="DDDDDD" w:sz="0" w:space="0"/>
            </w:tcBorders>
            <w:tcMar>
              <w:top w:w="120" w:type="dxa"/>
              <w:left w:w="160" w:type="dxa"/>
              <w:bottom w:w="120" w:type="dxa"/>
              <w:right w:w="160" w:type="dxa"/>
            </w:tcMar>
          </w:tcPr>
          <w:p w14:paraId="3919A1FC">
            <w:pPr>
              <w:spacing w:after="50"/>
            </w:pPr>
            <w:r>
              <w:rPr>
                <w:rFonts w:ascii="Arial" w:hAnsi="Arial" w:eastAsia="Arial" w:cs="Arial"/>
                <w:i/>
                <w:iCs/>
                <w:color w:val="4A4A4A"/>
                <w:sz w:val="21"/>
                <w:szCs w:val="21"/>
              </w:rPr>
              <w:t>Build Bloom into something that lasts — recognized, structured, and growing.</w:t>
            </w:r>
          </w:p>
          <w:p w14:paraId="58A258A7">
            <w:pPr>
              <w:pStyle w:val="16"/>
              <w:numPr>
                <w:ilvl w:val="0"/>
                <w:numId w:val="1"/>
              </w:numPr>
              <w:spacing w:before="35" w:after="35"/>
            </w:pPr>
            <w:r>
              <w:rPr>
                <w:rFonts w:ascii="Arial" w:hAnsi="Arial" w:eastAsia="Arial" w:cs="Arial"/>
                <w:color w:val="4A4A4A"/>
                <w:sz w:val="20"/>
                <w:szCs w:val="20"/>
              </w:rPr>
              <w:t>Expand Bloom to additional schools and communities.</w:t>
            </w:r>
          </w:p>
          <w:p w14:paraId="01718F2F">
            <w:pPr>
              <w:pStyle w:val="16"/>
              <w:numPr>
                <w:ilvl w:val="0"/>
                <w:numId w:val="1"/>
              </w:numPr>
              <w:spacing w:before="35" w:after="35"/>
            </w:pPr>
            <w:r>
              <w:rPr>
                <w:rFonts w:ascii="Arial" w:hAnsi="Arial" w:eastAsia="Arial" w:cs="Arial"/>
                <w:color w:val="4A4A4A"/>
                <w:sz w:val="20"/>
                <w:szCs w:val="20"/>
              </w:rPr>
              <w:t>Begin the formal registration process as a recognized initiative or society.</w:t>
            </w:r>
          </w:p>
          <w:p w14:paraId="45C9F84A">
            <w:pPr>
              <w:pStyle w:val="16"/>
              <w:numPr>
                <w:ilvl w:val="0"/>
                <w:numId w:val="1"/>
              </w:numPr>
              <w:spacing w:before="35" w:after="35"/>
            </w:pPr>
            <w:r>
              <w:rPr>
                <w:rFonts w:ascii="Arial" w:hAnsi="Arial" w:eastAsia="Arial" w:cs="Arial"/>
                <w:color w:val="4A4A4A"/>
                <w:sz w:val="20"/>
                <w:szCs w:val="20"/>
              </w:rPr>
              <w:t>Launch a dedicated Bloom website with program updates and impact tracking.</w:t>
            </w:r>
          </w:p>
          <w:p w14:paraId="0FF487DB">
            <w:pPr>
              <w:pStyle w:val="16"/>
              <w:numPr>
                <w:ilvl w:val="0"/>
                <w:numId w:val="1"/>
              </w:numPr>
              <w:spacing w:before="35" w:after="35"/>
            </w:pPr>
            <w:r>
              <w:rPr>
                <w:rFonts w:ascii="Arial" w:hAnsi="Arial" w:eastAsia="Arial" w:cs="Arial"/>
                <w:color w:val="4A4A4A"/>
                <w:sz w:val="20"/>
                <w:szCs w:val="20"/>
              </w:rPr>
              <w:t>Develop a Bloom mentorship and fellowship program.</w:t>
            </w:r>
          </w:p>
          <w:p w14:paraId="7828B23B">
            <w:pPr>
              <w:pStyle w:val="16"/>
              <w:numPr>
                <w:ilvl w:val="0"/>
                <w:numId w:val="1"/>
              </w:numPr>
              <w:spacing w:before="35" w:after="35"/>
            </w:pPr>
            <w:r>
              <w:rPr>
                <w:rFonts w:ascii="Arial" w:hAnsi="Arial" w:eastAsia="Arial" w:cs="Arial"/>
                <w:color w:val="4A4A4A"/>
                <w:sz w:val="20"/>
                <w:szCs w:val="20"/>
              </w:rPr>
              <w:t>Build a Bloom alumni network — a community of past volunteers who stay connected and keep contributing.</w:t>
            </w:r>
          </w:p>
          <w:p w14:paraId="54EF369C">
            <w:pPr>
              <w:pStyle w:val="16"/>
              <w:numPr>
                <w:ilvl w:val="0"/>
                <w:numId w:val="1"/>
              </w:numPr>
              <w:spacing w:before="35" w:after="35"/>
            </w:pPr>
            <w:r>
              <w:rPr>
                <w:rFonts w:ascii="Arial" w:hAnsi="Arial" w:eastAsia="Arial" w:cs="Arial"/>
                <w:color w:val="4A4A4A"/>
                <w:sz w:val="20"/>
                <w:szCs w:val="20"/>
              </w:rPr>
              <w:t>Set and pursue three-year and five-year impact goals.</w:t>
            </w:r>
          </w:p>
        </w:tc>
      </w:tr>
    </w:tbl>
    <w:p w14:paraId="023BA315">
      <w:pPr>
        <w:spacing w:after="220"/>
      </w:pPr>
    </w:p>
    <w:p w14:paraId="303233DD">
      <w:r>
        <w:rPr>
          <w:rFonts w:ascii="Georgia" w:hAnsi="Georgia" w:eastAsia="Georgia" w:cs="Georgia"/>
          <w:b/>
          <w:bCs/>
          <w:color w:val="4A3F6B"/>
          <w:sz w:val="38"/>
          <w:szCs w:val="38"/>
        </w:rPr>
        <w:t>7. How We Will Measure Our Impact</w:t>
      </w:r>
    </w:p>
    <w:p w14:paraId="557A20E1">
      <w:pPr>
        <w:pBdr>
          <w:bottom w:val="single" w:color="C3B1E1" w:sz="6" w:space="1"/>
        </w:pBdr>
        <w:spacing w:before="140" w:after="180"/>
      </w:pPr>
    </w:p>
    <w:p w14:paraId="119465EC">
      <w:pPr>
        <w:spacing w:before="60" w:after="100"/>
      </w:pPr>
      <w:r>
        <w:rPr>
          <w:rFonts w:ascii="Arial" w:hAnsi="Arial" w:eastAsia="Arial" w:cs="Arial"/>
          <w:color w:val="4A4A4A"/>
          <w:sz w:val="22"/>
          <w:szCs w:val="22"/>
        </w:rPr>
        <w:t>We want to be honest about what we are doing and how well we are doing it. That means tracking our work, learning from what we get wrong, and being transparent about what we achieve. Here is how we plan to do that: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0D18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7B6FA0" w:sz="0" w:space="0"/>
              <w:left w:val="single" w:color="7B6FA0" w:sz="0" w:space="0"/>
              <w:bottom w:val="single" w:color="7B6FA0" w:sz="0" w:space="0"/>
              <w:right w:val="single" w:color="7B6FA0" w:sz="0" w:space="0"/>
            </w:tcBorders>
            <w:shd w:val="clear" w:color="auto" w:fill="4A3F6B"/>
            <w:tcMar>
              <w:top w:w="100" w:type="dxa"/>
              <w:left w:w="150" w:type="dxa"/>
              <w:bottom w:w="100" w:type="dxa"/>
              <w:right w:w="150" w:type="dxa"/>
            </w:tcMar>
          </w:tcPr>
          <w:p w14:paraId="00C75050">
            <w:r>
              <w:rPr>
                <w:rFonts w:ascii="Arial" w:hAnsi="Arial" w:eastAsia="Arial" w:cs="Arial"/>
                <w:b/>
                <w:bCs/>
                <w:color w:val="FFFFFF"/>
                <w:sz w:val="20"/>
                <w:szCs w:val="20"/>
              </w:rPr>
              <w:t>Area</w:t>
            </w:r>
          </w:p>
        </w:tc>
        <w:tc>
          <w:tcPr>
            <w:tcW w:w="6000" w:type="dxa"/>
            <w:tcBorders>
              <w:top w:val="single" w:color="7B6FA0" w:sz="0" w:space="0"/>
              <w:left w:val="single" w:color="7B6FA0" w:sz="0" w:space="0"/>
              <w:bottom w:val="single" w:color="7B6FA0" w:sz="0" w:space="0"/>
              <w:right w:val="single" w:color="7B6FA0" w:sz="0" w:space="0"/>
            </w:tcBorders>
            <w:shd w:val="clear" w:color="auto" w:fill="4A3F6B"/>
            <w:tcMar>
              <w:top w:w="100" w:type="dxa"/>
              <w:left w:w="150" w:type="dxa"/>
              <w:bottom w:w="100" w:type="dxa"/>
              <w:right w:w="150" w:type="dxa"/>
            </w:tcMar>
          </w:tcPr>
          <w:p w14:paraId="07067349">
            <w:r>
              <w:rPr>
                <w:rFonts w:ascii="Arial" w:hAnsi="Arial" w:eastAsia="Arial" w:cs="Arial"/>
                <w:b/>
                <w:bCs/>
                <w:color w:val="FFFFFF"/>
                <w:sz w:val="20"/>
                <w:szCs w:val="20"/>
              </w:rPr>
              <w:t>What We Will Track</w:t>
            </w:r>
          </w:p>
        </w:tc>
      </w:tr>
      <w:tr w14:paraId="79E7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EBF8"/>
            <w:tcMar>
              <w:top w:w="90" w:type="dxa"/>
              <w:left w:w="140" w:type="dxa"/>
              <w:bottom w:w="90" w:type="dxa"/>
              <w:right w:w="140" w:type="dxa"/>
            </w:tcMar>
          </w:tcPr>
          <w:p w14:paraId="625F76EF">
            <w:r>
              <w:rPr>
                <w:rFonts w:ascii="Arial" w:hAnsi="Arial" w:eastAsia="Arial" w:cs="Arial"/>
                <w:b/>
                <w:bCs/>
                <w:color w:val="4A3F6B"/>
                <w:sz w:val="20"/>
                <w:szCs w:val="20"/>
              </w:rPr>
              <w:t>Education &amp; Tutoring</w:t>
            </w:r>
          </w:p>
        </w:tc>
        <w:tc>
          <w:tcPr>
            <w:tcW w:w="6000" w:type="dxa"/>
            <w:tcBorders>
              <w:top w:val="single" w:color="DDDDDD" w:sz="0" w:space="0"/>
              <w:left w:val="single" w:color="DDDDDD" w:sz="0" w:space="0"/>
              <w:bottom w:val="single" w:color="DDDDDD" w:sz="0" w:space="0"/>
              <w:right w:val="single" w:color="DDDDDD" w:sz="0" w:space="0"/>
            </w:tcBorders>
            <w:tcMar>
              <w:top w:w="90" w:type="dxa"/>
              <w:left w:w="140" w:type="dxa"/>
              <w:bottom w:w="90" w:type="dxa"/>
              <w:right w:w="140" w:type="dxa"/>
            </w:tcMar>
          </w:tcPr>
          <w:p w14:paraId="10514CD1">
            <w:r>
              <w:rPr>
                <w:rFonts w:ascii="Arial" w:hAnsi="Arial" w:eastAsia="Arial" w:cs="Arial"/>
                <w:color w:val="4A4A4A"/>
                <w:sz w:val="20"/>
                <w:szCs w:val="20"/>
              </w:rPr>
              <w:t>Number of children tutored, session attendance, materials collected and distributed through donation camps, academic progress over time.</w:t>
            </w:r>
          </w:p>
        </w:tc>
      </w:tr>
      <w:tr w14:paraId="48E3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EBF8"/>
            <w:tcMar>
              <w:top w:w="90" w:type="dxa"/>
              <w:left w:w="140" w:type="dxa"/>
              <w:bottom w:w="90" w:type="dxa"/>
              <w:right w:w="140" w:type="dxa"/>
            </w:tcMar>
          </w:tcPr>
          <w:p w14:paraId="21EEA404">
            <w:r>
              <w:rPr>
                <w:rFonts w:ascii="Arial" w:hAnsi="Arial" w:eastAsia="Arial" w:cs="Arial"/>
                <w:b/>
                <w:bCs/>
                <w:color w:val="4A3F6B"/>
                <w:sz w:val="20"/>
                <w:szCs w:val="20"/>
              </w:rPr>
              <w:t>Personality Development</w:t>
            </w:r>
          </w:p>
        </w:tc>
        <w:tc>
          <w:tcPr>
            <w:tcW w:w="6000" w:type="dxa"/>
            <w:tcBorders>
              <w:top w:val="single" w:color="DDDDDD" w:sz="0" w:space="0"/>
              <w:left w:val="single" w:color="DDDDDD" w:sz="0" w:space="0"/>
              <w:bottom w:val="single" w:color="DDDDDD" w:sz="0" w:space="0"/>
              <w:right w:val="single" w:color="DDDDDD" w:sz="0" w:space="0"/>
            </w:tcBorders>
            <w:tcMar>
              <w:top w:w="90" w:type="dxa"/>
              <w:left w:w="140" w:type="dxa"/>
              <w:bottom w:w="90" w:type="dxa"/>
              <w:right w:w="140" w:type="dxa"/>
            </w:tcMar>
          </w:tcPr>
          <w:p w14:paraId="44EE5486">
            <w:r>
              <w:rPr>
                <w:rFonts w:ascii="Arial" w:hAnsi="Arial" w:eastAsia="Arial" w:cs="Arial"/>
                <w:color w:val="4A4A4A"/>
                <w:sz w:val="20"/>
                <w:szCs w:val="20"/>
              </w:rPr>
              <w:t>Number of workshops held, children who participated, confidence surveys before and after, stories and testimonials from children and volunteers.</w:t>
            </w:r>
          </w:p>
        </w:tc>
      </w:tr>
      <w:tr w14:paraId="0B20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EBF8"/>
            <w:tcMar>
              <w:top w:w="90" w:type="dxa"/>
              <w:left w:w="140" w:type="dxa"/>
              <w:bottom w:w="90" w:type="dxa"/>
              <w:right w:w="140" w:type="dxa"/>
            </w:tcMar>
          </w:tcPr>
          <w:p w14:paraId="5BC4ADC4">
            <w:r>
              <w:rPr>
                <w:rFonts w:ascii="Arial" w:hAnsi="Arial" w:eastAsia="Arial" w:cs="Arial"/>
                <w:b/>
                <w:bCs/>
                <w:color w:val="4A3F6B"/>
                <w:sz w:val="20"/>
                <w:szCs w:val="20"/>
              </w:rPr>
              <w:t>Creative Programs</w:t>
            </w:r>
          </w:p>
        </w:tc>
        <w:tc>
          <w:tcPr>
            <w:tcW w:w="6000" w:type="dxa"/>
            <w:tcBorders>
              <w:top w:val="single" w:color="DDDDDD" w:sz="0" w:space="0"/>
              <w:left w:val="single" w:color="DDDDDD" w:sz="0" w:space="0"/>
              <w:bottom w:val="single" w:color="DDDDDD" w:sz="0" w:space="0"/>
              <w:right w:val="single" w:color="DDDDDD" w:sz="0" w:space="0"/>
            </w:tcBorders>
            <w:tcMar>
              <w:top w:w="90" w:type="dxa"/>
              <w:left w:w="140" w:type="dxa"/>
              <w:bottom w:w="90" w:type="dxa"/>
              <w:right w:w="140" w:type="dxa"/>
            </w:tcMar>
          </w:tcPr>
          <w:p w14:paraId="7B07FDE5">
            <w:r>
              <w:rPr>
                <w:rFonts w:ascii="Arial" w:hAnsi="Arial" w:eastAsia="Arial" w:cs="Arial"/>
                <w:color w:val="4A4A4A"/>
                <w:sz w:val="20"/>
                <w:szCs w:val="20"/>
              </w:rPr>
              <w:t>Number of events, artworks and projects created, participation in showcases, audience turnout.</w:t>
            </w:r>
          </w:p>
        </w:tc>
      </w:tr>
      <w:tr w14:paraId="311B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EBF8"/>
            <w:tcMar>
              <w:top w:w="90" w:type="dxa"/>
              <w:left w:w="140" w:type="dxa"/>
              <w:bottom w:w="90" w:type="dxa"/>
              <w:right w:w="140" w:type="dxa"/>
            </w:tcMar>
          </w:tcPr>
          <w:p w14:paraId="456E325D">
            <w:r>
              <w:rPr>
                <w:rFonts w:ascii="Arial" w:hAnsi="Arial" w:eastAsia="Arial" w:cs="Arial"/>
                <w:b/>
                <w:bCs/>
                <w:color w:val="4A3F6B"/>
                <w:sz w:val="20"/>
                <w:szCs w:val="20"/>
              </w:rPr>
              <w:t>Women Empowerment</w:t>
            </w:r>
          </w:p>
        </w:tc>
        <w:tc>
          <w:tcPr>
            <w:tcW w:w="6000" w:type="dxa"/>
            <w:tcBorders>
              <w:top w:val="single" w:color="DDDDDD" w:sz="0" w:space="0"/>
              <w:left w:val="single" w:color="DDDDDD" w:sz="0" w:space="0"/>
              <w:bottom w:val="single" w:color="DDDDDD" w:sz="0" w:space="0"/>
              <w:right w:val="single" w:color="DDDDDD" w:sz="0" w:space="0"/>
            </w:tcBorders>
            <w:tcMar>
              <w:top w:w="90" w:type="dxa"/>
              <w:left w:w="140" w:type="dxa"/>
              <w:bottom w:w="90" w:type="dxa"/>
              <w:right w:w="140" w:type="dxa"/>
            </w:tcMar>
          </w:tcPr>
          <w:p w14:paraId="554B1155">
            <w:r>
              <w:rPr>
                <w:rFonts w:ascii="Arial" w:hAnsi="Arial" w:eastAsia="Arial" w:cs="Arial"/>
                <w:color w:val="4A4A4A"/>
                <w:sz w:val="20"/>
                <w:szCs w:val="20"/>
              </w:rPr>
              <w:t>Girls reached, awareness sessions held, hygiene kits distributed, community response and feedback.</w:t>
            </w:r>
          </w:p>
        </w:tc>
      </w:tr>
      <w:tr w14:paraId="49E0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DDDDD" w:sz="0" w:space="0"/>
              <w:left w:val="single" w:color="DDDDDD" w:sz="0" w:space="0"/>
              <w:bottom w:val="single" w:color="DDDDDD" w:sz="0" w:space="0"/>
              <w:right w:val="single" w:color="DDDDDD" w:sz="0" w:space="0"/>
            </w:tcBorders>
            <w:shd w:val="clear" w:color="auto" w:fill="F0EBF8"/>
            <w:tcMar>
              <w:top w:w="90" w:type="dxa"/>
              <w:left w:w="140" w:type="dxa"/>
              <w:bottom w:w="90" w:type="dxa"/>
              <w:right w:w="140" w:type="dxa"/>
            </w:tcMar>
          </w:tcPr>
          <w:p w14:paraId="23901126">
            <w:r>
              <w:rPr>
                <w:rFonts w:ascii="Arial" w:hAnsi="Arial" w:eastAsia="Arial" w:cs="Arial"/>
                <w:b/>
                <w:bCs/>
                <w:color w:val="4A3F6B"/>
                <w:sz w:val="20"/>
                <w:szCs w:val="20"/>
              </w:rPr>
              <w:t>Community &amp; Donation Drives</w:t>
            </w:r>
          </w:p>
        </w:tc>
        <w:tc>
          <w:tcPr>
            <w:tcW w:w="6000" w:type="dxa"/>
            <w:tcBorders>
              <w:top w:val="single" w:color="DDDDDD" w:sz="0" w:space="0"/>
              <w:left w:val="single" w:color="DDDDDD" w:sz="0" w:space="0"/>
              <w:bottom w:val="single" w:color="DDDDDD" w:sz="0" w:space="0"/>
              <w:right w:val="single" w:color="DDDDDD" w:sz="0" w:space="0"/>
            </w:tcBorders>
            <w:tcMar>
              <w:top w:w="90" w:type="dxa"/>
              <w:left w:w="140" w:type="dxa"/>
              <w:bottom w:w="90" w:type="dxa"/>
              <w:right w:w="140" w:type="dxa"/>
            </w:tcMar>
          </w:tcPr>
          <w:p w14:paraId="502CAE8E">
            <w:r>
              <w:rPr>
                <w:rFonts w:ascii="Arial" w:hAnsi="Arial" w:eastAsia="Arial" w:cs="Arial"/>
                <w:color w:val="4A4A4A"/>
                <w:sz w:val="20"/>
                <w:szCs w:val="20"/>
              </w:rPr>
              <w:t>Items collected and distributed per camp, families and individuals reached, volunteer hours spent, campaign outreach.</w:t>
            </w:r>
          </w:p>
        </w:tc>
      </w:tr>
    </w:tbl>
    <w:p w14:paraId="3334B39E">
      <w:pPr>
        <w:spacing w:after="110"/>
      </w:pPr>
    </w:p>
    <w:p w14:paraId="4AE40120">
      <w:pPr>
        <w:spacing w:before="60" w:after="100"/>
      </w:pPr>
      <w:r>
        <w:rPr>
          <w:rFonts w:ascii="Arial" w:hAnsi="Arial" w:eastAsia="Arial" w:cs="Arial"/>
          <w:color w:val="4A4A4A"/>
          <w:sz w:val="22"/>
          <w:szCs w:val="22"/>
        </w:rPr>
        <w:t>We plan to document everything — through photos, written reports, and volunteer feedback — and share updates with our school and supporters regularly. We will also prepare a formal impact report at the end of each academic year so that anyone who has supported us can see exactly what their support made possible.</w:t>
      </w:r>
    </w:p>
    <w:p w14:paraId="26DF6652">
      <w:r>
        <w:rPr>
          <w:rFonts w:ascii="Georgia" w:hAnsi="Georgia" w:eastAsia="Georgia" w:cs="Georgia"/>
          <w:b/>
          <w:bCs/>
          <w:color w:val="4A3F6B"/>
          <w:sz w:val="38"/>
          <w:szCs w:val="38"/>
        </w:rPr>
        <w:t>8. Join Bloom — Volunteering</w:t>
      </w:r>
    </w:p>
    <w:p w14:paraId="49FFAEE5">
      <w:pPr>
        <w:spacing w:before="60" w:after="100"/>
      </w:pPr>
      <w:r>
        <w:rPr>
          <w:rFonts w:ascii="Arial" w:hAnsi="Arial" w:eastAsia="Arial" w:cs="Arial"/>
          <w:color w:val="4A4A4A"/>
          <w:sz w:val="22"/>
          <w:szCs w:val="22"/>
        </w:rPr>
        <w:t>Bloom is only as strong as the people who show up for it. We are actively looking for students who want to be part of something real — who want to do more than just attend school and go home, who want to use their skills, their time, and their energy to make a genuine difference.</w:t>
      </w:r>
    </w:p>
    <w:p w14:paraId="62C22D95">
      <w:pPr>
        <w:spacing w:after="110"/>
      </w:pPr>
    </w:p>
    <w:p w14:paraId="6F8CB3F0">
      <w:pPr>
        <w:spacing w:before="60" w:after="100"/>
      </w:pPr>
      <w:r>
        <w:rPr>
          <w:rFonts w:ascii="Arial" w:hAnsi="Arial" w:eastAsia="Arial" w:cs="Arial"/>
          <w:color w:val="4A4A4A"/>
          <w:sz w:val="22"/>
          <w:szCs w:val="22"/>
        </w:rPr>
        <w:t>You do not need to be the best student in class. You do not need a specific skill set. You need genuine intent, consistent commitment, and a willingness to show up — for the children we serve, and for each other.</w:t>
      </w:r>
    </w:p>
    <w:p w14:paraId="55867494">
      <w:pPr>
        <w:spacing w:after="110"/>
      </w:pPr>
    </w:p>
    <w:p w14:paraId="2E9C2B2A">
      <w:pPr>
        <w:spacing w:before="260" w:after="100"/>
      </w:pPr>
      <w:r>
        <w:rPr>
          <w:rFonts w:ascii="Georgia" w:hAnsi="Georgia" w:eastAsia="Georgia" w:cs="Georgia"/>
          <w:b/>
          <w:bCs/>
          <w:color w:val="7B6FA0"/>
          <w:sz w:val="26"/>
          <w:szCs w:val="26"/>
        </w:rPr>
        <w:t>What You Get as a Bloom Volunteer</w:t>
      </w:r>
    </w:p>
    <w:p w14:paraId="0467BB60">
      <w:pPr>
        <w:pStyle w:val="16"/>
        <w:numPr>
          <w:ilvl w:val="0"/>
          <w:numId w:val="1"/>
        </w:numPr>
        <w:spacing w:before="50" w:after="50"/>
      </w:pPr>
      <w:r>
        <w:rPr>
          <w:rFonts w:ascii="Arial" w:hAnsi="Arial" w:eastAsia="Arial" w:cs="Arial"/>
          <w:color w:val="4A4A4A"/>
          <w:sz w:val="22"/>
          <w:szCs w:val="22"/>
        </w:rPr>
        <w:t>Real, hands-on experience in social work, event coordination, education, and community outreach.</w:t>
      </w:r>
    </w:p>
    <w:p w14:paraId="6EA0284F">
      <w:pPr>
        <w:pStyle w:val="16"/>
        <w:numPr>
          <w:ilvl w:val="0"/>
          <w:numId w:val="1"/>
        </w:numPr>
        <w:spacing w:before="50" w:after="50"/>
      </w:pPr>
      <w:r>
        <w:rPr>
          <w:rFonts w:ascii="Arial" w:hAnsi="Arial" w:eastAsia="Arial" w:cs="Arial"/>
          <w:color w:val="4A4A4A"/>
          <w:sz w:val="22"/>
          <w:szCs w:val="22"/>
        </w:rPr>
        <w:t>An official Bloom Volunteer Certificate recognizing your contribution — useful for college applications, scholarship essays, and personal portfolios.</w:t>
      </w:r>
    </w:p>
    <w:p w14:paraId="24C27B69">
      <w:pPr>
        <w:pStyle w:val="16"/>
        <w:numPr>
          <w:ilvl w:val="0"/>
          <w:numId w:val="1"/>
        </w:numPr>
        <w:spacing w:before="50" w:after="50"/>
      </w:pPr>
      <w:r>
        <w:rPr>
          <w:rFonts w:ascii="Arial" w:hAnsi="Arial" w:eastAsia="Arial" w:cs="Arial"/>
          <w:color w:val="4A4A4A"/>
          <w:sz w:val="22"/>
          <w:szCs w:val="22"/>
        </w:rPr>
        <w:t>A formal letter of appreciation from Bloom's founding team for academic or professional applications.</w:t>
      </w:r>
    </w:p>
    <w:p w14:paraId="6DC9DF9B">
      <w:pPr>
        <w:pStyle w:val="16"/>
        <w:numPr>
          <w:ilvl w:val="0"/>
          <w:numId w:val="1"/>
        </w:numPr>
        <w:spacing w:before="50" w:after="50"/>
      </w:pPr>
      <w:r>
        <w:rPr>
          <w:rFonts w:ascii="Arial" w:hAnsi="Arial" w:eastAsia="Arial" w:cs="Arial"/>
          <w:color w:val="4A4A4A"/>
          <w:sz w:val="22"/>
          <w:szCs w:val="22"/>
        </w:rPr>
        <w:t>Genuine skill development in communication, teamwork, leadership, and problem-solving.</w:t>
      </w:r>
    </w:p>
    <w:p w14:paraId="03D077C4">
      <w:pPr>
        <w:pStyle w:val="16"/>
        <w:numPr>
          <w:ilvl w:val="0"/>
          <w:numId w:val="1"/>
        </w:numPr>
        <w:spacing w:before="50" w:after="50"/>
      </w:pPr>
      <w:r>
        <w:rPr>
          <w:rFonts w:ascii="Arial" w:hAnsi="Arial" w:eastAsia="Arial" w:cs="Arial"/>
          <w:color w:val="4A4A4A"/>
          <w:sz w:val="22"/>
          <w:szCs w:val="22"/>
        </w:rPr>
        <w:t>The kind of experience and perspective that cannot be taught in a classroom — and that will stay with you long after Bloom.</w:t>
      </w:r>
    </w:p>
    <w:p w14:paraId="52C49654">
      <w:pPr>
        <w:pStyle w:val="16"/>
        <w:numPr>
          <w:ilvl w:val="0"/>
          <w:numId w:val="1"/>
        </w:numPr>
        <w:spacing w:before="50" w:after="50"/>
      </w:pPr>
      <w:r>
        <w:rPr>
          <w:rFonts w:ascii="Arial" w:hAnsi="Arial" w:eastAsia="Arial" w:cs="Arial"/>
          <w:color w:val="4A4A4A"/>
          <w:sz w:val="22"/>
          <w:szCs w:val="22"/>
        </w:rPr>
        <w:t>A community of people who share your values and your commitment to doing something meaningful.</w:t>
      </w:r>
    </w:p>
    <w:p w14:paraId="4BDED79F">
      <w:pPr>
        <w:spacing w:after="110"/>
      </w:pPr>
    </w:p>
    <w:p w14:paraId="1A06825E">
      <w:pPr>
        <w:spacing w:before="260" w:after="100"/>
      </w:pPr>
      <w:r>
        <w:rPr>
          <w:rFonts w:ascii="Georgia" w:hAnsi="Georgia" w:eastAsia="Georgia" w:cs="Georgia"/>
          <w:b/>
          <w:bCs/>
          <w:color w:val="7B6FA0"/>
          <w:sz w:val="26"/>
          <w:szCs w:val="26"/>
        </w:rPr>
        <w:t>What We Expect from You</w:t>
      </w:r>
    </w:p>
    <w:p w14:paraId="172DD6BB">
      <w:pPr>
        <w:pStyle w:val="16"/>
        <w:numPr>
          <w:ilvl w:val="0"/>
          <w:numId w:val="1"/>
        </w:numPr>
        <w:spacing w:before="50" w:after="50"/>
      </w:pPr>
      <w:r>
        <w:rPr>
          <w:rFonts w:ascii="Arial" w:hAnsi="Arial" w:eastAsia="Arial" w:cs="Arial"/>
          <w:color w:val="4A4A4A"/>
          <w:sz w:val="22"/>
          <w:szCs w:val="22"/>
        </w:rPr>
        <w:t>Show up — consistently, reliably, and with enthusiasm.</w:t>
      </w:r>
    </w:p>
    <w:p w14:paraId="3D83AEB8">
      <w:pPr>
        <w:pStyle w:val="16"/>
        <w:numPr>
          <w:ilvl w:val="0"/>
          <w:numId w:val="1"/>
        </w:numPr>
        <w:spacing w:before="50" w:after="50"/>
      </w:pPr>
      <w:r>
        <w:rPr>
          <w:rFonts w:ascii="Arial" w:hAnsi="Arial" w:eastAsia="Arial" w:cs="Arial"/>
          <w:color w:val="4A4A4A"/>
          <w:sz w:val="22"/>
          <w:szCs w:val="22"/>
        </w:rPr>
        <w:t>Treat every child, community member, and fellow volunteer with respect and kindness.</w:t>
      </w:r>
    </w:p>
    <w:p w14:paraId="2F79A537">
      <w:pPr>
        <w:pStyle w:val="16"/>
        <w:numPr>
          <w:ilvl w:val="0"/>
          <w:numId w:val="1"/>
        </w:numPr>
        <w:spacing w:before="50" w:after="50"/>
      </w:pPr>
      <w:r>
        <w:rPr>
          <w:rFonts w:ascii="Arial" w:hAnsi="Arial" w:eastAsia="Arial" w:cs="Arial"/>
          <w:color w:val="4A4A4A"/>
          <w:sz w:val="22"/>
          <w:szCs w:val="22"/>
        </w:rPr>
        <w:t>Communicate openly — if something is not working, tell us. We are all learning together.</w:t>
      </w:r>
    </w:p>
    <w:p w14:paraId="1CED7678">
      <w:pPr>
        <w:pStyle w:val="16"/>
        <w:numPr>
          <w:ilvl w:val="0"/>
          <w:numId w:val="1"/>
        </w:numPr>
        <w:spacing w:before="50" w:after="50"/>
      </w:pPr>
      <w:r>
        <w:rPr>
          <w:rFonts w:ascii="Arial" w:hAnsi="Arial" w:eastAsia="Arial" w:cs="Arial"/>
          <w:color w:val="4A4A4A"/>
          <w:sz w:val="22"/>
          <w:szCs w:val="22"/>
        </w:rPr>
        <w:t>Represent Bloom with the same warmth and professionalism that we put into everything we do.</w:t>
      </w:r>
    </w:p>
    <w:p w14:paraId="1B399BE3">
      <w:pPr>
        <w:pStyle w:val="16"/>
        <w:numPr>
          <w:ilvl w:val="0"/>
          <w:numId w:val="1"/>
        </w:numPr>
        <w:spacing w:before="50" w:after="50"/>
      </w:pPr>
      <w:r>
        <w:rPr>
          <w:rFonts w:ascii="Arial" w:hAnsi="Arial" w:eastAsia="Arial" w:cs="Arial"/>
          <w:color w:val="4A4A4A"/>
          <w:sz w:val="22"/>
          <w:szCs w:val="22"/>
        </w:rPr>
        <w:t>Keep everything you learn about the children and families we work with confidential and private.</w:t>
      </w:r>
    </w:p>
    <w:p w14:paraId="0DA8EE83">
      <w:pPr>
        <w:spacing w:after="220"/>
      </w:pPr>
    </w:p>
    <w:p w14:paraId="5EB612A3">
      <w:r>
        <w:rPr>
          <w:rFonts w:ascii="Georgia" w:hAnsi="Georgia" w:eastAsia="Georgia" w:cs="Georgia"/>
          <w:b/>
          <w:bCs/>
          <w:color w:val="4A3F6B"/>
          <w:sz w:val="38"/>
          <w:szCs w:val="38"/>
        </w:rPr>
        <w:t>9. A Final Word</w:t>
      </w:r>
      <w:bookmarkStart w:id="0" w:name="_GoBack"/>
      <w:bookmarkEnd w:id="0"/>
    </w:p>
    <w:p w14:paraId="6C0A063B">
      <w:pPr>
        <w:spacing w:before="60" w:after="100"/>
      </w:pPr>
      <w:r>
        <w:rPr>
          <w:rFonts w:ascii="Arial" w:hAnsi="Arial" w:eastAsia="Arial" w:cs="Arial"/>
          <w:color w:val="4A4A4A"/>
          <w:sz w:val="22"/>
          <w:szCs w:val="22"/>
        </w:rPr>
        <w:t>We are eleventh graders who decided not to wait. We looked around, saw a need, and instead of assuming someone older or someone more resourceful would fix it — we chose to try ourselves. That is not arrogance. That is the kind of belief that every student deserves to have in themselves.</w:t>
      </w:r>
    </w:p>
    <w:p w14:paraId="40FD3AF4">
      <w:pPr>
        <w:spacing w:before="60" w:after="100"/>
      </w:pPr>
      <w:r>
        <w:rPr>
          <w:rFonts w:ascii="Arial" w:hAnsi="Arial" w:eastAsia="Arial" w:cs="Arial"/>
          <w:color w:val="4A4A4A"/>
          <w:sz w:val="22"/>
          <w:szCs w:val="22"/>
        </w:rPr>
        <w:t>Bloom is our attempt to do something real. It is our way of saying that being a student does not mean being a bystander. It means being someone with energy, ideas, and the genuine desire to make things better. And we are lucky enough to have found each other — a group of people who share that belief and are ready to act on it.</w:t>
      </w:r>
      <w:r>
        <w:rPr>
          <w:rFonts w:hint="default" w:cs="Arial"/>
          <w:color w:val="4A4A4A"/>
          <w:sz w:val="22"/>
          <w:szCs w:val="22"/>
          <w:lang w:val="en-US"/>
        </w:rPr>
        <w:t xml:space="preserve"> </w:t>
      </w:r>
      <w:r>
        <w:rPr>
          <w:rFonts w:ascii="Arial" w:hAnsi="Arial" w:eastAsia="Arial" w:cs="Arial"/>
          <w:color w:val="4A4A4A"/>
          <w:sz w:val="22"/>
          <w:szCs w:val="22"/>
        </w:rPr>
        <w:t>We are presenting this proposal to our school because we want to do this right. We want the support, the guidance, and the endorsement of our institution — because we know that with that behind us, what we can do becomes so much greater.</w:t>
      </w:r>
    </w:p>
    <w:p w14:paraId="2AEBD12A">
      <w:pPr>
        <w:spacing w:before="60" w:after="100"/>
      </w:pPr>
      <w:r>
        <w:rPr>
          <w:rFonts w:ascii="Arial" w:hAnsi="Arial" w:eastAsia="Arial" w:cs="Arial"/>
          <w:color w:val="4A4A4A"/>
          <w:sz w:val="22"/>
          <w:szCs w:val="22"/>
        </w:rPr>
        <w:t>We are asking for the chance to prove that students can lead meaningful change. We believe we can. And if you give us the opportunity, we fully intend to Bloom.</w:t>
      </w:r>
    </w:p>
    <w:p w14:paraId="180A0C09">
      <w:pPr>
        <w:pBdr>
          <w:top w:val="single" w:color="C3B1E1" w:sz="6" w:space="8"/>
          <w:bottom w:val="single" w:color="C3B1E1" w:sz="6" w:space="8"/>
        </w:pBdr>
        <w:shd w:val="clear" w:fill="FAF7FE"/>
        <w:spacing w:before="200" w:after="200"/>
        <w:jc w:val="center"/>
      </w:pPr>
      <w:r>
        <w:rPr>
          <w:rFonts w:ascii="Georgia" w:hAnsi="Georgia" w:eastAsia="Georgia" w:cs="Georgia"/>
          <w:i/>
          <w:iCs/>
          <w:color w:val="7B6FA0"/>
          <w:sz w:val="24"/>
          <w:szCs w:val="24"/>
        </w:rPr>
        <w:t xml:space="preserve">"Every child deserves the chance to learn, lead, and </w:t>
      </w:r>
      <w:r>
        <w:rPr>
          <w:rFonts w:ascii="Georgia" w:hAnsi="Georgia" w:eastAsia="Georgia" w:cs="Georgia"/>
          <w:b/>
          <w:bCs/>
          <w:i/>
          <w:iCs/>
          <w:color w:val="4A3F6B"/>
          <w:sz w:val="24"/>
          <w:szCs w:val="24"/>
        </w:rPr>
        <w:t>Bloom</w:t>
      </w:r>
      <w:r>
        <w:rPr>
          <w:rFonts w:ascii="Georgia" w:hAnsi="Georgia" w:eastAsia="Georgia" w:cs="Georgia"/>
          <w:i/>
          <w:iCs/>
          <w:color w:val="7B6FA0"/>
          <w:sz w:val="24"/>
          <w:szCs w:val="24"/>
        </w:rPr>
        <w:t>."</w:t>
      </w:r>
    </w:p>
    <w:p w14:paraId="73DF0B89">
      <w:pPr>
        <w:spacing w:before="60"/>
        <w:jc w:val="center"/>
      </w:pPr>
      <w:r>
        <w:rPr>
          <w:rFonts w:ascii="Arial" w:hAnsi="Arial" w:eastAsia="Arial" w:cs="Arial"/>
          <w:i/>
          <w:iCs/>
          <w:color w:val="BBBBBB"/>
          <w:sz w:val="19"/>
          <w:szCs w:val="19"/>
        </w:rPr>
        <w:t>Empowering Students. Inspiring Tomorrows.</w:t>
      </w:r>
    </w:p>
    <w:sectPr>
      <w:headerReference r:id="rId3" w:type="default"/>
      <w:pgSz w:w="12240" w:h="15840"/>
      <w:pgMar w:top="108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91AFC">
    <w:pPr>
      <w:pBdr>
        <w:bottom w:val="single" w:color="C3B1E1" w:sz="4" w:space="1"/>
      </w:pBdr>
      <w:tabs>
        <w:tab w:val="right" w:pos="9026"/>
      </w:tabs>
      <w:spacing w:after="80"/>
    </w:pPr>
    <w:r>
      <w:rPr>
        <w:rFonts w:ascii="Georgia" w:hAnsi="Georgia" w:eastAsia="Georgia" w:cs="Georgia"/>
        <w:b/>
        <w:bCs/>
        <w:color w:val="7B6FA0"/>
        <w:sz w:val="19"/>
        <w:szCs w:val="19"/>
      </w:rPr>
      <w:t xml:space="preserve">BLOOM  </w:t>
    </w:r>
    <w:r>
      <w:rPr>
        <w:rFonts w:ascii="Arial" w:hAnsi="Arial" w:eastAsia="Arial" w:cs="Arial"/>
        <w:color w:val="AAAAAA"/>
        <w:sz w:val="18"/>
        <w:szCs w:val="18"/>
      </w:rPr>
      <w:t>Student-Led Social Impact Initiative</w:t>
    </w:r>
    <w:r>
      <w:rPr>
        <w:rFonts w:ascii="Arial" w:hAnsi="Arial" w:eastAsia="Arial" w:cs="Arial"/>
        <w:color w:val="CCCCCC"/>
        <w:sz w:val="17"/>
        <w:szCs w:val="17"/>
      </w:rPr>
      <w:tab/>
      <w:t>Initiative Proposal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documentProtection w:enforcement="0"/>
  <w:compat>
    <w:compatSetting w:name="compatibilityMode" w:uri="http://schemas.microsoft.com/office/word" w:val="15"/>
  </w:compat>
  <w:rsids>
    <w:rsidRoot w:val="00000000"/>
    <w:rsid w:val="3BAE5D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80" w:after="140"/>
      <w:outlineLvl w:val="0"/>
    </w:pPr>
    <w:rPr>
      <w:rFonts w:ascii="Georgia" w:hAnsi="Georgia" w:eastAsia="Georgia" w:cs="Georgia"/>
      <w:b/>
      <w:bCs/>
      <w:color w:val="4A3F6B"/>
      <w:sz w:val="38"/>
      <w:szCs w:val="38"/>
    </w:rPr>
  </w:style>
  <w:style w:type="paragraph" w:styleId="3">
    <w:name w:val="heading 2"/>
    <w:next w:val="1"/>
    <w:qFormat/>
    <w:uiPriority w:val="0"/>
    <w:pPr>
      <w:spacing w:before="260" w:after="100"/>
      <w:outlineLvl w:val="1"/>
    </w:pPr>
    <w:rPr>
      <w:rFonts w:ascii="Georgia" w:hAnsi="Georgia" w:eastAsia="Georgia" w:cs="Georgia"/>
      <w:b/>
      <w:bCs/>
      <w:color w:val="7B6FA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433</Words>
  <Characters>2107</Characters>
  <TotalTime>26</TotalTime>
  <ScaleCrop>false</ScaleCrop>
  <LinksUpToDate>false</LinksUpToDate>
  <CharactersWithSpaces>2514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2026-05-12T10:12:00Z</dcterms:created>
  <dc:creator>Un-named</dc:creator>
  <cp:lastModifiedBy>Aadrika Gandhi</cp:lastModifiedBy>
  <cp:lastPrinted>2026-05-12T10:39:10Z</cp:lastPrinted>
  <dcterms:modified xsi:type="dcterms:W3CDTF">2026-05-12T10:40:27Z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eyJoZGlkIjoiNTBmZmVkZjQ4MDNjZTVhMzQ1MjA0ZTM1ZmFiMjQ4NmEiLCJ1c2VySWQiOiI1Njc1MzQ3MzkwNDMifQ==</vt:lpwstr>
  </property>
  <property fmtid="{D5CDD505-2E9C-101B-9397-08002B2CF9AE}" pid="3" name="KSOProductBuildVer">
    <vt:lpwstr>1033-12.1.0.26372</vt:lpwstr>
  </property>
  <property fmtid="{D5CDD505-2E9C-101B-9397-08002B2CF9AE}" pid="4" name="ICV">
    <vt:lpwstr>DF2355AA14C84FFCB04313247300A6BE_13</vt:lpwstr>
  </property>
</Properties>
</file>