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33" w:rsidRDefault="00B73333" w:rsidP="00B73333">
      <w:pPr>
        <w:pStyle w:val="Titre1"/>
        <w:jc w:val="center"/>
      </w:pPr>
      <w:r>
        <w:t xml:space="preserve">Tableau récapitulatif des phases de migration </w:t>
      </w:r>
    </w:p>
    <w:p w:rsidR="00B73333" w:rsidRDefault="00235ACE" w:rsidP="00235ACE">
      <w:pPr>
        <w:pStyle w:val="Titre1"/>
        <w:spacing w:before="0" w:line="240" w:lineRule="auto"/>
        <w:jc w:val="center"/>
      </w:pPr>
      <w:r>
        <w:t>Le 12</w:t>
      </w:r>
      <w:r w:rsidR="00B73333">
        <w:t xml:space="preserve">/10/2018 </w:t>
      </w:r>
      <w:r>
        <w:t>09</w:t>
      </w:r>
      <w:r w:rsidR="00B73333">
        <w:t> :00</w:t>
      </w:r>
    </w:p>
    <w:tbl>
      <w:tblPr>
        <w:tblStyle w:val="Grilledutableau"/>
        <w:tblpPr w:leftFromText="141" w:rightFromText="141" w:vertAnchor="page" w:horzAnchor="margin" w:tblpY="2936"/>
        <w:tblW w:w="0" w:type="auto"/>
        <w:tblLook w:val="04A0"/>
      </w:tblPr>
      <w:tblGrid>
        <w:gridCol w:w="2762"/>
        <w:gridCol w:w="2598"/>
        <w:gridCol w:w="2017"/>
        <w:gridCol w:w="1911"/>
      </w:tblGrid>
      <w:tr w:rsidR="00645E39" w:rsidTr="00B73333">
        <w:tc>
          <w:tcPr>
            <w:tcW w:w="2762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Phase</w:t>
            </w:r>
            <w:r w:rsidR="00645E41" w:rsidRPr="00645E41">
              <w:rPr>
                <w:b/>
                <w:bCs/>
                <w:sz w:val="24"/>
                <w:szCs w:val="24"/>
              </w:rPr>
              <w:t xml:space="preserve"> de migration</w:t>
            </w:r>
          </w:p>
        </w:tc>
        <w:tc>
          <w:tcPr>
            <w:tcW w:w="2598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Données source livrées</w:t>
            </w:r>
          </w:p>
        </w:tc>
        <w:tc>
          <w:tcPr>
            <w:tcW w:w="2017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Etat migration</w:t>
            </w:r>
          </w:p>
        </w:tc>
        <w:tc>
          <w:tcPr>
            <w:tcW w:w="1911" w:type="dxa"/>
          </w:tcPr>
          <w:p w:rsidR="00645E39" w:rsidRPr="00645E41" w:rsidRDefault="00645E41" w:rsidP="00B733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645E39" w:rsidTr="00235ACE">
        <w:tc>
          <w:tcPr>
            <w:tcW w:w="2762" w:type="dxa"/>
            <w:shd w:val="clear" w:color="auto" w:fill="00B050"/>
          </w:tcPr>
          <w:p w:rsidR="00645E39" w:rsidRDefault="00645E39" w:rsidP="00B73333">
            <w:r>
              <w:t>Migration des clients</w:t>
            </w:r>
          </w:p>
        </w:tc>
        <w:tc>
          <w:tcPr>
            <w:tcW w:w="2598" w:type="dxa"/>
            <w:shd w:val="clear" w:color="auto" w:fill="00B05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645E39" w:rsidRDefault="00645E39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645E39" w:rsidRDefault="00645E39" w:rsidP="00B73333"/>
        </w:tc>
      </w:tr>
      <w:tr w:rsidR="00645E39" w:rsidTr="00235ACE">
        <w:tc>
          <w:tcPr>
            <w:tcW w:w="2762" w:type="dxa"/>
            <w:shd w:val="clear" w:color="auto" w:fill="00B050"/>
          </w:tcPr>
          <w:p w:rsidR="00645E39" w:rsidRDefault="00645E39" w:rsidP="00B73333">
            <w:r>
              <w:t>Migration des branchements</w:t>
            </w:r>
          </w:p>
        </w:tc>
        <w:tc>
          <w:tcPr>
            <w:tcW w:w="2598" w:type="dxa"/>
            <w:shd w:val="clear" w:color="auto" w:fill="00B05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645E39" w:rsidRDefault="00645E39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645E39" w:rsidRDefault="00645E39" w:rsidP="00B73333"/>
        </w:tc>
      </w:tr>
      <w:tr w:rsidR="00645E39" w:rsidTr="00235ACE">
        <w:tc>
          <w:tcPr>
            <w:tcW w:w="2762" w:type="dxa"/>
            <w:shd w:val="clear" w:color="auto" w:fill="00B050"/>
          </w:tcPr>
          <w:p w:rsidR="00645E39" w:rsidRDefault="00645E39" w:rsidP="00B73333">
            <w:r>
              <w:t>Migration de l’historique relèves trimestrielles</w:t>
            </w:r>
          </w:p>
        </w:tc>
        <w:tc>
          <w:tcPr>
            <w:tcW w:w="2598" w:type="dxa"/>
            <w:shd w:val="clear" w:color="auto" w:fill="00B05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645E39" w:rsidRDefault="00165F10" w:rsidP="00165F10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645E39" w:rsidRDefault="00645E39" w:rsidP="00B73333"/>
        </w:tc>
      </w:tr>
      <w:tr w:rsidR="00645E39" w:rsidTr="00235ACE">
        <w:tc>
          <w:tcPr>
            <w:tcW w:w="2762" w:type="dxa"/>
            <w:shd w:val="clear" w:color="auto" w:fill="FFC000"/>
          </w:tcPr>
          <w:p w:rsidR="00645E39" w:rsidRDefault="00645E39" w:rsidP="00B73333">
            <w:r>
              <w:t>Migration des dernières relèves</w:t>
            </w:r>
          </w:p>
        </w:tc>
        <w:tc>
          <w:tcPr>
            <w:tcW w:w="2598" w:type="dxa"/>
            <w:shd w:val="clear" w:color="auto" w:fill="FFC000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  <w:shd w:val="clear" w:color="auto" w:fill="FFC000"/>
          </w:tcPr>
          <w:p w:rsidR="00645E39" w:rsidRDefault="00235ACE" w:rsidP="00B73333">
            <w:r>
              <w:t>EN COURS</w:t>
            </w:r>
          </w:p>
        </w:tc>
        <w:tc>
          <w:tcPr>
            <w:tcW w:w="1911" w:type="dxa"/>
            <w:shd w:val="clear" w:color="auto" w:fill="FFC000"/>
          </w:tcPr>
          <w:p w:rsidR="00645E39" w:rsidRDefault="00645E39" w:rsidP="00B73333">
            <w:r>
              <w:t>Ne peut être lancé que lorsque la migration de l’historique relève trimestrielle et mensuelle est achevé</w:t>
            </w:r>
          </w:p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factures hors cycle (calculer dans les districts)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PARTIELLEMENT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>
            <w:r>
              <w:t>Entête sans détails</w:t>
            </w:r>
          </w:p>
        </w:tc>
      </w:tr>
      <w:tr w:rsidR="000140F5" w:rsidTr="00235ACE">
        <w:tc>
          <w:tcPr>
            <w:tcW w:w="2762" w:type="dxa"/>
            <w:shd w:val="clear" w:color="auto" w:fill="FFC000"/>
          </w:tcPr>
          <w:p w:rsidR="000140F5" w:rsidRDefault="000140F5" w:rsidP="00B73333">
            <w:r>
              <w:t>Migration des factures AS400 trimestrielle</w:t>
            </w:r>
          </w:p>
        </w:tc>
        <w:tc>
          <w:tcPr>
            <w:tcW w:w="2598" w:type="dxa"/>
            <w:shd w:val="clear" w:color="auto" w:fill="FFC000"/>
          </w:tcPr>
          <w:p w:rsidR="000140F5" w:rsidRDefault="00235ACE" w:rsidP="00B73333">
            <w:r>
              <w:t>OUI</w:t>
            </w:r>
          </w:p>
        </w:tc>
        <w:tc>
          <w:tcPr>
            <w:tcW w:w="2017" w:type="dxa"/>
            <w:shd w:val="clear" w:color="auto" w:fill="FFC000"/>
          </w:tcPr>
          <w:p w:rsidR="000140F5" w:rsidRDefault="00235ACE" w:rsidP="00B73333">
            <w:r>
              <w:t>EN COURS</w:t>
            </w:r>
          </w:p>
        </w:tc>
        <w:tc>
          <w:tcPr>
            <w:tcW w:w="1911" w:type="dxa"/>
            <w:shd w:val="clear" w:color="auto" w:fill="FFC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C000"/>
          </w:tcPr>
          <w:p w:rsidR="000140F5" w:rsidRDefault="000140F5" w:rsidP="00B73333">
            <w:r>
              <w:t>Migration des factures AS400 mensuelle avec leurs relèves</w:t>
            </w:r>
          </w:p>
        </w:tc>
        <w:tc>
          <w:tcPr>
            <w:tcW w:w="2598" w:type="dxa"/>
            <w:shd w:val="clear" w:color="auto" w:fill="FFC000"/>
          </w:tcPr>
          <w:p w:rsidR="000140F5" w:rsidRDefault="00235ACE" w:rsidP="00B73333">
            <w:r>
              <w:t>OUI</w:t>
            </w:r>
          </w:p>
        </w:tc>
        <w:tc>
          <w:tcPr>
            <w:tcW w:w="2017" w:type="dxa"/>
            <w:shd w:val="clear" w:color="auto" w:fill="FFC000"/>
          </w:tcPr>
          <w:p w:rsidR="000140F5" w:rsidRDefault="00235ACE" w:rsidP="00B73333">
            <w:r>
              <w:t>EN COURS</w:t>
            </w:r>
          </w:p>
        </w:tc>
        <w:tc>
          <w:tcPr>
            <w:tcW w:w="1911" w:type="dxa"/>
            <w:shd w:val="clear" w:color="auto" w:fill="FFC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00B0F0"/>
          </w:tcPr>
          <w:p w:rsidR="000140F5" w:rsidRDefault="000140F5" w:rsidP="00B73333">
            <w:r>
              <w:t>Migration des Annulations et des prises en charge facture</w:t>
            </w:r>
          </w:p>
        </w:tc>
        <w:tc>
          <w:tcPr>
            <w:tcW w:w="2598" w:type="dxa"/>
            <w:shd w:val="clear" w:color="auto" w:fill="00B0F0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  <w:shd w:val="clear" w:color="auto" w:fill="00B0F0"/>
          </w:tcPr>
          <w:p w:rsidR="000140F5" w:rsidRDefault="000140F5" w:rsidP="00B73333"/>
        </w:tc>
        <w:tc>
          <w:tcPr>
            <w:tcW w:w="1911" w:type="dxa"/>
            <w:shd w:val="clear" w:color="auto" w:fill="00B0F0"/>
          </w:tcPr>
          <w:p w:rsidR="000140F5" w:rsidRDefault="000140F5" w:rsidP="00B73333">
            <w:r>
              <w:t>Ne peut pas être migré que lorsque les factures AS400 le seront</w:t>
            </w:r>
          </w:p>
        </w:tc>
      </w:tr>
      <w:tr w:rsidR="00235ACE" w:rsidTr="00235ACE">
        <w:tc>
          <w:tcPr>
            <w:tcW w:w="2762" w:type="dxa"/>
            <w:shd w:val="clear" w:color="auto" w:fill="FF0000"/>
          </w:tcPr>
          <w:p w:rsidR="00235ACE" w:rsidRDefault="00235ACE" w:rsidP="00B73333">
            <w:r>
              <w:t>Migration des impayées</w:t>
            </w:r>
          </w:p>
        </w:tc>
        <w:tc>
          <w:tcPr>
            <w:tcW w:w="2598" w:type="dxa"/>
            <w:shd w:val="clear" w:color="auto" w:fill="FF0000"/>
          </w:tcPr>
          <w:p w:rsidR="00235ACE" w:rsidRDefault="00235ACE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235ACE" w:rsidRDefault="00235ACE" w:rsidP="00B73333"/>
        </w:tc>
        <w:tc>
          <w:tcPr>
            <w:tcW w:w="1911" w:type="dxa"/>
            <w:shd w:val="clear" w:color="auto" w:fill="FF0000"/>
          </w:tcPr>
          <w:p w:rsidR="00235ACE" w:rsidRDefault="00235ACE" w:rsidP="00B73333"/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dossiers en cours</w:t>
            </w:r>
          </w:p>
        </w:tc>
        <w:tc>
          <w:tcPr>
            <w:tcW w:w="2598" w:type="dxa"/>
            <w:shd w:val="clear" w:color="auto" w:fill="FF0000"/>
          </w:tcPr>
          <w:p w:rsidR="000140F5" w:rsidRDefault="00B73333" w:rsidP="00B73333">
            <w:r>
              <w:t>PARTIELLEMENT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A27376" w:rsidP="00144419">
            <w:r>
              <w:t xml:space="preserve">En attente d’une décision de la part de la SONEDE (Données non encore apurées)  </w:t>
            </w:r>
          </w:p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facilités de paiement branchement</w:t>
            </w:r>
            <w:r w:rsidR="00B73333">
              <w:t xml:space="preserve"> facturés non clôturés</w:t>
            </w:r>
          </w:p>
        </w:tc>
        <w:tc>
          <w:tcPr>
            <w:tcW w:w="2598" w:type="dxa"/>
            <w:shd w:val="clear" w:color="auto" w:fill="FF0000"/>
          </w:tcPr>
          <w:p w:rsidR="000140F5" w:rsidRDefault="00B73333" w:rsidP="00B73333">
            <w:r>
              <w:t>OUI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B73333" w:rsidP="00144419">
            <w:r>
              <w:t>En attente d’une décision de la part de la SONEDE (Données non encore apuré</w:t>
            </w:r>
            <w:r w:rsidR="00A27376">
              <w:t>e</w:t>
            </w:r>
            <w:r>
              <w:t xml:space="preserve">s)  </w:t>
            </w:r>
          </w:p>
        </w:tc>
      </w:tr>
      <w:tr w:rsidR="00B73333" w:rsidTr="00235ACE">
        <w:tc>
          <w:tcPr>
            <w:tcW w:w="2762" w:type="dxa"/>
            <w:shd w:val="clear" w:color="auto" w:fill="FF0000"/>
          </w:tcPr>
          <w:p w:rsidR="00B73333" w:rsidRDefault="00B73333" w:rsidP="00B73333">
            <w:r>
              <w:t>Migration des facilités de paiement branchement facturés déjà clôturés</w:t>
            </w:r>
          </w:p>
        </w:tc>
        <w:tc>
          <w:tcPr>
            <w:tcW w:w="2598" w:type="dxa"/>
            <w:shd w:val="clear" w:color="auto" w:fill="FF0000"/>
          </w:tcPr>
          <w:p w:rsidR="00B73333" w:rsidRDefault="00B73333" w:rsidP="00B73333">
            <w:r>
              <w:t>OUI</w:t>
            </w:r>
          </w:p>
        </w:tc>
        <w:tc>
          <w:tcPr>
            <w:tcW w:w="2017" w:type="dxa"/>
            <w:shd w:val="clear" w:color="auto" w:fill="FF0000"/>
          </w:tcPr>
          <w:p w:rsidR="00B73333" w:rsidRDefault="00B73333" w:rsidP="00B73333"/>
        </w:tc>
        <w:tc>
          <w:tcPr>
            <w:tcW w:w="1911" w:type="dxa"/>
            <w:shd w:val="clear" w:color="auto" w:fill="FF0000"/>
          </w:tcPr>
          <w:p w:rsidR="00B73333" w:rsidRDefault="00B73333" w:rsidP="00144419">
            <w:r>
              <w:t>En attente d’une décision de la part de la SONEDE (Données non encore apuré</w:t>
            </w:r>
            <w:r w:rsidR="00A27376">
              <w:t>e</w:t>
            </w:r>
            <w:r>
              <w:t xml:space="preserve">s)  </w:t>
            </w:r>
          </w:p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 facilité de paiement eau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comptes d’attentes</w:t>
            </w:r>
          </w:p>
          <w:p w:rsidR="00A27376" w:rsidRDefault="00A27376" w:rsidP="00B73333"/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00B050"/>
          </w:tcPr>
          <w:p w:rsidR="000140F5" w:rsidRDefault="000140F5" w:rsidP="00B73333">
            <w:r>
              <w:t>Migration compte d’anomalies EAU</w:t>
            </w:r>
          </w:p>
        </w:tc>
        <w:tc>
          <w:tcPr>
            <w:tcW w:w="2598" w:type="dxa"/>
            <w:shd w:val="clear" w:color="auto" w:fill="00B050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0140F5" w:rsidRDefault="000140F5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00B050"/>
          </w:tcPr>
          <w:p w:rsidR="000140F5" w:rsidRDefault="000140F5" w:rsidP="00B73333">
            <w:r>
              <w:t>Migration compte d’anomalies TRAVAUX</w:t>
            </w:r>
          </w:p>
        </w:tc>
        <w:tc>
          <w:tcPr>
            <w:tcW w:w="2598" w:type="dxa"/>
            <w:shd w:val="clear" w:color="auto" w:fill="00B050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  <w:shd w:val="clear" w:color="auto" w:fill="00B050"/>
          </w:tcPr>
          <w:p w:rsidR="000140F5" w:rsidRDefault="000140F5" w:rsidP="00B73333">
            <w:r>
              <w:t>TERMINER</w:t>
            </w:r>
          </w:p>
        </w:tc>
        <w:tc>
          <w:tcPr>
            <w:tcW w:w="1911" w:type="dxa"/>
            <w:shd w:val="clear" w:color="auto" w:fill="00B05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C000"/>
          </w:tcPr>
          <w:p w:rsidR="000140F5" w:rsidRDefault="000140F5" w:rsidP="00B73333">
            <w:r>
              <w:lastRenderedPageBreak/>
              <w:t>Migration des B1/B2</w:t>
            </w:r>
          </w:p>
        </w:tc>
        <w:tc>
          <w:tcPr>
            <w:tcW w:w="2598" w:type="dxa"/>
            <w:shd w:val="clear" w:color="auto" w:fill="FFC000"/>
          </w:tcPr>
          <w:p w:rsidR="000140F5" w:rsidRDefault="00235ACE" w:rsidP="00B73333">
            <w:r>
              <w:t>OUI</w:t>
            </w:r>
          </w:p>
        </w:tc>
        <w:tc>
          <w:tcPr>
            <w:tcW w:w="2017" w:type="dxa"/>
            <w:shd w:val="clear" w:color="auto" w:fill="FFC000"/>
          </w:tcPr>
          <w:p w:rsidR="000140F5" w:rsidRDefault="00235ACE" w:rsidP="00B73333">
            <w:r>
              <w:t>EN COURS</w:t>
            </w:r>
          </w:p>
        </w:tc>
        <w:tc>
          <w:tcPr>
            <w:tcW w:w="1911" w:type="dxa"/>
            <w:shd w:val="clear" w:color="auto" w:fill="FFC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relance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référentiel article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inventaire magasin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  <w:tr w:rsidR="000140F5" w:rsidTr="00235ACE">
        <w:tc>
          <w:tcPr>
            <w:tcW w:w="2762" w:type="dxa"/>
            <w:shd w:val="clear" w:color="auto" w:fill="FF0000"/>
          </w:tcPr>
          <w:p w:rsidR="000140F5" w:rsidRDefault="000140F5" w:rsidP="00B73333">
            <w:r>
              <w:t>Migration des contentieux</w:t>
            </w:r>
          </w:p>
        </w:tc>
        <w:tc>
          <w:tcPr>
            <w:tcW w:w="2598" w:type="dxa"/>
            <w:shd w:val="clear" w:color="auto" w:fill="FF0000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  <w:shd w:val="clear" w:color="auto" w:fill="FF0000"/>
          </w:tcPr>
          <w:p w:rsidR="000140F5" w:rsidRDefault="000140F5" w:rsidP="00B73333"/>
        </w:tc>
        <w:tc>
          <w:tcPr>
            <w:tcW w:w="1911" w:type="dxa"/>
            <w:shd w:val="clear" w:color="auto" w:fill="FF0000"/>
          </w:tcPr>
          <w:p w:rsidR="000140F5" w:rsidRDefault="000140F5" w:rsidP="00B73333"/>
        </w:tc>
      </w:tr>
    </w:tbl>
    <w:p w:rsidR="00B22C0C" w:rsidRDefault="00B22C0C" w:rsidP="00B73333">
      <w:pPr>
        <w:pStyle w:val="Titre1"/>
        <w:jc w:val="center"/>
      </w:pPr>
    </w:p>
    <w:sectPr w:rsidR="00B22C0C" w:rsidSect="00B73333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F6167C"/>
    <w:rsid w:val="000140F5"/>
    <w:rsid w:val="000E6DFB"/>
    <w:rsid w:val="00144419"/>
    <w:rsid w:val="00165F10"/>
    <w:rsid w:val="00235ACE"/>
    <w:rsid w:val="00301B53"/>
    <w:rsid w:val="00645E39"/>
    <w:rsid w:val="00645E41"/>
    <w:rsid w:val="00990D35"/>
    <w:rsid w:val="009C6744"/>
    <w:rsid w:val="00A27376"/>
    <w:rsid w:val="00B22C0C"/>
    <w:rsid w:val="00B73333"/>
    <w:rsid w:val="00DC7392"/>
    <w:rsid w:val="00EC0469"/>
    <w:rsid w:val="00F6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0C"/>
  </w:style>
  <w:style w:type="paragraph" w:styleId="Titre1">
    <w:name w:val="heading 1"/>
    <w:basedOn w:val="Normal"/>
    <w:next w:val="Normal"/>
    <w:link w:val="Titre1Car"/>
    <w:uiPriority w:val="9"/>
    <w:qFormat/>
    <w:rsid w:val="0064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1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45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2018-10-12T08:27:00Z</dcterms:created>
  <dcterms:modified xsi:type="dcterms:W3CDTF">2018-10-12T08:27:00Z</dcterms:modified>
</cp:coreProperties>
</file>