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4A44" w14:textId="77777777" w:rsidR="003834F5" w:rsidRPr="003834F5" w:rsidRDefault="003834F5" w:rsidP="003834F5">
      <w:pPr>
        <w:widowControl w:val="0"/>
        <w:autoSpaceDE w:val="0"/>
        <w:autoSpaceDN w:val="0"/>
        <w:adjustRightInd w:val="0"/>
        <w:rPr>
          <w:rFonts w:ascii="OpenSans-Bold" w:hAnsi="OpenSans-Bold" w:cs="OpenSans-Bold"/>
          <w:b/>
          <w:bCs/>
          <w:sz w:val="104"/>
          <w:szCs w:val="10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</w:pPr>
      <w:r w:rsidRPr="003834F5">
        <w:rPr>
          <w:rFonts w:ascii="OpenSans-Bold" w:hAnsi="OpenSans-Bold" w:cs="OpenSans-Bold"/>
          <w:b/>
          <w:bCs/>
          <w:sz w:val="104"/>
          <w:szCs w:val="10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>NeOGen software</w:t>
      </w:r>
    </w:p>
    <w:p w14:paraId="7E58D131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lang w:val="en-US"/>
        </w:rPr>
      </w:pPr>
    </w:p>
    <w:p w14:paraId="305E3160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lang w:val="en-US"/>
        </w:rPr>
      </w:pPr>
    </w:p>
    <w:tbl>
      <w:tblPr>
        <w:tblW w:w="0" w:type="auto"/>
        <w:tblBorders>
          <w:top w:val="single" w:sz="8" w:space="0" w:color="E6E6E6"/>
          <w:left w:val="single" w:sz="8" w:space="0" w:color="E6E6E6"/>
          <w:right w:val="single" w:sz="8" w:space="0" w:color="E6E6E6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160"/>
      </w:tblGrid>
      <w:tr w:rsidR="003834F5" w14:paraId="1CBC1C65" w14:textId="77777777">
        <w:tc>
          <w:tcPr>
            <w:tcW w:w="2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2898F962" w14:textId="77777777" w:rsidR="003834F5" w:rsidRDefault="003834F5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lang w:val="en-US"/>
              </w:rPr>
            </w:pPr>
            <w:r>
              <w:rPr>
                <w:rFonts w:ascii="OpenSans-Bold" w:hAnsi="OpenSans-Bold" w:cs="OpenSans-Bold"/>
                <w:b/>
                <w:bCs/>
                <w:color w:val="434343"/>
                <w:lang w:val="en-US"/>
              </w:rPr>
              <w:t>Price:</w:t>
            </w:r>
          </w:p>
        </w:tc>
        <w:tc>
          <w:tcPr>
            <w:tcW w:w="8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0FA3DF59" w14:textId="78BF7E3C" w:rsidR="003834F5" w:rsidRDefault="003834F5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lang w:val="en-US"/>
              </w:rPr>
            </w:pPr>
            <w:r>
              <w:rPr>
                <w:rFonts w:ascii="OpenSans" w:hAnsi="OpenSans" w:cs="OpenSans"/>
                <w:color w:val="434343"/>
                <w:lang w:val="en-US"/>
              </w:rPr>
              <w:t>This software version and documentation are currently Draft, Confidential, &amp; Copyright Dean Blower 201</w:t>
            </w:r>
            <w:r w:rsidR="00A27B40">
              <w:rPr>
                <w:rFonts w:ascii="OpenSans" w:hAnsi="OpenSans" w:cs="OpenSans"/>
                <w:color w:val="434343"/>
                <w:lang w:val="en-US"/>
              </w:rPr>
              <w:t>8</w:t>
            </w:r>
            <w:r>
              <w:rPr>
                <w:rFonts w:ascii="OpenSans" w:hAnsi="OpenSans" w:cs="OpenSans"/>
                <w:color w:val="434343"/>
                <w:lang w:val="en-US"/>
              </w:rPr>
              <w:t xml:space="preserve"> All Rights Reserved.</w:t>
            </w:r>
          </w:p>
        </w:tc>
      </w:tr>
      <w:tr w:rsidR="003834F5" w14:paraId="40795DE5" w14:textId="77777777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779A17F8" w14:textId="77777777" w:rsidR="003834F5" w:rsidRDefault="003834F5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lang w:val="en-US"/>
              </w:rPr>
            </w:pPr>
            <w:r>
              <w:rPr>
                <w:rFonts w:ascii="OpenSans-Bold" w:hAnsi="OpenSans-Bold" w:cs="OpenSans-Bold"/>
                <w:b/>
                <w:bCs/>
                <w:color w:val="434343"/>
                <w:lang w:val="en-US"/>
              </w:rPr>
              <w:t>Download:</w:t>
            </w:r>
          </w:p>
        </w:tc>
        <w:tc>
          <w:tcPr>
            <w:tcW w:w="8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6D9677A8" w14:textId="77777777" w:rsidR="003834F5" w:rsidRDefault="003834F5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u w:color="1A1718"/>
                <w:lang w:val="en-US"/>
              </w:rPr>
            </w:pPr>
            <w:commentRangeStart w:id="0"/>
            <w:r>
              <w:rPr>
                <w:rFonts w:ascii="OpenSans" w:hAnsi="OpenSans" w:cs="OpenSans"/>
                <w:color w:val="1A1718"/>
                <w:u w:val="single" w:color="1A1718"/>
                <w:lang w:val="en-US"/>
              </w:rPr>
              <w:t>DOWNLOAD – Please register your details before downloading this software</w:t>
            </w:r>
            <w:commentRangeEnd w:id="0"/>
            <w:r w:rsidR="00BA77C5">
              <w:rPr>
                <w:rStyle w:val="CommentReference"/>
              </w:rPr>
              <w:commentReference w:id="0"/>
            </w:r>
          </w:p>
        </w:tc>
      </w:tr>
      <w:tr w:rsidR="003834F5" w14:paraId="529252AE" w14:textId="77777777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0B13E965" w14:textId="77777777" w:rsidR="003834F5" w:rsidRDefault="003834F5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u w:color="1A1718"/>
                <w:lang w:val="en-US"/>
              </w:rPr>
            </w:pPr>
            <w:r>
              <w:rPr>
                <w:rFonts w:ascii="OpenSans-Bold" w:hAnsi="OpenSans-Bold" w:cs="OpenSans-Bold"/>
                <w:b/>
                <w:bCs/>
                <w:color w:val="434343"/>
                <w:u w:color="1A1718"/>
                <w:lang w:val="en-US"/>
              </w:rPr>
              <w:t>Software authors:</w:t>
            </w:r>
          </w:p>
        </w:tc>
        <w:tc>
          <w:tcPr>
            <w:tcW w:w="8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15ED7AF2" w14:textId="77777777" w:rsidR="003834F5" w:rsidRDefault="003834F5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u w:color="1A1718"/>
                <w:lang w:val="en-US"/>
              </w:rPr>
            </w:pPr>
            <w:r>
              <w:rPr>
                <w:rFonts w:ascii="OpenSans" w:hAnsi="OpenSans" w:cs="OpenSans"/>
                <w:color w:val="434343"/>
                <w:u w:color="1A1718"/>
                <w:lang w:val="en-US"/>
              </w:rPr>
              <w:t xml:space="preserve">Blower, D.; </w:t>
            </w:r>
            <w:proofErr w:type="spellStart"/>
            <w:r>
              <w:rPr>
                <w:rFonts w:ascii="OpenSans" w:hAnsi="OpenSans" w:cs="OpenSans"/>
                <w:color w:val="434343"/>
                <w:u w:color="1A1718"/>
                <w:lang w:val="en-US"/>
              </w:rPr>
              <w:t>Riginos</w:t>
            </w:r>
            <w:proofErr w:type="spellEnd"/>
            <w:r>
              <w:rPr>
                <w:rFonts w:ascii="OpenSans" w:hAnsi="OpenSans" w:cs="OpenSans"/>
                <w:color w:val="434343"/>
                <w:u w:color="1A1718"/>
                <w:lang w:val="en-US"/>
              </w:rPr>
              <w:t>, C.; Ovenden, J.</w:t>
            </w:r>
          </w:p>
        </w:tc>
      </w:tr>
      <w:tr w:rsidR="003834F5" w14:paraId="02C1A3B3" w14:textId="77777777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527AC2F6" w14:textId="77777777" w:rsidR="003834F5" w:rsidRDefault="003834F5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u w:color="1A1718"/>
                <w:lang w:val="en-US"/>
              </w:rPr>
            </w:pPr>
            <w:r>
              <w:rPr>
                <w:rFonts w:ascii="OpenSans-Bold" w:hAnsi="OpenSans-Bold" w:cs="OpenSans-Bold"/>
                <w:b/>
                <w:bCs/>
                <w:color w:val="434343"/>
                <w:u w:color="1A1718"/>
                <w:lang w:val="en-US"/>
              </w:rPr>
              <w:t>Release date:</w:t>
            </w:r>
          </w:p>
        </w:tc>
        <w:tc>
          <w:tcPr>
            <w:tcW w:w="8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4A964AD5" w14:textId="7DF0B78D" w:rsidR="003834F5" w:rsidRDefault="003C1E5F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u w:color="1A1718"/>
                <w:lang w:val="en-US"/>
              </w:rPr>
            </w:pPr>
            <w:r>
              <w:rPr>
                <w:rFonts w:ascii="OpenSans" w:hAnsi="OpenSans" w:cs="OpenSans"/>
                <w:color w:val="434343"/>
                <w:u w:color="1A1718"/>
                <w:lang w:val="en-US"/>
              </w:rPr>
              <w:t>August</w:t>
            </w:r>
            <w:bookmarkStart w:id="1" w:name="_GoBack"/>
            <w:bookmarkEnd w:id="1"/>
            <w:r w:rsidR="00A27B40">
              <w:rPr>
                <w:rFonts w:ascii="OpenSans" w:hAnsi="OpenSans" w:cs="OpenSans"/>
                <w:color w:val="434343"/>
                <w:u w:color="1A1718"/>
                <w:lang w:val="en-US"/>
              </w:rPr>
              <w:t> </w:t>
            </w:r>
            <w:r w:rsidR="003834F5">
              <w:rPr>
                <w:rFonts w:ascii="OpenSans" w:hAnsi="OpenSans" w:cs="OpenSans"/>
                <w:color w:val="434343"/>
                <w:u w:color="1A1718"/>
                <w:lang w:val="en-US"/>
              </w:rPr>
              <w:t>201</w:t>
            </w:r>
            <w:r w:rsidR="004B76CE">
              <w:rPr>
                <w:rFonts w:ascii="OpenSans" w:hAnsi="OpenSans" w:cs="OpenSans"/>
                <w:color w:val="434343"/>
                <w:u w:color="1A1718"/>
                <w:lang w:val="en-US"/>
              </w:rPr>
              <w:t>8</w:t>
            </w:r>
          </w:p>
        </w:tc>
      </w:tr>
      <w:tr w:rsidR="003834F5" w14:paraId="06BE9D2C" w14:textId="77777777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59B1C718" w14:textId="77777777" w:rsidR="003834F5" w:rsidRDefault="003834F5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u w:color="1A1718"/>
                <w:lang w:val="en-US"/>
              </w:rPr>
            </w:pPr>
            <w:r>
              <w:rPr>
                <w:rFonts w:ascii="OpenSans-Bold" w:hAnsi="OpenSans-Bold" w:cs="OpenSans-Bold"/>
                <w:b/>
                <w:bCs/>
                <w:color w:val="434343"/>
                <w:u w:color="1A1718"/>
                <w:lang w:val="en-US"/>
              </w:rPr>
              <w:t>Version:</w:t>
            </w:r>
          </w:p>
        </w:tc>
        <w:tc>
          <w:tcPr>
            <w:tcW w:w="8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142FBEFD" w14:textId="293A3E40" w:rsidR="003834F5" w:rsidRDefault="003834F5" w:rsidP="005E31FB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u w:color="1A1718"/>
                <w:lang w:val="en-US"/>
              </w:rPr>
            </w:pPr>
            <w:r>
              <w:rPr>
                <w:rFonts w:ascii="OpenSans" w:hAnsi="OpenSans" w:cs="OpenSans"/>
                <w:color w:val="434343"/>
                <w:u w:color="1A1718"/>
                <w:lang w:val="en-US"/>
              </w:rPr>
              <w:t xml:space="preserve">Ver. </w:t>
            </w:r>
            <w:r w:rsidR="00AF6FC6">
              <w:rPr>
                <w:rFonts w:ascii="OpenSans" w:hAnsi="OpenSans" w:cs="OpenSans"/>
                <w:color w:val="434343"/>
                <w:u w:color="1A1718"/>
                <w:lang w:val="en-US"/>
              </w:rPr>
              <w:t>1.</w:t>
            </w:r>
            <w:r>
              <w:rPr>
                <w:rFonts w:ascii="OpenSans" w:hAnsi="OpenSans" w:cs="OpenSans"/>
                <w:color w:val="434343"/>
                <w:u w:color="1A1718"/>
                <w:lang w:val="en-US"/>
              </w:rPr>
              <w:t>3.0.</w:t>
            </w:r>
            <w:proofErr w:type="gramStart"/>
            <w:r w:rsidR="00A27B40">
              <w:rPr>
                <w:rFonts w:ascii="OpenSans" w:hAnsi="OpenSans" w:cs="OpenSans"/>
                <w:color w:val="434343"/>
                <w:u w:color="1A1718"/>
                <w:lang w:val="en-US"/>
              </w:rPr>
              <w:t>6</w:t>
            </w:r>
            <w:r w:rsidR="005E31FB">
              <w:rPr>
                <w:rFonts w:ascii="OpenSans" w:hAnsi="OpenSans" w:cs="OpenSans"/>
                <w:color w:val="434343"/>
                <w:u w:color="1A1718"/>
                <w:lang w:val="en-US"/>
              </w:rPr>
              <w:t>.</w:t>
            </w:r>
            <w:r w:rsidR="00A27B40">
              <w:rPr>
                <w:rFonts w:ascii="OpenSans" w:hAnsi="OpenSans" w:cs="OpenSans"/>
                <w:color w:val="434343"/>
                <w:u w:color="1A1718"/>
                <w:lang w:val="en-US"/>
              </w:rPr>
              <w:t>a</w:t>
            </w:r>
            <w:proofErr w:type="gramEnd"/>
            <w:r w:rsidR="00A27B40">
              <w:rPr>
                <w:rFonts w:ascii="OpenSans" w:hAnsi="OpenSans" w:cs="OpenSans"/>
                <w:color w:val="434343"/>
                <w:u w:color="1A1718"/>
                <w:lang w:val="en-US"/>
              </w:rPr>
              <w:t>1</w:t>
            </w:r>
            <w:r>
              <w:rPr>
                <w:rFonts w:ascii="OpenSans" w:hAnsi="OpenSans" w:cs="OpenSans"/>
                <w:color w:val="434343"/>
                <w:u w:color="1A1718"/>
                <w:lang w:val="en-US"/>
              </w:rPr>
              <w:t>.</w:t>
            </w:r>
          </w:p>
        </w:tc>
      </w:tr>
      <w:tr w:rsidR="003834F5" w14:paraId="2466C3B5" w14:textId="77777777">
        <w:tblPrEx>
          <w:tblBorders>
            <w:top w:val="none" w:sz="0" w:space="0" w:color="auto"/>
            <w:bottom w:val="single" w:sz="8" w:space="0" w:color="E6E6E6"/>
          </w:tblBorders>
        </w:tblPrEx>
        <w:tc>
          <w:tcPr>
            <w:tcW w:w="2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59A0495F" w14:textId="77777777" w:rsidR="003834F5" w:rsidRDefault="003834F5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u w:color="1A1718"/>
                <w:lang w:val="en-US"/>
              </w:rPr>
            </w:pPr>
            <w:r>
              <w:rPr>
                <w:rFonts w:ascii="OpenSans-Bold" w:hAnsi="OpenSans-Bold" w:cs="OpenSans-Bold"/>
                <w:b/>
                <w:bCs/>
                <w:color w:val="434343"/>
                <w:u w:color="1A1718"/>
                <w:lang w:val="en-US"/>
              </w:rPr>
              <w:t>Download format:</w:t>
            </w:r>
          </w:p>
        </w:tc>
        <w:tc>
          <w:tcPr>
            <w:tcW w:w="8160" w:type="dxa"/>
            <w:tcBorders>
              <w:bottom w:val="single" w:sz="8" w:space="0" w:color="E6E6E6"/>
            </w:tcBorders>
            <w:tcMar>
              <w:top w:w="480" w:type="nil"/>
              <w:left w:w="120" w:type="nil"/>
              <w:bottom w:w="120" w:type="nil"/>
              <w:right w:w="480" w:type="nil"/>
            </w:tcMar>
          </w:tcPr>
          <w:p w14:paraId="752B97AD" w14:textId="66A388DB" w:rsidR="003834F5" w:rsidRDefault="00AF6FC6" w:rsidP="00AF6FC6">
            <w:pPr>
              <w:widowControl w:val="0"/>
              <w:autoSpaceDE w:val="0"/>
              <w:autoSpaceDN w:val="0"/>
              <w:adjustRightInd w:val="0"/>
              <w:rPr>
                <w:rFonts w:ascii="OpenSans" w:hAnsi="OpenSans" w:cs="OpenSans"/>
                <w:color w:val="434343"/>
                <w:u w:color="1A1718"/>
                <w:lang w:val="en-US"/>
              </w:rPr>
            </w:pPr>
            <w:r>
              <w:rPr>
                <w:rFonts w:ascii="OpenSans" w:hAnsi="OpenSans" w:cs="OpenSans"/>
                <w:color w:val="434343"/>
                <w:u w:color="1A1718"/>
                <w:lang w:val="en-US"/>
              </w:rPr>
              <w:t>2</w:t>
            </w:r>
            <w:r w:rsidR="00A27B40">
              <w:rPr>
                <w:rFonts w:ascii="OpenSans" w:hAnsi="OpenSans" w:cs="OpenSans"/>
                <w:color w:val="434343"/>
                <w:u w:color="1A1718"/>
                <w:lang w:val="en-US"/>
              </w:rPr>
              <w:t>05</w:t>
            </w:r>
            <w:r>
              <w:rPr>
                <w:rFonts w:ascii="OpenSans" w:hAnsi="OpenSans" w:cs="OpenSans"/>
                <w:color w:val="434343"/>
                <w:u w:color="1A1718"/>
                <w:lang w:val="en-US"/>
              </w:rPr>
              <w:t xml:space="preserve">MB </w:t>
            </w:r>
            <w:r w:rsidR="003834F5">
              <w:rPr>
                <w:rFonts w:ascii="OpenSans" w:hAnsi="OpenSans" w:cs="OpenSans"/>
                <w:color w:val="434343"/>
                <w:u w:color="1A1718"/>
                <w:lang w:val="en-US"/>
              </w:rPr>
              <w:t>exe file (self-</w:t>
            </w:r>
            <w:r>
              <w:rPr>
                <w:rFonts w:ascii="OpenSans" w:hAnsi="OpenSans" w:cs="OpenSans"/>
                <w:color w:val="434343"/>
                <w:u w:color="1A1718"/>
                <w:lang w:val="en-US"/>
              </w:rPr>
              <w:t>guided installation</w:t>
            </w:r>
            <w:r w:rsidR="003834F5">
              <w:rPr>
                <w:rFonts w:ascii="OpenSans" w:hAnsi="OpenSans" w:cs="OpenSans"/>
                <w:color w:val="434343"/>
                <w:u w:color="1A1718"/>
                <w:lang w:val="en-US"/>
              </w:rPr>
              <w:t>)</w:t>
            </w:r>
          </w:p>
        </w:tc>
      </w:tr>
    </w:tbl>
    <w:p w14:paraId="156EB3F9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</w:pPr>
      <w:r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  <w:t>Product information</w:t>
      </w:r>
    </w:p>
    <w:p w14:paraId="52FB1A4B" w14:textId="79DDE43A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NeOGen (genetic </w:t>
      </w:r>
      <w:r w:rsidRPr="004B76CE">
        <w:rPr>
          <w:rFonts w:ascii="Helvetica Neue" w:hAnsi="Helvetica Neue" w:cs="Helvetica Neue"/>
          <w:i/>
          <w:color w:val="262626"/>
          <w:sz w:val="26"/>
          <w:szCs w:val="26"/>
          <w:u w:color="1A1718"/>
          <w:lang w:val="en-US"/>
        </w:rPr>
        <w:t>N</w:t>
      </w:r>
      <w:r w:rsidRPr="004B76CE">
        <w:rPr>
          <w:rFonts w:ascii="Helvetica Neue" w:hAnsi="Helvetica Neue" w:cs="Helvetica Neue"/>
          <w:color w:val="262626"/>
          <w:sz w:val="26"/>
          <w:szCs w:val="26"/>
          <w:u w:color="1A1718"/>
          <w:vertAlign w:val="subscript"/>
          <w:lang w:val="en-US"/>
        </w:rPr>
        <w:t>e</w:t>
      </w:r>
      <w:r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 for Overlapping Generations analysis; pronounced Neo</w:t>
      </w:r>
      <w:r w:rsidR="00A27B40"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>-</w:t>
      </w:r>
      <w:r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>gen) is point-&amp;-click genetic effective population size (</w:t>
      </w:r>
      <w:r w:rsidRPr="004B76CE">
        <w:rPr>
          <w:rFonts w:ascii="Helvetica Neue" w:hAnsi="Helvetica Neue" w:cs="Helvetica Neue"/>
          <w:i/>
          <w:color w:val="262626"/>
          <w:sz w:val="26"/>
          <w:szCs w:val="26"/>
          <w:u w:color="1A1718"/>
          <w:lang w:val="en-US"/>
        </w:rPr>
        <w:t>N</w:t>
      </w:r>
      <w:r w:rsidRPr="004B76CE">
        <w:rPr>
          <w:rFonts w:ascii="Helvetica Neue" w:hAnsi="Helvetica Neue" w:cs="Helvetica Neue"/>
          <w:color w:val="262626"/>
          <w:sz w:val="26"/>
          <w:szCs w:val="26"/>
          <w:u w:color="1A1718"/>
          <w:vertAlign w:val="subscript"/>
          <w:lang w:val="en-US"/>
        </w:rPr>
        <w:t>e</w:t>
      </w:r>
      <w:r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) and demographic modelling software. The software, initially designed for sharks, is applicable to many overlapping-generation species with moderate to low population sizes and fecundity (such as mammals). </w:t>
      </w:r>
      <w:r w:rsidR="00C36BDF"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>NeOGen</w:t>
      </w:r>
      <w:r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 provides </w:t>
      </w:r>
      <w:r w:rsidR="004B76CE" w:rsidRPr="004B76CE"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a cohesive linkage disequilibrium genetic </w:t>
      </w:r>
      <w:r w:rsidR="004B76CE" w:rsidRPr="004B76CE">
        <w:rPr>
          <w:rFonts w:ascii="Helvetica Neue" w:hAnsi="Helvetica Neue" w:cs="Helvetica Neue"/>
          <w:i/>
          <w:color w:val="262626"/>
          <w:sz w:val="26"/>
          <w:szCs w:val="26"/>
          <w:u w:color="1A1718"/>
          <w:lang w:val="en-US"/>
        </w:rPr>
        <w:t>N</w:t>
      </w:r>
      <w:r w:rsidR="004B76CE" w:rsidRPr="004B76CE">
        <w:rPr>
          <w:rFonts w:ascii="Helvetica Neue" w:hAnsi="Helvetica Neue" w:cs="Helvetica Neue"/>
          <w:color w:val="262626"/>
          <w:sz w:val="26"/>
          <w:szCs w:val="26"/>
          <w:u w:color="1A1718"/>
          <w:vertAlign w:val="subscript"/>
          <w:lang w:val="en-US"/>
        </w:rPr>
        <w:t>e</w:t>
      </w:r>
      <w:r w:rsidR="004B76CE" w:rsidRPr="004B76CE"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 estimate (</w:t>
      </w:r>
      <w:proofErr w:type="gramStart"/>
      <w:r w:rsidR="004B76CE" w:rsidRPr="004B76CE">
        <w:rPr>
          <w:rFonts w:ascii="Helvetica Neue" w:hAnsi="Helvetica Neue" w:cs="Helvetica Neue"/>
          <w:i/>
          <w:color w:val="262626"/>
          <w:sz w:val="26"/>
          <w:szCs w:val="26"/>
          <w:u w:color="1A1718"/>
          <w:lang w:val="en-US"/>
        </w:rPr>
        <w:t>N</w:t>
      </w:r>
      <w:r w:rsidR="004B76CE" w:rsidRPr="004B76CE">
        <w:rPr>
          <w:rFonts w:ascii="Helvetica Neue" w:hAnsi="Helvetica Neue" w:cs="Helvetica Neue"/>
          <w:color w:val="262626"/>
          <w:sz w:val="26"/>
          <w:szCs w:val="26"/>
          <w:u w:color="1A1718"/>
          <w:vertAlign w:val="subscript"/>
          <w:lang w:val="en-US"/>
        </w:rPr>
        <w:t>e</w:t>
      </w:r>
      <w:r w:rsidR="004B76CE" w:rsidRPr="004B76CE">
        <w:rPr>
          <w:rFonts w:ascii="Helvetica Neue" w:hAnsi="Helvetica Neue" w:cs="Helvetica Neue"/>
          <w:i/>
          <w:color w:val="262626"/>
          <w:sz w:val="26"/>
          <w:szCs w:val="26"/>
          <w:u w:color="1A1718"/>
          <w:vertAlign w:val="subscript"/>
          <w:lang w:val="en-US"/>
        </w:rPr>
        <w:t>.LD</w:t>
      </w:r>
      <w:proofErr w:type="gramEnd"/>
      <w:r w:rsidR="004B76CE" w:rsidRPr="004B76CE"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) analysis and population simulation framework that simulates both the demography and genetic composition of a population, given a small subset of fundamental species-specific life-history, demographic and genetic priors.  NeOGen then guides the researchers in-silico to establish a tractable sampling regime, resulting in the numbers of samples and loci required to give accurate and precise </w:t>
      </w:r>
      <w:proofErr w:type="gramStart"/>
      <w:r w:rsidR="004B76CE" w:rsidRPr="004B76CE">
        <w:rPr>
          <w:rFonts w:ascii="Helvetica Neue" w:hAnsi="Helvetica Neue" w:cs="Helvetica Neue"/>
          <w:i/>
          <w:color w:val="262626"/>
          <w:sz w:val="26"/>
          <w:szCs w:val="26"/>
          <w:u w:color="1A1718"/>
          <w:lang w:val="en-US"/>
        </w:rPr>
        <w:t>N</w:t>
      </w:r>
      <w:r w:rsidR="004B76CE" w:rsidRPr="004B76CE">
        <w:rPr>
          <w:rFonts w:ascii="Helvetica Neue" w:hAnsi="Helvetica Neue" w:cs="Helvetica Neue"/>
          <w:color w:val="262626"/>
          <w:sz w:val="26"/>
          <w:szCs w:val="26"/>
          <w:u w:color="1A1718"/>
          <w:vertAlign w:val="subscript"/>
          <w:lang w:val="en-US"/>
        </w:rPr>
        <w:t>e</w:t>
      </w:r>
      <w:r w:rsidR="004B76CE" w:rsidRPr="004B76CE">
        <w:rPr>
          <w:rFonts w:ascii="Helvetica Neue" w:hAnsi="Helvetica Neue" w:cs="Helvetica Neue"/>
          <w:i/>
          <w:color w:val="262626"/>
          <w:sz w:val="26"/>
          <w:szCs w:val="26"/>
          <w:u w:color="1A1718"/>
          <w:vertAlign w:val="subscript"/>
          <w:lang w:val="en-US"/>
        </w:rPr>
        <w:t>.LD</w:t>
      </w:r>
      <w:proofErr w:type="gramEnd"/>
      <w:r w:rsidR="004B76CE" w:rsidRPr="004B76CE"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 estimates when empirical sampling is performed in the field.</w:t>
      </w:r>
    </w:p>
    <w:p w14:paraId="062C89FD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</w:pPr>
      <w:r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  <w:t>Preferred citation</w:t>
      </w:r>
    </w:p>
    <w:p w14:paraId="75B6611C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>Coming soon</w:t>
      </w:r>
    </w:p>
    <w:p w14:paraId="70B863D5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</w:pPr>
      <w:r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  <w:t>License information</w:t>
      </w:r>
    </w:p>
    <w:p w14:paraId="6CDADB89" w14:textId="383A596F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>The Alpha and Beta versions of this software and documentation are currently Draft, Confidential, &amp; Copyright Dean Blower 20</w:t>
      </w:r>
      <w:r w:rsidR="00A27B40"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>18</w:t>
      </w:r>
      <w:r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 All Rights Reserved.  This is to protect our</w:t>
      </w:r>
      <w:r w:rsidR="00A27B40"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 intellectual </w:t>
      </w:r>
      <w:r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 xml:space="preserve">property until the software is accepted for publication (currently in review with journal </w:t>
      </w:r>
      <w:r w:rsidR="00A27B40"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>Molecular Ecology Resources</w:t>
      </w:r>
      <w:r>
        <w:rPr>
          <w:rFonts w:ascii="Helvetica Neue" w:hAnsi="Helvetica Neue" w:cs="Helvetica Neue"/>
          <w:color w:val="262626"/>
          <w:sz w:val="26"/>
          <w:szCs w:val="26"/>
          <w:u w:color="1A1718"/>
          <w:lang w:val="en-US"/>
        </w:rPr>
        <w:t>). When accepted for publication the software will be free and open source. Future stable releases (i.e. not alpha or beta test versions) will be licensed with a GNU General Public License (GPL) license: </w:t>
      </w:r>
      <w:hyperlink r:id="rId8" w:history="1">
        <w:r>
          <w:rPr>
            <w:rFonts w:ascii="Helvetica Neue" w:hAnsi="Helvetica Neue" w:cs="Helvetica Neue"/>
            <w:color w:val="1A1718"/>
            <w:sz w:val="26"/>
            <w:szCs w:val="26"/>
            <w:u w:val="single" w:color="1A1718"/>
            <w:lang w:val="en-US"/>
          </w:rPr>
          <w:t>https://opensource.org/licenses/GPL-3.0</w:t>
        </w:r>
      </w:hyperlink>
    </w:p>
    <w:p w14:paraId="23250C09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</w:pPr>
      <w:r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  <w:t>Computing requirements</w:t>
      </w:r>
    </w:p>
    <w:p w14:paraId="5F4B7315" w14:textId="6F6F426C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 xml:space="preserve">The minimum computing requirements for running </w:t>
      </w:r>
      <w:r w:rsidR="00C36BDF">
        <w:rPr>
          <w:rFonts w:ascii="OpenSans" w:hAnsi="OpenSans" w:cs="OpenSans"/>
          <w:color w:val="434343"/>
          <w:u w:color="1A1718"/>
          <w:lang w:val="en-US"/>
        </w:rPr>
        <w:t>NeOGen</w:t>
      </w:r>
      <w:r>
        <w:rPr>
          <w:rFonts w:ascii="OpenSans" w:hAnsi="OpenSans" w:cs="OpenSans"/>
          <w:color w:val="434343"/>
          <w:u w:color="1A1718"/>
          <w:lang w:val="en-US"/>
        </w:rPr>
        <w:t> are as follows.</w:t>
      </w:r>
    </w:p>
    <w:p w14:paraId="6C8AE736" w14:textId="2A8436E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 xml:space="preserve">A PC with any of the Microsoft Windows operating system versions listed below installed. It is assumed that if you </w:t>
      </w:r>
      <w:proofErr w:type="gramStart"/>
      <w:r>
        <w:rPr>
          <w:rFonts w:ascii="OpenSans" w:hAnsi="OpenSans" w:cs="OpenSans"/>
          <w:color w:val="434343"/>
          <w:u w:color="1A1718"/>
          <w:lang w:val="en-US"/>
        </w:rPr>
        <w:t>are able to</w:t>
      </w:r>
      <w:proofErr w:type="gramEnd"/>
      <w:r>
        <w:rPr>
          <w:rFonts w:ascii="OpenSans" w:hAnsi="OpenSans" w:cs="OpenSans"/>
          <w:color w:val="434343"/>
          <w:u w:color="1A1718"/>
          <w:lang w:val="en-US"/>
        </w:rPr>
        <w:t xml:space="preserve"> run one of these operating systems, you have enough computing power to run the </w:t>
      </w:r>
      <w:r w:rsidR="00C36BDF">
        <w:rPr>
          <w:rFonts w:ascii="OpenSans" w:hAnsi="OpenSans" w:cs="OpenSans"/>
          <w:color w:val="434343"/>
          <w:u w:color="1A1718"/>
          <w:lang w:val="en-US"/>
        </w:rPr>
        <w:t>NeOGen</w:t>
      </w:r>
      <w:r>
        <w:rPr>
          <w:rFonts w:ascii="OpenSans" w:hAnsi="OpenSans" w:cs="OpenSans"/>
          <w:color w:val="434343"/>
          <w:u w:color="1A1718"/>
          <w:lang w:val="en-US"/>
        </w:rPr>
        <w:t> software.</w:t>
      </w:r>
    </w:p>
    <w:p w14:paraId="27D4E2C1" w14:textId="77777777" w:rsidR="003834F5" w:rsidRDefault="003834F5" w:rsidP="003834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>Windows 7, 8, &amp; 10, 64-bit (32-bit not available yet)</w:t>
      </w:r>
    </w:p>
    <w:p w14:paraId="2D0BBB64" w14:textId="77777777" w:rsidR="003834F5" w:rsidRDefault="003834F5" w:rsidP="003834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>Minimum 4GB RAM</w:t>
      </w:r>
    </w:p>
    <w:p w14:paraId="3620A46D" w14:textId="72A8BBC1" w:rsidR="003834F5" w:rsidRDefault="003834F5" w:rsidP="00AF6F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>Microsoft Visual C++ 2008 Redistributable Package – This is typically already installed on many Windows machines</w:t>
      </w:r>
      <w:r w:rsidR="00AF6FC6" w:rsidRPr="00AF6FC6">
        <w:rPr>
          <w:rFonts w:ascii="OpenSans" w:hAnsi="OpenSans" w:cs="OpenSans"/>
          <w:color w:val="434343"/>
          <w:u w:color="1A1718"/>
          <w:lang w:val="en-US"/>
        </w:rPr>
        <w:t xml:space="preserve">, if it </w:t>
      </w:r>
      <w:r w:rsidR="004B76CE" w:rsidRPr="00AF6FC6">
        <w:rPr>
          <w:rFonts w:ascii="OpenSans" w:hAnsi="OpenSans" w:cs="OpenSans"/>
          <w:color w:val="434343"/>
          <w:u w:color="1A1718"/>
          <w:lang w:val="en-US"/>
        </w:rPr>
        <w:t>isn’t</w:t>
      </w:r>
      <w:r w:rsidR="00AF6FC6" w:rsidRPr="00AF6FC6">
        <w:rPr>
          <w:rFonts w:ascii="OpenSans" w:hAnsi="OpenSans" w:cs="OpenSans"/>
          <w:color w:val="434343"/>
          <w:u w:color="1A1718"/>
          <w:lang w:val="en-US"/>
        </w:rPr>
        <w:t>, the NeOGen Setup will attempt to install it</w:t>
      </w:r>
      <w:r>
        <w:rPr>
          <w:rFonts w:ascii="OpenSans" w:hAnsi="OpenSans" w:cs="OpenSans"/>
          <w:color w:val="434343"/>
          <w:u w:color="1A1718"/>
          <w:lang w:val="en-US"/>
        </w:rPr>
        <w:t>.</w:t>
      </w:r>
    </w:p>
    <w:p w14:paraId="1D50ACD0" w14:textId="77777777" w:rsidR="003834F5" w:rsidRDefault="003834F5" w:rsidP="003834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>Approximately 1 GB free hard disk space (not including user data space requirements).</w:t>
      </w:r>
    </w:p>
    <w:p w14:paraId="3B02586B" w14:textId="77777777" w:rsidR="00113391" w:rsidRDefault="00113391" w:rsidP="003834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>Best viewed at screen resolution 1280x768 with text size of 100% (i.e. not enlarged)</w:t>
      </w:r>
    </w:p>
    <w:p w14:paraId="6406C4D4" w14:textId="77777777" w:rsidR="003834F5" w:rsidRDefault="003834F5" w:rsidP="003834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>Mouse or compatible pointing device.</w:t>
      </w:r>
    </w:p>
    <w:p w14:paraId="72B9EF8D" w14:textId="77777777" w:rsidR="003834F5" w:rsidRDefault="003834F5" w:rsidP="003834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>User-specified PDF-viewer (</w:t>
      </w:r>
      <w:proofErr w:type="spellStart"/>
      <w:r>
        <w:rPr>
          <w:rFonts w:ascii="OpenSans" w:hAnsi="OpenSans" w:cs="OpenSans"/>
          <w:color w:val="434343"/>
          <w:u w:color="1A1718"/>
          <w:lang w:val="en-US"/>
        </w:rPr>
        <w:t>eg.</w:t>
      </w:r>
      <w:proofErr w:type="spellEnd"/>
      <w:r>
        <w:rPr>
          <w:rFonts w:ascii="OpenSans" w:hAnsi="OpenSans" w:cs="OpenSans"/>
          <w:color w:val="434343"/>
          <w:u w:color="1A1718"/>
          <w:lang w:val="en-US"/>
        </w:rPr>
        <w:t xml:space="preserve"> Adobe Acrobat or equivalent)</w:t>
      </w:r>
    </w:p>
    <w:p w14:paraId="6227DBB2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</w:pPr>
      <w:r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  <w:t>Further information</w:t>
      </w:r>
    </w:p>
    <w:p w14:paraId="2E243606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>Details about the software (without downloading the entire software package) are available here.</w:t>
      </w:r>
    </w:p>
    <w:p w14:paraId="3E394F68" w14:textId="77777777" w:rsidR="003834F5" w:rsidRDefault="003834F5" w:rsidP="003834F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>The user manual (</w:t>
      </w:r>
      <w:commentRangeStart w:id="2"/>
      <w:r w:rsidR="00BA77C5">
        <w:fldChar w:fldCharType="begin"/>
      </w:r>
      <w:r w:rsidR="00BA77C5">
        <w:instrText xml:space="preserve"> HYPERLINK "http://2ut9n61bkk06pj0x74a5nwzu.wpengine.netdna-cdn.com/wp-content/uploads/2016/05/NeOGen-Power__Guide_0__User_Manual_v1_0_9.pdf" </w:instrText>
      </w:r>
      <w:r w:rsidR="00BA77C5">
        <w:fldChar w:fldCharType="separate"/>
      </w:r>
      <w:r>
        <w:rPr>
          <w:rFonts w:ascii="OpenSans" w:hAnsi="OpenSans" w:cs="OpenSans"/>
          <w:color w:val="1A1718"/>
          <w:u w:val="single" w:color="1A1718"/>
          <w:lang w:val="en-US"/>
        </w:rPr>
        <w:t>Guide_0</w:t>
      </w:r>
      <w:r w:rsidR="00BA77C5">
        <w:rPr>
          <w:rFonts w:ascii="OpenSans" w:hAnsi="OpenSans" w:cs="OpenSans"/>
          <w:color w:val="1A1718"/>
          <w:u w:val="single" w:color="1A1718"/>
          <w:lang w:val="en-US"/>
        </w:rPr>
        <w:fldChar w:fldCharType="end"/>
      </w:r>
      <w:commentRangeEnd w:id="2"/>
      <w:r w:rsidR="00BA77C5">
        <w:rPr>
          <w:rStyle w:val="CommentReference"/>
        </w:rPr>
        <w:commentReference w:id="2"/>
      </w:r>
      <w:r>
        <w:rPr>
          <w:rFonts w:ascii="OpenSans" w:hAnsi="OpenSans" w:cs="OpenSans"/>
          <w:color w:val="434343"/>
          <w:u w:color="1A1718"/>
          <w:lang w:val="en-US"/>
        </w:rPr>
        <w:t>)</w:t>
      </w:r>
    </w:p>
    <w:p w14:paraId="15BDE229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 xml:space="preserve">For installation details, download the </w:t>
      </w:r>
      <w:commentRangeStart w:id="3"/>
      <w:r w:rsidR="00BA77C5">
        <w:fldChar w:fldCharType="begin"/>
      </w:r>
      <w:r w:rsidR="00BA77C5">
        <w:instrText xml:space="preserve"> HYPERLINK "http://2ut9n61bkk06pj0x74a5nwzu.wpengine.netdna-cdn.com/wp-content/uploads/2016/05/INSTALL_README.txt" </w:instrText>
      </w:r>
      <w:r w:rsidR="00BA77C5">
        <w:fldChar w:fldCharType="separate"/>
      </w:r>
      <w:r>
        <w:rPr>
          <w:rFonts w:ascii="OpenSans" w:hAnsi="OpenSans" w:cs="OpenSans"/>
          <w:color w:val="1A1718"/>
          <w:u w:val="single" w:color="1A1718"/>
          <w:lang w:val="en-US"/>
        </w:rPr>
        <w:t>README file here</w:t>
      </w:r>
      <w:r w:rsidR="00BA77C5">
        <w:rPr>
          <w:rFonts w:ascii="OpenSans" w:hAnsi="OpenSans" w:cs="OpenSans"/>
          <w:color w:val="1A1718"/>
          <w:u w:val="single" w:color="1A1718"/>
          <w:lang w:val="en-US"/>
        </w:rPr>
        <w:fldChar w:fldCharType="end"/>
      </w:r>
      <w:commentRangeEnd w:id="3"/>
      <w:r w:rsidR="00BA77C5">
        <w:rPr>
          <w:rStyle w:val="CommentReference"/>
        </w:rPr>
        <w:commentReference w:id="3"/>
      </w:r>
      <w:r>
        <w:rPr>
          <w:rFonts w:ascii="OpenSans" w:hAnsi="OpenSans" w:cs="OpenSans"/>
          <w:color w:val="434343"/>
          <w:u w:color="1A1718"/>
          <w:lang w:val="en-US"/>
        </w:rPr>
        <w:t>.</w:t>
      </w:r>
    </w:p>
    <w:p w14:paraId="309A06D4" w14:textId="2020F79A" w:rsidR="00E13D05" w:rsidRDefault="00E13D0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 xml:space="preserve">For details on what ‘s new in this latest version, download the </w:t>
      </w:r>
      <w:commentRangeStart w:id="4"/>
      <w:r w:rsidRPr="00BA77C5">
        <w:rPr>
          <w:rFonts w:ascii="OpenSans" w:hAnsi="OpenSans" w:cs="OpenSans"/>
          <w:color w:val="434343"/>
          <w:u w:val="single" w:color="1A1718"/>
          <w:lang w:val="en-US"/>
        </w:rPr>
        <w:t>CHANGE</w:t>
      </w:r>
      <w:r w:rsidR="00A27B40" w:rsidRPr="00BA77C5">
        <w:rPr>
          <w:rFonts w:ascii="OpenSans" w:hAnsi="OpenSans" w:cs="OpenSans"/>
          <w:color w:val="434343"/>
          <w:u w:val="single" w:color="1A1718"/>
          <w:lang w:val="en-US"/>
        </w:rPr>
        <w:t>_</w:t>
      </w:r>
      <w:r w:rsidRPr="00BA77C5">
        <w:rPr>
          <w:rFonts w:ascii="OpenSans" w:hAnsi="OpenSans" w:cs="OpenSans"/>
          <w:color w:val="434343"/>
          <w:u w:val="single" w:color="1A1718"/>
          <w:lang w:val="en-US"/>
        </w:rPr>
        <w:t>LOG file here</w:t>
      </w:r>
      <w:commentRangeEnd w:id="4"/>
      <w:r w:rsidR="00BA77C5">
        <w:rPr>
          <w:rStyle w:val="CommentReference"/>
        </w:rPr>
        <w:commentReference w:id="4"/>
      </w:r>
      <w:r>
        <w:rPr>
          <w:rFonts w:ascii="OpenSans" w:hAnsi="OpenSans" w:cs="OpenSans"/>
          <w:color w:val="434343"/>
          <w:u w:color="1A1718"/>
          <w:lang w:val="en-US"/>
        </w:rPr>
        <w:t>.</w:t>
      </w:r>
    </w:p>
    <w:p w14:paraId="2004B4E1" w14:textId="403EE026" w:rsidR="003834F5" w:rsidRDefault="00A27B40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" w:hAnsi="OpenSans" w:cs="OpenSans"/>
          <w:color w:val="434343"/>
          <w:u w:color="1A1718"/>
          <w:lang w:val="en-US"/>
        </w:rPr>
        <w:t xml:space="preserve">Four </w:t>
      </w:r>
      <w:r w:rsidR="003834F5">
        <w:rPr>
          <w:rFonts w:ascii="OpenSans" w:hAnsi="OpenSans" w:cs="OpenSans"/>
          <w:color w:val="434343"/>
          <w:u w:color="1A1718"/>
          <w:lang w:val="en-US"/>
        </w:rPr>
        <w:t xml:space="preserve">screen shots are available; the </w:t>
      </w:r>
      <w:commentRangeStart w:id="5"/>
      <w:r w:rsidRPr="009C13FD">
        <w:rPr>
          <w:rFonts w:ascii="OpenSans" w:hAnsi="OpenSans" w:cs="OpenSans"/>
          <w:color w:val="434343"/>
          <w:u w:val="single" w:color="1A1718"/>
          <w:lang w:val="en-US"/>
        </w:rPr>
        <w:t>Scenario specification screen</w:t>
      </w:r>
      <w:commentRangeEnd w:id="5"/>
      <w:r w:rsidR="00BA77C5">
        <w:rPr>
          <w:rStyle w:val="CommentReference"/>
        </w:rPr>
        <w:commentReference w:id="5"/>
      </w:r>
      <w:r>
        <w:rPr>
          <w:rFonts w:ascii="OpenSans" w:hAnsi="OpenSans" w:cs="OpenSans"/>
          <w:color w:val="434343"/>
          <w:u w:color="1A1718"/>
          <w:lang w:val="en-US"/>
        </w:rPr>
        <w:t xml:space="preserve">, the </w:t>
      </w:r>
      <w:commentRangeStart w:id="6"/>
      <w:r w:rsidRPr="009C13FD">
        <w:rPr>
          <w:rFonts w:ascii="OpenSans" w:hAnsi="OpenSans" w:cs="OpenSans"/>
          <w:color w:val="434343"/>
          <w:u w:val="single" w:color="1A1718"/>
          <w:lang w:val="en-US"/>
        </w:rPr>
        <w:t>Scenario results</w:t>
      </w:r>
      <w:hyperlink r:id="rId9" w:history="1">
        <w:r w:rsidR="003834F5" w:rsidRPr="009C13FD">
          <w:rPr>
            <w:rFonts w:ascii="OpenSans" w:hAnsi="OpenSans" w:cs="OpenSans"/>
            <w:color w:val="1A1718"/>
            <w:u w:val="single" w:color="1A1718"/>
            <w:lang w:val="en-US"/>
          </w:rPr>
          <w:t xml:space="preserve"> screen</w:t>
        </w:r>
      </w:hyperlink>
      <w:commentRangeEnd w:id="6"/>
      <w:r w:rsidR="00BA77C5">
        <w:rPr>
          <w:rStyle w:val="CommentReference"/>
        </w:rPr>
        <w:commentReference w:id="6"/>
      </w:r>
      <w:r w:rsidRPr="009C13FD">
        <w:rPr>
          <w:rFonts w:ascii="OpenSans" w:hAnsi="OpenSans" w:cs="OpenSans"/>
          <w:color w:val="1A1718"/>
          <w:u w:color="1A1718"/>
          <w:lang w:val="en-US"/>
        </w:rPr>
        <w:t xml:space="preserve">, the </w:t>
      </w:r>
      <w:commentRangeStart w:id="7"/>
      <w:r>
        <w:rPr>
          <w:rFonts w:ascii="OpenSans" w:hAnsi="OpenSans" w:cs="OpenSans"/>
          <w:color w:val="1A1718"/>
          <w:u w:val="single" w:color="1A1718"/>
          <w:lang w:val="en-US"/>
        </w:rPr>
        <w:t>Sampling Strategy specification screen</w:t>
      </w:r>
      <w:commentRangeEnd w:id="7"/>
      <w:r w:rsidR="00BA77C5">
        <w:rPr>
          <w:rStyle w:val="CommentReference"/>
        </w:rPr>
        <w:commentReference w:id="7"/>
      </w:r>
      <w:r>
        <w:rPr>
          <w:rFonts w:ascii="OpenSans" w:hAnsi="OpenSans" w:cs="OpenSans"/>
          <w:color w:val="1A1718"/>
          <w:u w:val="single" w:color="1A1718"/>
          <w:lang w:val="en-US"/>
        </w:rPr>
        <w:t>,</w:t>
      </w:r>
      <w:r w:rsidR="003834F5">
        <w:rPr>
          <w:rFonts w:ascii="OpenSans" w:hAnsi="OpenSans" w:cs="OpenSans"/>
          <w:color w:val="434343"/>
          <w:u w:color="1A1718"/>
          <w:lang w:val="en-US"/>
        </w:rPr>
        <w:t xml:space="preserve"> and the </w:t>
      </w:r>
      <w:commentRangeStart w:id="8"/>
      <w:r w:rsidR="00BA77C5">
        <w:fldChar w:fldCharType="begin"/>
      </w:r>
      <w:r w:rsidR="00BA77C5">
        <w:instrText xml:space="preserve"> HYPERLINK "http://2ut9n61bkk06pj0x74a5nwzu.wpengine.netdna-cdn.com/wp-content/uploads/2016/05/NeOGen-Power__Sampling_Strategy_Screen_LowRes_V1.png" </w:instrText>
      </w:r>
      <w:r w:rsidR="00BA77C5">
        <w:fldChar w:fldCharType="separate"/>
      </w:r>
      <w:r w:rsidR="00BA77C5">
        <w:rPr>
          <w:rFonts w:ascii="OpenSans" w:hAnsi="OpenSans" w:cs="OpenSans"/>
          <w:color w:val="1A1718"/>
          <w:u w:val="single" w:color="1A1718"/>
          <w:lang w:val="en-US"/>
        </w:rPr>
        <w:t>S</w:t>
      </w:r>
      <w:r w:rsidR="003834F5">
        <w:rPr>
          <w:rFonts w:ascii="OpenSans" w:hAnsi="OpenSans" w:cs="OpenSans"/>
          <w:color w:val="1A1718"/>
          <w:u w:val="single" w:color="1A1718"/>
          <w:lang w:val="en-US"/>
        </w:rPr>
        <w:t xml:space="preserve">ampling </w:t>
      </w:r>
      <w:r w:rsidR="00BA77C5">
        <w:rPr>
          <w:rFonts w:ascii="OpenSans" w:hAnsi="OpenSans" w:cs="OpenSans"/>
          <w:color w:val="1A1718"/>
          <w:u w:val="single" w:color="1A1718"/>
          <w:lang w:val="en-US"/>
        </w:rPr>
        <w:t>S</w:t>
      </w:r>
      <w:r w:rsidR="003834F5">
        <w:rPr>
          <w:rFonts w:ascii="OpenSans" w:hAnsi="OpenSans" w:cs="OpenSans"/>
          <w:color w:val="1A1718"/>
          <w:u w:val="single" w:color="1A1718"/>
          <w:lang w:val="en-US"/>
        </w:rPr>
        <w:t>trategy results screen</w:t>
      </w:r>
      <w:r w:rsidR="00BA77C5">
        <w:rPr>
          <w:rFonts w:ascii="OpenSans" w:hAnsi="OpenSans" w:cs="OpenSans"/>
          <w:color w:val="1A1718"/>
          <w:u w:val="single" w:color="1A1718"/>
          <w:lang w:val="en-US"/>
        </w:rPr>
        <w:fldChar w:fldCharType="end"/>
      </w:r>
      <w:commentRangeEnd w:id="8"/>
      <w:r w:rsidR="00BA77C5">
        <w:rPr>
          <w:rStyle w:val="CommentReference"/>
        </w:rPr>
        <w:commentReference w:id="8"/>
      </w:r>
      <w:r w:rsidR="003834F5">
        <w:rPr>
          <w:rFonts w:ascii="OpenSans" w:hAnsi="OpenSans" w:cs="OpenSans"/>
          <w:color w:val="434343"/>
          <w:u w:color="1A1718"/>
          <w:lang w:val="en-US"/>
        </w:rPr>
        <w:t>.</w:t>
      </w:r>
    </w:p>
    <w:p w14:paraId="6F9BE89D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</w:pPr>
      <w:r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  <w:t>Frequently asked questions</w:t>
      </w:r>
    </w:p>
    <w:p w14:paraId="4B37B6CF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>Q: Is there a version of NeOGen available for Linux and/or Macs?</w:t>
      </w:r>
    </w:p>
    <w:p w14:paraId="336D1311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>A: </w:t>
      </w:r>
      <w:r>
        <w:rPr>
          <w:rFonts w:ascii="OpenSans" w:hAnsi="OpenSans" w:cs="OpenSans"/>
          <w:color w:val="434343"/>
          <w:u w:color="1A1718"/>
          <w:lang w:val="en-US"/>
        </w:rPr>
        <w:t>No, sorry Linux &amp; Apple users. Hopefully we can supply a version compatible with your OS in the next versions.</w:t>
      </w:r>
    </w:p>
    <w:p w14:paraId="7A815448" w14:textId="4974A210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 xml:space="preserve">Q: How do I get a copy of </w:t>
      </w:r>
      <w:r w:rsidR="00C36BDF">
        <w:rPr>
          <w:rFonts w:ascii="OpenSans-Bold" w:hAnsi="OpenSans-Bold" w:cs="OpenSans-Bold"/>
          <w:b/>
          <w:bCs/>
          <w:color w:val="434343"/>
          <w:u w:color="1A1718"/>
          <w:lang w:val="en-US"/>
        </w:rPr>
        <w:t>NeOGen</w:t>
      </w: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>?</w:t>
      </w:r>
    </w:p>
    <w:p w14:paraId="4E8B3794" w14:textId="2EE0C444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>A:</w:t>
      </w:r>
      <w:r>
        <w:rPr>
          <w:rFonts w:ascii="OpenSans" w:hAnsi="OpenSans" w:cs="OpenSans"/>
          <w:color w:val="434343"/>
          <w:u w:color="1A1718"/>
          <w:lang w:val="en-US"/>
        </w:rPr>
        <w:t xml:space="preserve"> Click on the link below to open the </w:t>
      </w:r>
      <w:r w:rsidR="00C36BDF">
        <w:rPr>
          <w:rFonts w:ascii="OpenSans" w:hAnsi="OpenSans" w:cs="OpenSans"/>
          <w:color w:val="434343"/>
          <w:u w:color="1A1718"/>
          <w:lang w:val="en-US"/>
        </w:rPr>
        <w:t>NeOGen</w:t>
      </w:r>
      <w:r>
        <w:rPr>
          <w:rFonts w:ascii="OpenSans" w:hAnsi="OpenSans" w:cs="OpenSans"/>
          <w:color w:val="434343"/>
          <w:u w:color="1A1718"/>
          <w:lang w:val="en-US"/>
        </w:rPr>
        <w:t xml:space="preserve"> registration page. Register yourself as a user of </w:t>
      </w:r>
      <w:r w:rsidR="00C36BDF">
        <w:rPr>
          <w:rFonts w:ascii="OpenSans" w:hAnsi="OpenSans" w:cs="OpenSans"/>
          <w:color w:val="434343"/>
          <w:u w:color="1A1718"/>
          <w:lang w:val="en-US"/>
        </w:rPr>
        <w:t>NeOGen</w:t>
      </w:r>
      <w:r>
        <w:rPr>
          <w:rFonts w:ascii="OpenSans" w:hAnsi="OpenSans" w:cs="OpenSans"/>
          <w:color w:val="434343"/>
          <w:u w:color="1A1718"/>
          <w:lang w:val="en-US"/>
        </w:rPr>
        <w:t xml:space="preserve"> (enter your details in the spaces provided and click the submit button), then download the </w:t>
      </w:r>
      <w:r w:rsidR="00C36BDF">
        <w:rPr>
          <w:rFonts w:ascii="OpenSans" w:hAnsi="OpenSans" w:cs="OpenSans"/>
          <w:color w:val="434343"/>
          <w:u w:color="1A1718"/>
          <w:lang w:val="en-US"/>
        </w:rPr>
        <w:t>NeOGen</w:t>
      </w:r>
      <w:r>
        <w:rPr>
          <w:rFonts w:ascii="OpenSans" w:hAnsi="OpenSans" w:cs="OpenSans"/>
          <w:color w:val="434343"/>
          <w:u w:color="1A1718"/>
          <w:lang w:val="en-US"/>
        </w:rPr>
        <w:t xml:space="preserve"> installation file (</w:t>
      </w:r>
      <w:r w:rsidR="00113391" w:rsidRPr="00113391">
        <w:rPr>
          <w:rFonts w:ascii="OpenSans" w:hAnsi="OpenSans" w:cs="OpenSans"/>
          <w:color w:val="434343"/>
          <w:u w:color="1A1718"/>
          <w:lang w:val="en-US"/>
        </w:rPr>
        <w:t>Setup-</w:t>
      </w:r>
      <w:r w:rsidR="00C36BDF">
        <w:rPr>
          <w:rFonts w:ascii="OpenSans" w:hAnsi="OpenSans" w:cs="OpenSans"/>
          <w:color w:val="434343"/>
          <w:u w:color="1A1718"/>
          <w:lang w:val="en-US"/>
        </w:rPr>
        <w:t>NeOGen</w:t>
      </w:r>
      <w:r>
        <w:rPr>
          <w:rFonts w:ascii="OpenSans" w:hAnsi="OpenSans" w:cs="OpenSans"/>
          <w:color w:val="434343"/>
          <w:u w:color="1A1718"/>
          <w:lang w:val="en-US"/>
        </w:rPr>
        <w:t>.exe).</w:t>
      </w:r>
    </w:p>
    <w:p w14:paraId="4DE0187C" w14:textId="58C87090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 xml:space="preserve">Q: How do I get </w:t>
      </w:r>
      <w:r w:rsidR="00C36BDF">
        <w:rPr>
          <w:rFonts w:ascii="OpenSans-Bold" w:hAnsi="OpenSans-Bold" w:cs="OpenSans-Bold"/>
          <w:b/>
          <w:bCs/>
          <w:color w:val="434343"/>
          <w:u w:color="1A1718"/>
          <w:lang w:val="en-US"/>
        </w:rPr>
        <w:t>NeOGen</w:t>
      </w: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 xml:space="preserve"> started once I have downloaded the installation file?</w:t>
      </w:r>
    </w:p>
    <w:p w14:paraId="29182038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>A: </w:t>
      </w:r>
      <w:r>
        <w:rPr>
          <w:rFonts w:ascii="OpenSans" w:hAnsi="OpenSans" w:cs="OpenSans"/>
          <w:color w:val="434343"/>
          <w:u w:color="1A1718"/>
          <w:lang w:val="en-US"/>
        </w:rPr>
        <w:t>Please use the following installation procedure:</w:t>
      </w:r>
    </w:p>
    <w:p w14:paraId="30A9DD2E" w14:textId="77777777" w:rsidR="00113391" w:rsidRPr="00113391" w:rsidRDefault="00113391" w:rsidP="0011339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Download </w:t>
      </w:r>
      <w:r>
        <w:rPr>
          <w:rFonts w:ascii="OpenSans" w:hAnsi="OpenSans" w:cs="OpenSans"/>
          <w:color w:val="434343"/>
          <w:u w:color="1A1718"/>
          <w:lang w:val="en-US"/>
        </w:rPr>
        <w:t xml:space="preserve">the </w:t>
      </w:r>
      <w:r w:rsidRPr="00113391">
        <w:rPr>
          <w:rFonts w:ascii="OpenSans" w:hAnsi="OpenSans" w:cs="OpenSans"/>
          <w:color w:val="434343"/>
          <w:u w:color="1A1718"/>
          <w:lang w:val="en-US"/>
        </w:rPr>
        <w:t>Setup EXE file</w:t>
      </w:r>
      <w:r w:rsidR="00A9388B">
        <w:rPr>
          <w:rFonts w:ascii="OpenSans" w:hAnsi="OpenSans" w:cs="OpenSans"/>
          <w:color w:val="434343"/>
          <w:u w:color="1A1718"/>
          <w:lang w:val="en-US"/>
        </w:rPr>
        <w:t>.</w:t>
      </w:r>
    </w:p>
    <w:p w14:paraId="7F970333" w14:textId="77777777" w:rsidR="00113391" w:rsidRPr="00113391" w:rsidRDefault="00113391" w:rsidP="0011339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Double-click </w:t>
      </w:r>
      <w:r>
        <w:rPr>
          <w:rFonts w:ascii="OpenSans" w:hAnsi="OpenSans" w:cs="OpenSans"/>
          <w:color w:val="434343"/>
          <w:u w:color="1A1718"/>
          <w:lang w:val="en-US"/>
        </w:rPr>
        <w:t xml:space="preserve">the </w:t>
      </w:r>
      <w:r w:rsidRPr="00113391">
        <w:rPr>
          <w:rFonts w:ascii="OpenSans" w:hAnsi="OpenSans" w:cs="OpenSans"/>
          <w:color w:val="434343"/>
          <w:u w:color="1A1718"/>
          <w:lang w:val="en-US"/>
        </w:rPr>
        <w:t>Setup EXE to start installation</w:t>
      </w:r>
      <w:r w:rsidR="00A9388B">
        <w:rPr>
          <w:rFonts w:ascii="OpenSans" w:hAnsi="OpenSans" w:cs="OpenSans"/>
          <w:color w:val="434343"/>
          <w:u w:color="1A1718"/>
          <w:lang w:val="en-US"/>
        </w:rPr>
        <w:t>.</w:t>
      </w:r>
    </w:p>
    <w:p w14:paraId="5F62C565" w14:textId="77777777" w:rsidR="00113391" w:rsidRDefault="00113391" w:rsidP="0011339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Specify the installation drive &amp; folder. </w:t>
      </w:r>
    </w:p>
    <w:p w14:paraId="6B3B95EC" w14:textId="77777777" w:rsidR="00113391" w:rsidRPr="00113391" w:rsidRDefault="00113391" w:rsidP="00A27B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" w:hAnsi="OpenSans" w:cs="OpenSans"/>
          <w:color w:val="434343"/>
          <w:u w:color="1A1718"/>
          <w:lang w:val="en-US"/>
        </w:rPr>
      </w:pPr>
      <w:r w:rsidRPr="00113391">
        <w:rPr>
          <w:rFonts w:ascii="OpenSans" w:hAnsi="OpenSans" w:cs="OpenSans"/>
          <w:color w:val="434343"/>
          <w:u w:color="1A1718"/>
          <w:lang w:val="en-US"/>
        </w:rPr>
        <w:tab/>
        <w:t xml:space="preserve">- </w:t>
      </w:r>
      <w:r>
        <w:rPr>
          <w:rFonts w:ascii="OpenSans" w:hAnsi="OpenSans" w:cs="OpenSans"/>
          <w:color w:val="434343"/>
          <w:u w:color="1A1718"/>
          <w:lang w:val="en-US"/>
        </w:rPr>
        <w:t>Using the</w:t>
      </w: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 default folder is recommended. Do NOT use a windows system reserved folder e.g. C:\Windows\Program Files, as security permissions may prevent </w:t>
      </w:r>
      <w:r>
        <w:rPr>
          <w:rFonts w:ascii="OpenSans" w:hAnsi="OpenSans" w:cs="OpenSans"/>
          <w:color w:val="434343"/>
          <w:u w:color="1A1718"/>
          <w:lang w:val="en-US"/>
        </w:rPr>
        <w:t xml:space="preserve">correct </w:t>
      </w:r>
      <w:r w:rsidRPr="00113391">
        <w:rPr>
          <w:rFonts w:ascii="OpenSans" w:hAnsi="OpenSans" w:cs="OpenSans"/>
          <w:color w:val="434343"/>
          <w:u w:color="1A1718"/>
          <w:lang w:val="en-US"/>
        </w:rPr>
        <w:t>NeOGen operation.</w:t>
      </w:r>
    </w:p>
    <w:p w14:paraId="67F35D97" w14:textId="77777777" w:rsidR="00113391" w:rsidRDefault="00113391" w:rsidP="00A27B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" w:hAnsi="OpenSans" w:cs="OpenSans"/>
          <w:color w:val="434343"/>
          <w:u w:color="1A1718"/>
          <w:lang w:val="en-US"/>
        </w:rPr>
      </w:pPr>
      <w:r w:rsidRPr="00113391">
        <w:rPr>
          <w:rFonts w:ascii="OpenSans" w:hAnsi="OpenSans" w:cs="OpenSans"/>
          <w:color w:val="434343"/>
          <w:u w:color="1A1718"/>
          <w:lang w:val="en-US"/>
        </w:rPr>
        <w:tab/>
        <w:t xml:space="preserve">- Install to a </w:t>
      </w:r>
      <w:r w:rsidR="00A9388B" w:rsidRPr="00113391">
        <w:rPr>
          <w:rFonts w:ascii="OpenSans" w:hAnsi="OpenSans" w:cs="OpenSans"/>
          <w:color w:val="434343"/>
          <w:u w:color="1A1718"/>
          <w:lang w:val="en-US"/>
        </w:rPr>
        <w:t>permanently</w:t>
      </w: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 attached drive. Installing to a removable drive, e.g. USB drive, is not recommended</w:t>
      </w:r>
      <w:r>
        <w:rPr>
          <w:rFonts w:ascii="OpenSans" w:hAnsi="OpenSans" w:cs="OpenSans"/>
          <w:color w:val="434343"/>
          <w:u w:color="1A1718"/>
          <w:lang w:val="en-US"/>
        </w:rPr>
        <w:t>.</w:t>
      </w:r>
    </w:p>
    <w:p w14:paraId="7E5A688E" w14:textId="77777777" w:rsidR="00113391" w:rsidRPr="00113391" w:rsidRDefault="00113391" w:rsidP="0011339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Follow the prompts to </w:t>
      </w:r>
      <w:proofErr w:type="spellStart"/>
      <w:r w:rsidRPr="00113391">
        <w:rPr>
          <w:rFonts w:ascii="OpenSans" w:hAnsi="OpenSans" w:cs="OpenSans"/>
          <w:color w:val="434343"/>
          <w:u w:color="1A1718"/>
          <w:lang w:val="en-US"/>
        </w:rPr>
        <w:t>finalise</w:t>
      </w:r>
      <w:proofErr w:type="spellEnd"/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 the installation. Use the default values for best results.</w:t>
      </w:r>
    </w:p>
    <w:p w14:paraId="6D6A15B5" w14:textId="56A7656B" w:rsidR="00113391" w:rsidRPr="00113391" w:rsidRDefault="00113391" w:rsidP="0011339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Double-click the </w:t>
      </w:r>
      <w:r w:rsidR="00C36BDF">
        <w:rPr>
          <w:rFonts w:ascii="OpenSans" w:hAnsi="OpenSans" w:cs="OpenSans"/>
          <w:color w:val="434343"/>
          <w:u w:color="1A1718"/>
          <w:lang w:val="en-US"/>
        </w:rPr>
        <w:t>NeOGen</w:t>
      </w: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 shortcut (on the desktop, in the start menu, or in the install</w:t>
      </w:r>
      <w:r w:rsidR="00A9388B">
        <w:rPr>
          <w:rFonts w:ascii="OpenSans" w:hAnsi="OpenSans" w:cs="OpenSans"/>
          <w:color w:val="434343"/>
          <w:u w:color="1A1718"/>
          <w:lang w:val="en-US"/>
        </w:rPr>
        <w:t>ation</w:t>
      </w: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 folder) to start NeOGen.  </w:t>
      </w:r>
      <w:r w:rsidR="00815240" w:rsidRPr="00113391">
        <w:rPr>
          <w:rFonts w:ascii="OpenSans" w:hAnsi="OpenSans" w:cs="OpenSans"/>
          <w:color w:val="434343"/>
          <w:u w:color="1A1718"/>
          <w:lang w:val="en-US"/>
        </w:rPr>
        <w:t>Don’t</w:t>
      </w: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 start it with the NOGP.exe.</w:t>
      </w:r>
    </w:p>
    <w:p w14:paraId="19CF9FFE" w14:textId="3C870CDF" w:rsidR="00113391" w:rsidRDefault="00113391" w:rsidP="0011339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You're done! Start exploring the wonder of </w:t>
      </w:r>
      <w:r w:rsidR="00C36BDF">
        <w:rPr>
          <w:rFonts w:ascii="OpenSans" w:hAnsi="OpenSans" w:cs="OpenSans"/>
          <w:color w:val="434343"/>
          <w:u w:color="1A1718"/>
          <w:lang w:val="en-US"/>
        </w:rPr>
        <w:t>NeOGen</w:t>
      </w:r>
      <w:r w:rsidRPr="00113391">
        <w:rPr>
          <w:rFonts w:ascii="OpenSans" w:hAnsi="OpenSans" w:cs="OpenSans"/>
          <w:color w:val="434343"/>
          <w:u w:color="1A1718"/>
          <w:lang w:val="en-US"/>
        </w:rPr>
        <w:t xml:space="preserve">.  Reading the guides will </w:t>
      </w:r>
      <w:proofErr w:type="gramStart"/>
      <w:r w:rsidRPr="00113391">
        <w:rPr>
          <w:rFonts w:ascii="OpenSans" w:hAnsi="OpenSans" w:cs="OpenSans"/>
          <w:color w:val="434343"/>
          <w:u w:color="1A1718"/>
          <w:lang w:val="en-US"/>
        </w:rPr>
        <w:t>help ;o</w:t>
      </w:r>
      <w:proofErr w:type="gramEnd"/>
      <w:r w:rsidRPr="00113391">
        <w:rPr>
          <w:rFonts w:ascii="OpenSans" w:hAnsi="OpenSans" w:cs="OpenSans"/>
          <w:color w:val="434343"/>
          <w:u w:color="1A1718"/>
          <w:lang w:val="en-US"/>
        </w:rPr>
        <w:t>). Guide 0 is displayed alongside the main app when its launched.</w:t>
      </w:r>
    </w:p>
    <w:p w14:paraId="4D3981A7" w14:textId="043B3C6D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 xml:space="preserve">Q: How do I uninstall </w:t>
      </w:r>
      <w:r w:rsidR="00C36BDF">
        <w:rPr>
          <w:rFonts w:ascii="OpenSans-Bold" w:hAnsi="OpenSans-Bold" w:cs="OpenSans-Bold"/>
          <w:b/>
          <w:bCs/>
          <w:color w:val="434343"/>
          <w:u w:color="1A1718"/>
          <w:lang w:val="en-US"/>
        </w:rPr>
        <w:t>NeOGen</w:t>
      </w: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>?</w:t>
      </w:r>
    </w:p>
    <w:p w14:paraId="322FCE38" w14:textId="056631A8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434343"/>
          <w:u w:color="1A1718"/>
          <w:lang w:val="en-US"/>
        </w:rPr>
      </w:pPr>
      <w:r>
        <w:rPr>
          <w:rFonts w:ascii="OpenSans-Bold" w:hAnsi="OpenSans-Bold" w:cs="OpenSans-Bold"/>
          <w:b/>
          <w:bCs/>
          <w:color w:val="434343"/>
          <w:u w:color="1A1718"/>
          <w:lang w:val="en-US"/>
        </w:rPr>
        <w:t>A:</w:t>
      </w:r>
      <w:r>
        <w:rPr>
          <w:rFonts w:ascii="OpenSans" w:hAnsi="OpenSans" w:cs="OpenSans"/>
          <w:color w:val="434343"/>
          <w:u w:color="1A1718"/>
          <w:lang w:val="en-US"/>
        </w:rPr>
        <w:t xml:space="preserve"> </w:t>
      </w:r>
      <w:r w:rsidR="00A9388B">
        <w:rPr>
          <w:rFonts w:ascii="OpenSans" w:hAnsi="OpenSans" w:cs="OpenSans"/>
          <w:color w:val="434343"/>
          <w:u w:color="1A1718"/>
          <w:lang w:val="en-US"/>
        </w:rPr>
        <w:t xml:space="preserve"> Uninstall </w:t>
      </w:r>
      <w:r w:rsidR="00C36BDF">
        <w:rPr>
          <w:rFonts w:ascii="OpenSans" w:hAnsi="OpenSans" w:cs="OpenSans"/>
          <w:color w:val="434343"/>
          <w:u w:color="1A1718"/>
          <w:lang w:val="en-US"/>
        </w:rPr>
        <w:t>NeOGen</w:t>
      </w:r>
      <w:r w:rsidR="00A9388B">
        <w:rPr>
          <w:rFonts w:ascii="OpenSans" w:hAnsi="OpenSans" w:cs="OpenSans"/>
          <w:color w:val="434343"/>
          <w:u w:color="1A1718"/>
          <w:lang w:val="en-US"/>
        </w:rPr>
        <w:t xml:space="preserve"> from the Windows Programs &amp; Features Control Panel screen by clicking on the </w:t>
      </w:r>
      <w:r w:rsidR="00C36BDF">
        <w:rPr>
          <w:rFonts w:ascii="OpenSans" w:hAnsi="OpenSans" w:cs="OpenSans"/>
          <w:color w:val="434343"/>
          <w:u w:color="1A1718"/>
          <w:lang w:val="en-US"/>
        </w:rPr>
        <w:t>NeOGen</w:t>
      </w:r>
      <w:r w:rsidR="00A9388B">
        <w:rPr>
          <w:rFonts w:ascii="OpenSans" w:hAnsi="OpenSans" w:cs="OpenSans"/>
          <w:color w:val="434343"/>
          <w:u w:color="1A1718"/>
          <w:lang w:val="en-US"/>
        </w:rPr>
        <w:t xml:space="preserve"> entry.  Alternatively, clicking on the </w:t>
      </w:r>
      <w:r w:rsidR="00A9388B" w:rsidRPr="00A9388B">
        <w:rPr>
          <w:rFonts w:ascii="OpenSans" w:hAnsi="OpenSans" w:cs="OpenSans"/>
          <w:color w:val="434343"/>
          <w:u w:color="1A1718"/>
          <w:lang w:val="en-US"/>
        </w:rPr>
        <w:t>unins000.exe</w:t>
      </w:r>
      <w:r w:rsidR="00A9388B">
        <w:rPr>
          <w:rFonts w:ascii="OpenSans" w:hAnsi="OpenSans" w:cs="OpenSans"/>
          <w:color w:val="434343"/>
          <w:u w:color="1A1718"/>
          <w:lang w:val="en-US"/>
        </w:rPr>
        <w:t xml:space="preserve"> in the installation folder will start the uninstall process. </w:t>
      </w:r>
    </w:p>
    <w:p w14:paraId="6F06F90E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</w:pPr>
    </w:p>
    <w:p w14:paraId="798D8F8F" w14:textId="77777777" w:rsidR="003834F5" w:rsidRDefault="003834F5" w:rsidP="003834F5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</w:pPr>
      <w:r>
        <w:rPr>
          <w:rFonts w:ascii="OpenSans" w:hAnsi="OpenSans" w:cs="OpenSans"/>
          <w:color w:val="262626"/>
          <w:sz w:val="48"/>
          <w:szCs w:val="48"/>
          <w:u w:color="1A1718"/>
          <w:lang w:val="en-US"/>
        </w:rPr>
        <w:t>Feedback</w:t>
      </w:r>
    </w:p>
    <w:p w14:paraId="46C95C5B" w14:textId="77777777" w:rsidR="001C6CA7" w:rsidRDefault="003834F5" w:rsidP="003834F5">
      <w:r>
        <w:rPr>
          <w:rFonts w:ascii="OpenSans" w:hAnsi="OpenSans" w:cs="OpenSans"/>
          <w:color w:val="434343"/>
          <w:u w:color="1A1718"/>
          <w:lang w:val="en-US"/>
        </w:rPr>
        <w:t xml:space="preserve">Please send any questions or feedback to </w:t>
      </w:r>
      <w:hyperlink r:id="rId10" w:history="1">
        <w:r>
          <w:rPr>
            <w:rFonts w:ascii="OpenSans" w:hAnsi="OpenSans" w:cs="OpenSans"/>
            <w:color w:val="1A1718"/>
            <w:u w:val="single" w:color="1A1718"/>
            <w:lang w:val="en-US"/>
          </w:rPr>
          <w:t>Contact Us</w:t>
        </w:r>
      </w:hyperlink>
    </w:p>
    <w:sectPr w:rsidR="001C6CA7" w:rsidSect="001C6C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an Blower" w:date="2017-12-04T12:19:00Z" w:initials="DB">
    <w:p w14:paraId="4993F48C" w14:textId="7C5D8E2E" w:rsidR="00BA77C5" w:rsidRDefault="00BA77C5">
      <w:pPr>
        <w:pStyle w:val="CommentText"/>
      </w:pPr>
      <w:r>
        <w:rPr>
          <w:rStyle w:val="CommentReference"/>
        </w:rPr>
        <w:annotationRef/>
      </w:r>
      <w:r>
        <w:t xml:space="preserve">Link to file: </w:t>
      </w:r>
    </w:p>
    <w:p w14:paraId="7D0D381B" w14:textId="4D1B39AD" w:rsidR="00BA77C5" w:rsidRDefault="00BA77C5">
      <w:pPr>
        <w:pStyle w:val="CommentText"/>
      </w:pPr>
      <w:r w:rsidRPr="00BA77C5">
        <w:t>Setup-NeoGen-Power_v1_3_0_6_a1.exe</w:t>
      </w:r>
    </w:p>
  </w:comment>
  <w:comment w:id="2" w:author="Dean Blower" w:date="2017-12-04T12:20:00Z" w:initials="DB">
    <w:p w14:paraId="6756368A" w14:textId="79D16583" w:rsidR="00BA77C5" w:rsidRDefault="00BA77C5" w:rsidP="00BA77C5">
      <w:pPr>
        <w:pStyle w:val="CommentText"/>
      </w:pPr>
      <w:r>
        <w:rPr>
          <w:rStyle w:val="CommentReference"/>
        </w:rPr>
        <w:annotationRef/>
      </w:r>
      <w:r>
        <w:t xml:space="preserve">Link to file: </w:t>
      </w:r>
    </w:p>
    <w:p w14:paraId="1C65E22A" w14:textId="080EB88C" w:rsidR="00BA77C5" w:rsidRDefault="00BA77C5">
      <w:pPr>
        <w:pStyle w:val="CommentText"/>
      </w:pPr>
      <w:r w:rsidRPr="00BA77C5">
        <w:t>NeOGen-Power_v1_3_0_6_a1__Guide_0__User_Manual_v1_1_0.pdf</w:t>
      </w:r>
    </w:p>
  </w:comment>
  <w:comment w:id="3" w:author="Dean Blower" w:date="2017-12-04T12:21:00Z" w:initials="DB">
    <w:p w14:paraId="01F2B92D" w14:textId="77777777" w:rsidR="00BA77C5" w:rsidRDefault="00BA77C5">
      <w:pPr>
        <w:pStyle w:val="CommentText"/>
      </w:pPr>
      <w:r>
        <w:rPr>
          <w:rStyle w:val="CommentReference"/>
        </w:rPr>
        <w:annotationRef/>
      </w:r>
      <w:r>
        <w:t>Link to file:</w:t>
      </w:r>
    </w:p>
    <w:p w14:paraId="391EDC38" w14:textId="2BF444FE" w:rsidR="00BA77C5" w:rsidRDefault="00BA77C5" w:rsidP="00BA77C5">
      <w:pPr>
        <w:pStyle w:val="CommentText"/>
      </w:pPr>
      <w:r w:rsidRPr="00BA77C5">
        <w:t>INSTALL_README_NeOGen_Power.txt</w:t>
      </w:r>
    </w:p>
  </w:comment>
  <w:comment w:id="4" w:author="Dean Blower" w:date="2017-12-04T12:21:00Z" w:initials="DB">
    <w:p w14:paraId="646DA018" w14:textId="77777777" w:rsidR="00BA77C5" w:rsidRDefault="00BA77C5">
      <w:pPr>
        <w:pStyle w:val="CommentText"/>
      </w:pPr>
      <w:r>
        <w:rPr>
          <w:rStyle w:val="CommentReference"/>
        </w:rPr>
        <w:annotationRef/>
      </w:r>
      <w:r>
        <w:t>Link to file:</w:t>
      </w:r>
    </w:p>
    <w:p w14:paraId="55078097" w14:textId="6ADE0CD9" w:rsidR="00BA77C5" w:rsidRDefault="00BA77C5">
      <w:pPr>
        <w:pStyle w:val="CommentText"/>
      </w:pPr>
      <w:r w:rsidRPr="00BA77C5">
        <w:t>CHANGE_LOG_NeOGen_Power.txt</w:t>
      </w:r>
    </w:p>
  </w:comment>
  <w:comment w:id="5" w:author="Dean Blower" w:date="2017-12-04T12:22:00Z" w:initials="DB">
    <w:p w14:paraId="639FC6BC" w14:textId="4B6F0CDB" w:rsidR="00BA77C5" w:rsidRDefault="00BA77C5">
      <w:pPr>
        <w:pStyle w:val="CommentText"/>
      </w:pPr>
      <w:r>
        <w:rPr>
          <w:rStyle w:val="CommentReference"/>
        </w:rPr>
        <w:annotationRef/>
      </w:r>
      <w:r>
        <w:t>Link to file:</w:t>
      </w:r>
    </w:p>
    <w:p w14:paraId="7E4CFEED" w14:textId="67DB89A0" w:rsidR="00BA77C5" w:rsidRDefault="00BA77C5">
      <w:pPr>
        <w:pStyle w:val="CommentText"/>
      </w:pPr>
      <w:r w:rsidRPr="00BA77C5">
        <w:t>NeOGen-Power__Scenario_Specification_Screen_V1.png</w:t>
      </w:r>
    </w:p>
  </w:comment>
  <w:comment w:id="6" w:author="Dean Blower" w:date="2017-12-04T12:22:00Z" w:initials="DB">
    <w:p w14:paraId="77ABB250" w14:textId="6C3B9C09" w:rsidR="00BA77C5" w:rsidRDefault="00BA77C5">
      <w:pPr>
        <w:pStyle w:val="CommentText"/>
      </w:pPr>
      <w:r>
        <w:rPr>
          <w:rStyle w:val="CommentReference"/>
        </w:rPr>
        <w:annotationRef/>
      </w:r>
      <w:r>
        <w:t>Link to file:</w:t>
      </w:r>
    </w:p>
    <w:p w14:paraId="45DDE81A" w14:textId="37F07985" w:rsidR="00BA77C5" w:rsidRDefault="00BA77C5">
      <w:pPr>
        <w:pStyle w:val="CommentText"/>
      </w:pPr>
      <w:r w:rsidRPr="00BA77C5">
        <w:t>NeOGen-Power__Scenario_Results_Screen_V1.png</w:t>
      </w:r>
    </w:p>
  </w:comment>
  <w:comment w:id="7" w:author="Dean Blower" w:date="2017-12-04T12:22:00Z" w:initials="DB">
    <w:p w14:paraId="307E5B9B" w14:textId="1F72BCC8" w:rsidR="00BA77C5" w:rsidRDefault="00BA77C5">
      <w:pPr>
        <w:pStyle w:val="CommentText"/>
      </w:pPr>
      <w:r>
        <w:rPr>
          <w:rStyle w:val="CommentReference"/>
        </w:rPr>
        <w:annotationRef/>
      </w:r>
      <w:r>
        <w:t>Link to file:</w:t>
      </w:r>
    </w:p>
    <w:p w14:paraId="0FC119DA" w14:textId="4EF79F95" w:rsidR="00BA77C5" w:rsidRDefault="00BA77C5">
      <w:pPr>
        <w:pStyle w:val="CommentText"/>
      </w:pPr>
      <w:r w:rsidRPr="00BA77C5">
        <w:t>NeOGen-Power__Sampling_Strategy_Specification_Screen_V1.png</w:t>
      </w:r>
    </w:p>
  </w:comment>
  <w:comment w:id="8" w:author="Dean Blower" w:date="2017-12-04T12:22:00Z" w:initials="DB">
    <w:p w14:paraId="245EAA46" w14:textId="77777777" w:rsidR="00BA77C5" w:rsidRDefault="00BA77C5">
      <w:pPr>
        <w:pStyle w:val="CommentText"/>
      </w:pPr>
      <w:r>
        <w:rPr>
          <w:rStyle w:val="CommentReference"/>
        </w:rPr>
        <w:annotationRef/>
      </w:r>
      <w:r>
        <w:t>Link to file:</w:t>
      </w:r>
    </w:p>
    <w:p w14:paraId="4729E98C" w14:textId="2547B5BD" w:rsidR="00BA77C5" w:rsidRDefault="00BA77C5">
      <w:pPr>
        <w:pStyle w:val="CommentText"/>
      </w:pPr>
      <w:r w:rsidRPr="00BA77C5">
        <w:t>NeOGen-Power__Sampling_Strategy_Results_Screen_V1.png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0D381B" w15:done="0"/>
  <w15:commentEx w15:paraId="1C65E22A" w15:done="0"/>
  <w15:commentEx w15:paraId="391EDC38" w15:done="0"/>
  <w15:commentEx w15:paraId="55078097" w15:done="0"/>
  <w15:commentEx w15:paraId="7E4CFEED" w15:done="0"/>
  <w15:commentEx w15:paraId="45DDE81A" w15:done="0"/>
  <w15:commentEx w15:paraId="0FC119DA" w15:done="0"/>
  <w15:commentEx w15:paraId="4729E9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0D381B" w16cid:durableId="1DCFBBC5"/>
  <w16cid:commentId w16cid:paraId="1C65E22A" w16cid:durableId="1DCFBBF9"/>
  <w16cid:commentId w16cid:paraId="391EDC38" w16cid:durableId="1DCFBC36"/>
  <w16cid:commentId w16cid:paraId="55078097" w16cid:durableId="1DCFBC5F"/>
  <w16cid:commentId w16cid:paraId="7E4CFEED" w16cid:durableId="1DCFBC70"/>
  <w16cid:commentId w16cid:paraId="45DDE81A" w16cid:durableId="1DCFBC76"/>
  <w16cid:commentId w16cid:paraId="0FC119DA" w16cid:durableId="1DCFBC7C"/>
  <w16cid:commentId w16cid:paraId="4729E98C" w16cid:durableId="1DCFBC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an Blower">
    <w15:presenceInfo w15:providerId="Windows Live" w15:userId="a7dbc3dc2ed819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4F5"/>
    <w:rsid w:val="00113391"/>
    <w:rsid w:val="00122459"/>
    <w:rsid w:val="001A4EDA"/>
    <w:rsid w:val="001C6CA7"/>
    <w:rsid w:val="00311237"/>
    <w:rsid w:val="003410DA"/>
    <w:rsid w:val="003834F5"/>
    <w:rsid w:val="003C1E5F"/>
    <w:rsid w:val="004B76CE"/>
    <w:rsid w:val="005A4086"/>
    <w:rsid w:val="005E31FB"/>
    <w:rsid w:val="00815240"/>
    <w:rsid w:val="009C13FD"/>
    <w:rsid w:val="00A01DA6"/>
    <w:rsid w:val="00A27B40"/>
    <w:rsid w:val="00A9388B"/>
    <w:rsid w:val="00AF6FC6"/>
    <w:rsid w:val="00BA77C5"/>
    <w:rsid w:val="00C36BDF"/>
    <w:rsid w:val="00E13D05"/>
    <w:rsid w:val="00E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66E13"/>
  <w14:defaultImageDpi w14:val="300"/>
  <w15:docId w15:val="{B22A02CC-0A6F-4E4F-B398-4AF6ABCA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F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FC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3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D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D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org/licenses/GPL-3.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://www.molecularfisherieslaboratory.com.au/contact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ut9n61bkk06pj0x74a5nwzu.wpengine.netdna-cdn.com/wp-content/uploads/2016/05/NeOGen-Power__Demographic_Result_Screen_LowRes_V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Molecular Fisheries Laboratory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Ovenden</dc:creator>
  <cp:keywords/>
  <dc:description/>
  <cp:lastModifiedBy>Dean</cp:lastModifiedBy>
  <cp:revision>2</cp:revision>
  <dcterms:created xsi:type="dcterms:W3CDTF">2018-08-20T05:30:00Z</dcterms:created>
  <dcterms:modified xsi:type="dcterms:W3CDTF">2018-08-20T05:30:00Z</dcterms:modified>
</cp:coreProperties>
</file>