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1"/>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03"/>
        <w:gridCol w:w="1277"/>
        <w:gridCol w:w="5400"/>
        <w:gridCol w:w="1440"/>
        <w:gridCol w:w="1980"/>
        <w:gridCol w:w="1260"/>
      </w:tblGrid>
      <w:tr w:rsidR="00BD3840" w:rsidRPr="009B0914" w14:paraId="509CDBE9" w14:textId="4F9AAB79" w:rsidTr="005464CC">
        <w:tc>
          <w:tcPr>
            <w:tcW w:w="1603" w:type="dxa"/>
            <w:tcBorders>
              <w:bottom w:val="single" w:sz="4" w:space="0" w:color="auto"/>
            </w:tcBorders>
            <w:shd w:val="clear" w:color="auto" w:fill="auto"/>
          </w:tcPr>
          <w:p w14:paraId="37EAC952" w14:textId="77777777" w:rsidR="00BD3840" w:rsidRPr="009B0914" w:rsidRDefault="00BD3840" w:rsidP="009B0914">
            <w:pPr>
              <w:contextualSpacing/>
              <w:rPr>
                <w:rFonts w:asciiTheme="majorHAnsi" w:eastAsia="Calibri" w:hAnsiTheme="majorHAnsi" w:cstheme="majorHAnsi"/>
                <w:b/>
                <w:color w:val="000000"/>
                <w:sz w:val="17"/>
                <w:szCs w:val="17"/>
              </w:rPr>
            </w:pPr>
            <w:r w:rsidRPr="009B0914">
              <w:rPr>
                <w:rFonts w:asciiTheme="majorHAnsi" w:eastAsia="Calibri" w:hAnsiTheme="majorHAnsi" w:cstheme="majorHAnsi"/>
                <w:b/>
                <w:color w:val="000000"/>
                <w:sz w:val="17"/>
                <w:szCs w:val="17"/>
              </w:rPr>
              <w:t>Variable</w:t>
            </w:r>
          </w:p>
        </w:tc>
        <w:tc>
          <w:tcPr>
            <w:tcW w:w="1277" w:type="dxa"/>
            <w:tcBorders>
              <w:bottom w:val="single" w:sz="4" w:space="0" w:color="auto"/>
            </w:tcBorders>
            <w:shd w:val="clear" w:color="auto" w:fill="auto"/>
          </w:tcPr>
          <w:p w14:paraId="453A2BA0" w14:textId="77777777" w:rsidR="00BD3840" w:rsidRPr="009B0914" w:rsidRDefault="00BD3840" w:rsidP="00BF021D">
            <w:pPr>
              <w:contextualSpacing/>
              <w:jc w:val="both"/>
              <w:rPr>
                <w:rFonts w:asciiTheme="majorHAnsi" w:eastAsia="Calibri" w:hAnsiTheme="majorHAnsi" w:cstheme="majorHAnsi"/>
                <w:b/>
                <w:color w:val="000000"/>
                <w:sz w:val="17"/>
                <w:szCs w:val="17"/>
              </w:rPr>
            </w:pPr>
            <w:r w:rsidRPr="009B0914">
              <w:rPr>
                <w:rFonts w:asciiTheme="majorHAnsi" w:eastAsia="Calibri" w:hAnsiTheme="majorHAnsi" w:cstheme="majorHAnsi"/>
                <w:b/>
                <w:color w:val="000000"/>
                <w:sz w:val="17"/>
                <w:szCs w:val="17"/>
              </w:rPr>
              <w:t>Units</w:t>
            </w:r>
          </w:p>
        </w:tc>
        <w:tc>
          <w:tcPr>
            <w:tcW w:w="5400" w:type="dxa"/>
            <w:tcBorders>
              <w:bottom w:val="single" w:sz="4" w:space="0" w:color="auto"/>
            </w:tcBorders>
            <w:shd w:val="clear" w:color="auto" w:fill="auto"/>
          </w:tcPr>
          <w:p w14:paraId="63A874FC" w14:textId="77777777" w:rsidR="00BD3840" w:rsidRPr="009B0914" w:rsidRDefault="00BD3840" w:rsidP="00BF021D">
            <w:pPr>
              <w:contextualSpacing/>
              <w:jc w:val="both"/>
              <w:rPr>
                <w:rFonts w:asciiTheme="majorHAnsi" w:eastAsia="Calibri" w:hAnsiTheme="majorHAnsi" w:cstheme="majorHAnsi"/>
                <w:b/>
                <w:color w:val="000000"/>
                <w:sz w:val="17"/>
                <w:szCs w:val="17"/>
              </w:rPr>
            </w:pPr>
            <w:commentRangeStart w:id="0"/>
            <w:r w:rsidRPr="009B0914">
              <w:rPr>
                <w:rFonts w:asciiTheme="majorHAnsi" w:eastAsia="Calibri" w:hAnsiTheme="majorHAnsi" w:cstheme="majorHAnsi"/>
                <w:b/>
                <w:color w:val="000000"/>
                <w:sz w:val="17"/>
                <w:szCs w:val="17"/>
              </w:rPr>
              <w:t>Description and measurement</w:t>
            </w:r>
            <w:commentRangeEnd w:id="0"/>
            <w:r>
              <w:rPr>
                <w:rStyle w:val="CommentReference"/>
              </w:rPr>
              <w:commentReference w:id="0"/>
            </w:r>
          </w:p>
        </w:tc>
        <w:tc>
          <w:tcPr>
            <w:tcW w:w="1440" w:type="dxa"/>
            <w:tcBorders>
              <w:bottom w:val="single" w:sz="4" w:space="0" w:color="auto"/>
            </w:tcBorders>
          </w:tcPr>
          <w:p w14:paraId="0CC23EE7" w14:textId="519C5643" w:rsidR="00BD3840" w:rsidRDefault="00BD3840" w:rsidP="00BF021D">
            <w:pPr>
              <w:contextualSpacing/>
              <w:jc w:val="both"/>
              <w:rPr>
                <w:rFonts w:asciiTheme="majorHAnsi" w:eastAsia="Calibri" w:hAnsiTheme="majorHAnsi" w:cstheme="majorHAnsi"/>
                <w:b/>
                <w:color w:val="000000"/>
                <w:sz w:val="17"/>
                <w:szCs w:val="17"/>
              </w:rPr>
            </w:pPr>
            <w:r>
              <w:rPr>
                <w:rFonts w:asciiTheme="majorHAnsi" w:eastAsia="Calibri" w:hAnsiTheme="majorHAnsi" w:cstheme="majorHAnsi"/>
                <w:b/>
                <w:color w:val="000000"/>
                <w:sz w:val="17"/>
                <w:szCs w:val="17"/>
              </w:rPr>
              <w:t>Temporal extent</w:t>
            </w:r>
          </w:p>
        </w:tc>
        <w:tc>
          <w:tcPr>
            <w:tcW w:w="1980" w:type="dxa"/>
            <w:tcBorders>
              <w:bottom w:val="single" w:sz="4" w:space="0" w:color="auto"/>
            </w:tcBorders>
          </w:tcPr>
          <w:p w14:paraId="125BD85D" w14:textId="6F2F8BB9" w:rsidR="00BD3840" w:rsidRPr="009B0914" w:rsidRDefault="00D57C6D" w:rsidP="00D57C6D">
            <w:pPr>
              <w:contextualSpacing/>
              <w:rPr>
                <w:rFonts w:asciiTheme="majorHAnsi" w:eastAsia="Calibri" w:hAnsiTheme="majorHAnsi" w:cstheme="majorHAnsi"/>
                <w:b/>
                <w:color w:val="000000"/>
                <w:sz w:val="17"/>
                <w:szCs w:val="17"/>
              </w:rPr>
            </w:pPr>
            <w:r>
              <w:rPr>
                <w:rFonts w:asciiTheme="majorHAnsi" w:eastAsia="Calibri" w:hAnsiTheme="majorHAnsi" w:cstheme="majorHAnsi"/>
                <w:b/>
                <w:color w:val="000000"/>
                <w:sz w:val="17"/>
                <w:szCs w:val="17"/>
              </w:rPr>
              <w:t>D</w:t>
            </w:r>
            <w:r w:rsidR="00BD3840">
              <w:rPr>
                <w:rFonts w:asciiTheme="majorHAnsi" w:eastAsia="Calibri" w:hAnsiTheme="majorHAnsi" w:cstheme="majorHAnsi"/>
                <w:b/>
                <w:color w:val="000000"/>
                <w:sz w:val="17"/>
                <w:szCs w:val="17"/>
              </w:rPr>
              <w:t>erived variables</w:t>
            </w:r>
            <w:r>
              <w:rPr>
                <w:rFonts w:asciiTheme="majorHAnsi" w:eastAsia="Calibri" w:hAnsiTheme="majorHAnsi" w:cstheme="majorHAnsi"/>
                <w:b/>
                <w:color w:val="000000"/>
                <w:sz w:val="17"/>
                <w:szCs w:val="17"/>
              </w:rPr>
              <w:t xml:space="preserve"> calculations</w:t>
            </w:r>
          </w:p>
        </w:tc>
        <w:tc>
          <w:tcPr>
            <w:tcW w:w="1260" w:type="dxa"/>
            <w:tcBorders>
              <w:bottom w:val="single" w:sz="4" w:space="0" w:color="auto"/>
            </w:tcBorders>
            <w:shd w:val="clear" w:color="auto" w:fill="auto"/>
          </w:tcPr>
          <w:p w14:paraId="7BB12489" w14:textId="04D59FB0" w:rsidR="00BD3840" w:rsidRPr="009B0914" w:rsidRDefault="00BD3840" w:rsidP="00BF021D">
            <w:pPr>
              <w:contextualSpacing/>
              <w:jc w:val="both"/>
              <w:rPr>
                <w:rFonts w:asciiTheme="majorHAnsi" w:eastAsia="Calibri" w:hAnsiTheme="majorHAnsi" w:cstheme="majorHAnsi"/>
                <w:b/>
                <w:color w:val="000000"/>
                <w:sz w:val="17"/>
                <w:szCs w:val="17"/>
              </w:rPr>
            </w:pPr>
            <w:r w:rsidRPr="009B0914">
              <w:rPr>
                <w:rFonts w:asciiTheme="majorHAnsi" w:eastAsia="Calibri" w:hAnsiTheme="majorHAnsi" w:cstheme="majorHAnsi"/>
                <w:b/>
                <w:color w:val="000000"/>
                <w:sz w:val="17"/>
                <w:szCs w:val="17"/>
              </w:rPr>
              <w:t>Data.frame name</w:t>
            </w:r>
          </w:p>
        </w:tc>
      </w:tr>
      <w:tr w:rsidR="00BD3840" w:rsidRPr="009B0914" w14:paraId="5266D625" w14:textId="55D384F8" w:rsidTr="005464CC">
        <w:tc>
          <w:tcPr>
            <w:tcW w:w="1603" w:type="dxa"/>
            <w:tcBorders>
              <w:top w:val="single" w:sz="4" w:space="0" w:color="auto"/>
              <w:bottom w:val="single" w:sz="4" w:space="0" w:color="auto"/>
            </w:tcBorders>
            <w:shd w:val="clear" w:color="auto" w:fill="auto"/>
          </w:tcPr>
          <w:p w14:paraId="5DBF4706" w14:textId="77777777" w:rsidR="00BD3840" w:rsidRDefault="00BD3840" w:rsidP="009B0914">
            <w:pPr>
              <w:contextualSpacing/>
              <w:rPr>
                <w:rFonts w:asciiTheme="majorHAnsi" w:eastAsia="Calibri" w:hAnsiTheme="majorHAnsi" w:cstheme="majorHAnsi"/>
                <w:b/>
                <w:color w:val="000000"/>
                <w:sz w:val="17"/>
                <w:szCs w:val="17"/>
              </w:rPr>
            </w:pPr>
            <w:r>
              <w:rPr>
                <w:rFonts w:asciiTheme="majorHAnsi" w:eastAsia="Calibri" w:hAnsiTheme="majorHAnsi" w:cstheme="majorHAnsi"/>
                <w:b/>
                <w:color w:val="000000"/>
                <w:sz w:val="17"/>
                <w:szCs w:val="17"/>
              </w:rPr>
              <w:t xml:space="preserve">Farm income &amp; </w:t>
            </w:r>
          </w:p>
          <w:p w14:paraId="2CAD56DB" w14:textId="2220C200" w:rsidR="00BD3840" w:rsidRPr="009B0914" w:rsidRDefault="00BD3840" w:rsidP="009B0914">
            <w:pPr>
              <w:contextualSpacing/>
              <w:rPr>
                <w:rFonts w:asciiTheme="majorHAnsi" w:eastAsia="Calibri" w:hAnsiTheme="majorHAnsi" w:cstheme="majorHAnsi"/>
                <w:b/>
                <w:color w:val="000000"/>
                <w:sz w:val="17"/>
                <w:szCs w:val="17"/>
              </w:rPr>
            </w:pPr>
            <w:r>
              <w:rPr>
                <w:rFonts w:asciiTheme="majorHAnsi" w:eastAsia="Calibri" w:hAnsiTheme="majorHAnsi" w:cstheme="majorHAnsi"/>
                <w:b/>
                <w:color w:val="000000"/>
                <w:sz w:val="17"/>
                <w:szCs w:val="17"/>
              </w:rPr>
              <w:t>expense</w:t>
            </w:r>
          </w:p>
        </w:tc>
        <w:tc>
          <w:tcPr>
            <w:tcW w:w="1277" w:type="dxa"/>
            <w:tcBorders>
              <w:top w:val="single" w:sz="4" w:space="0" w:color="auto"/>
              <w:bottom w:val="single" w:sz="4" w:space="0" w:color="auto"/>
            </w:tcBorders>
            <w:shd w:val="clear" w:color="auto" w:fill="auto"/>
          </w:tcPr>
          <w:p w14:paraId="10E9E7E7" w14:textId="77777777" w:rsidR="00BD3840" w:rsidRPr="009B0914" w:rsidRDefault="00BD3840" w:rsidP="00BF021D">
            <w:pPr>
              <w:contextualSpacing/>
              <w:jc w:val="both"/>
              <w:rPr>
                <w:rFonts w:asciiTheme="majorHAnsi" w:eastAsia="Calibri" w:hAnsiTheme="majorHAnsi" w:cstheme="majorHAnsi"/>
                <w:color w:val="000000"/>
                <w:sz w:val="17"/>
                <w:szCs w:val="17"/>
              </w:rPr>
            </w:pPr>
          </w:p>
        </w:tc>
        <w:tc>
          <w:tcPr>
            <w:tcW w:w="5400" w:type="dxa"/>
            <w:tcBorders>
              <w:top w:val="single" w:sz="4" w:space="0" w:color="auto"/>
              <w:bottom w:val="single" w:sz="4" w:space="0" w:color="auto"/>
            </w:tcBorders>
            <w:shd w:val="clear" w:color="auto" w:fill="auto"/>
          </w:tcPr>
          <w:p w14:paraId="7872424F" w14:textId="77777777" w:rsidR="00BD3840" w:rsidRPr="009B0914" w:rsidRDefault="00BD3840" w:rsidP="00BF021D">
            <w:pPr>
              <w:contextualSpacing/>
              <w:jc w:val="both"/>
              <w:rPr>
                <w:rFonts w:asciiTheme="majorHAnsi" w:eastAsia="Calibri" w:hAnsiTheme="majorHAnsi" w:cstheme="majorHAnsi"/>
                <w:color w:val="000000"/>
                <w:sz w:val="17"/>
                <w:szCs w:val="17"/>
              </w:rPr>
            </w:pPr>
          </w:p>
        </w:tc>
        <w:tc>
          <w:tcPr>
            <w:tcW w:w="1440" w:type="dxa"/>
            <w:tcBorders>
              <w:top w:val="single" w:sz="4" w:space="0" w:color="auto"/>
              <w:bottom w:val="single" w:sz="4" w:space="0" w:color="auto"/>
            </w:tcBorders>
          </w:tcPr>
          <w:p w14:paraId="32D12A61" w14:textId="77777777" w:rsidR="00BD3840" w:rsidRPr="009B0914" w:rsidRDefault="00BD3840" w:rsidP="00BF021D">
            <w:pPr>
              <w:contextualSpacing/>
              <w:jc w:val="both"/>
              <w:rPr>
                <w:rFonts w:asciiTheme="majorHAnsi" w:eastAsia="Calibri" w:hAnsiTheme="majorHAnsi" w:cstheme="majorHAnsi"/>
                <w:color w:val="000000"/>
                <w:sz w:val="17"/>
                <w:szCs w:val="17"/>
              </w:rPr>
            </w:pPr>
          </w:p>
        </w:tc>
        <w:tc>
          <w:tcPr>
            <w:tcW w:w="1980" w:type="dxa"/>
            <w:tcBorders>
              <w:top w:val="single" w:sz="4" w:space="0" w:color="auto"/>
              <w:bottom w:val="single" w:sz="4" w:space="0" w:color="auto"/>
            </w:tcBorders>
          </w:tcPr>
          <w:p w14:paraId="2F28E0D5" w14:textId="12F3ECD4" w:rsidR="00BD3840" w:rsidRPr="009B0914" w:rsidRDefault="00BD3840" w:rsidP="00BF021D">
            <w:pPr>
              <w:contextualSpacing/>
              <w:jc w:val="both"/>
              <w:rPr>
                <w:rFonts w:asciiTheme="majorHAnsi" w:eastAsia="Calibri" w:hAnsiTheme="majorHAnsi" w:cstheme="majorHAnsi"/>
                <w:color w:val="000000"/>
                <w:sz w:val="17"/>
                <w:szCs w:val="17"/>
              </w:rPr>
            </w:pPr>
          </w:p>
        </w:tc>
        <w:tc>
          <w:tcPr>
            <w:tcW w:w="1260" w:type="dxa"/>
            <w:tcBorders>
              <w:top w:val="single" w:sz="4" w:space="0" w:color="auto"/>
              <w:bottom w:val="single" w:sz="4" w:space="0" w:color="auto"/>
            </w:tcBorders>
            <w:shd w:val="clear" w:color="auto" w:fill="auto"/>
          </w:tcPr>
          <w:p w14:paraId="2EA0F8D5" w14:textId="789960F0" w:rsidR="00BD3840" w:rsidRPr="009B0914" w:rsidRDefault="00BD3840" w:rsidP="00BF021D">
            <w:pPr>
              <w:contextualSpacing/>
              <w:jc w:val="both"/>
              <w:rPr>
                <w:rFonts w:asciiTheme="majorHAnsi" w:eastAsia="Calibri" w:hAnsiTheme="majorHAnsi" w:cstheme="majorHAnsi"/>
                <w:color w:val="000000"/>
                <w:sz w:val="17"/>
                <w:szCs w:val="17"/>
              </w:rPr>
            </w:pPr>
          </w:p>
        </w:tc>
      </w:tr>
      <w:tr w:rsidR="00BD3840" w:rsidRPr="009B0914" w14:paraId="4FF90065" w14:textId="7076DBF1" w:rsidTr="005464CC">
        <w:tc>
          <w:tcPr>
            <w:tcW w:w="1603" w:type="dxa"/>
            <w:shd w:val="clear" w:color="auto" w:fill="auto"/>
          </w:tcPr>
          <w:p w14:paraId="4E32369D" w14:textId="0BFB7859" w:rsidR="00BD3840" w:rsidRPr="009B0914" w:rsidRDefault="00BD3840" w:rsidP="009B0914">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Cash receipts from marketings</w:t>
            </w:r>
          </w:p>
        </w:tc>
        <w:tc>
          <w:tcPr>
            <w:tcW w:w="1277" w:type="dxa"/>
            <w:shd w:val="clear" w:color="auto" w:fill="auto"/>
          </w:tcPr>
          <w:p w14:paraId="7765F175" w14:textId="437B748F"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1CED2033" w14:textId="7F546D09"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w:t>
            </w:r>
            <w:r w:rsidRPr="000D177B">
              <w:rPr>
                <w:rFonts w:asciiTheme="majorHAnsi" w:eastAsia="Calibri" w:hAnsiTheme="majorHAnsi" w:cstheme="majorHAnsi"/>
                <w:color w:val="000000"/>
                <w:sz w:val="17"/>
                <w:szCs w:val="17"/>
              </w:rPr>
              <w:t>he gross revenue received by farmers from the sale of crops, livestock, and livestock products and of the value of defaulted loans made by Commodity Credit Corporation (CCC) and secured by crops.</w:t>
            </w:r>
          </w:p>
        </w:tc>
        <w:tc>
          <w:tcPr>
            <w:tcW w:w="1440" w:type="dxa"/>
          </w:tcPr>
          <w:p w14:paraId="28B7F291" w14:textId="099B8D5A" w:rsidR="00BD3840" w:rsidRPr="009B0914"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544BB41C" w14:textId="1D5388E8" w:rsidR="00BD3840" w:rsidRPr="009B0914"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1AE0A137" w14:textId="6F8173FD" w:rsidR="00BD3840" w:rsidRPr="009B0914" w:rsidRDefault="00BD3840" w:rsidP="00BF021D">
            <w:pPr>
              <w:contextualSpacing/>
              <w:jc w:val="both"/>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t>mark_receipts</w:t>
            </w:r>
          </w:p>
        </w:tc>
      </w:tr>
      <w:tr w:rsidR="00BD3840" w:rsidRPr="009B0914" w14:paraId="0170FA0A" w14:textId="77777777" w:rsidTr="005464CC">
        <w:tc>
          <w:tcPr>
            <w:tcW w:w="1603" w:type="dxa"/>
            <w:shd w:val="clear" w:color="auto" w:fill="auto"/>
          </w:tcPr>
          <w:p w14:paraId="2DEA54AD" w14:textId="63D725D9" w:rsidR="00BD3840" w:rsidRPr="009B0914" w:rsidRDefault="00BD3840" w:rsidP="009B0914">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Cash receipts: Livestock and products</w:t>
            </w:r>
          </w:p>
        </w:tc>
        <w:tc>
          <w:tcPr>
            <w:tcW w:w="1277" w:type="dxa"/>
            <w:shd w:val="clear" w:color="auto" w:fill="auto"/>
          </w:tcPr>
          <w:p w14:paraId="11BF4DFD" w14:textId="730B81AD"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731F8DEB" w14:textId="2FC153C7"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w:t>
            </w:r>
            <w:r w:rsidRPr="00637A8F">
              <w:rPr>
                <w:rFonts w:asciiTheme="majorHAnsi" w:eastAsia="Calibri" w:hAnsiTheme="majorHAnsi" w:cstheme="majorHAnsi"/>
                <w:color w:val="000000"/>
                <w:sz w:val="17"/>
                <w:szCs w:val="17"/>
              </w:rPr>
              <w:t>he value of gross revenues received from the marketings of livestock and livestock products during a given calendar year. This includes the marketing of meat animals such as cattle and calves, hogs and pigs, sheep and lambs; poultry and poultry products (including eggs); and dairy products. Also included is the marketing of horses, bees, animal aquaculture, and other miscellaneous animal species raised on agricultural operations.</w:t>
            </w:r>
          </w:p>
        </w:tc>
        <w:tc>
          <w:tcPr>
            <w:tcW w:w="1440" w:type="dxa"/>
          </w:tcPr>
          <w:p w14:paraId="692D48C0" w14:textId="6CC36537"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5CF64913" w14:textId="33E166B0"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1C945441" w14:textId="67204B51"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liv_receipts</w:t>
            </w:r>
          </w:p>
        </w:tc>
      </w:tr>
      <w:tr w:rsidR="00BD3840" w:rsidRPr="009B0914" w14:paraId="67DA485A" w14:textId="77777777" w:rsidTr="005464CC">
        <w:tc>
          <w:tcPr>
            <w:tcW w:w="1603" w:type="dxa"/>
            <w:shd w:val="clear" w:color="auto" w:fill="auto"/>
          </w:tcPr>
          <w:p w14:paraId="4C75766C" w14:textId="45690E98" w:rsidR="00BD3840" w:rsidRPr="009B0914" w:rsidRDefault="00BD3840" w:rsidP="009B0914">
            <w:pPr>
              <w:contextualSpacing/>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t>Cash receipts: Crops</w:t>
            </w:r>
          </w:p>
        </w:tc>
        <w:tc>
          <w:tcPr>
            <w:tcW w:w="1277" w:type="dxa"/>
            <w:shd w:val="clear" w:color="auto" w:fill="auto"/>
          </w:tcPr>
          <w:p w14:paraId="514CDBC2" w14:textId="1B7AC448"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0C97891B" w14:textId="0336EA73"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w:t>
            </w:r>
            <w:r w:rsidRPr="00637A8F">
              <w:rPr>
                <w:rFonts w:asciiTheme="majorHAnsi" w:eastAsia="Calibri" w:hAnsiTheme="majorHAnsi" w:cstheme="majorHAnsi"/>
                <w:color w:val="000000"/>
                <w:sz w:val="17"/>
                <w:szCs w:val="17"/>
              </w:rPr>
              <w:t>he value of gross revenues received from the marketing of crop commodities during a given calendar year. Crop commodities include grains, such as corn, wheat, and soybeans; hay; vegetables; fruits and nuts; greenhouse and nursery products; tobacco; cotton; and other miscellaneous crops.</w:t>
            </w:r>
          </w:p>
        </w:tc>
        <w:tc>
          <w:tcPr>
            <w:tcW w:w="1440" w:type="dxa"/>
          </w:tcPr>
          <w:p w14:paraId="626C33B2" w14:textId="1F0ECE71"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0F8ABA51" w14:textId="094CCD4A"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2C738C4E" w14:textId="16171B9B"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crops_receipts</w:t>
            </w:r>
          </w:p>
        </w:tc>
      </w:tr>
      <w:tr w:rsidR="00BD3840" w:rsidRPr="009B0914" w14:paraId="06C0EA6B" w14:textId="77777777" w:rsidTr="005464CC">
        <w:tc>
          <w:tcPr>
            <w:tcW w:w="1603" w:type="dxa"/>
            <w:shd w:val="clear" w:color="auto" w:fill="auto"/>
          </w:tcPr>
          <w:p w14:paraId="4B72A64F" w14:textId="73745204" w:rsidR="00BD3840" w:rsidRPr="009B0914" w:rsidRDefault="00BD3840" w:rsidP="009B0914">
            <w:pPr>
              <w:contextualSpacing/>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t>Other income</w:t>
            </w:r>
          </w:p>
        </w:tc>
        <w:tc>
          <w:tcPr>
            <w:tcW w:w="1277" w:type="dxa"/>
            <w:shd w:val="clear" w:color="auto" w:fill="auto"/>
          </w:tcPr>
          <w:p w14:paraId="08630CA1" w14:textId="77777777" w:rsidR="00BD3840" w:rsidRDefault="00BD3840" w:rsidP="00BF021D">
            <w:pPr>
              <w:contextualSpacing/>
              <w:jc w:val="both"/>
              <w:rPr>
                <w:rFonts w:asciiTheme="majorHAnsi" w:eastAsia="Calibri" w:hAnsiTheme="majorHAnsi" w:cstheme="majorHAnsi"/>
                <w:color w:val="000000"/>
                <w:sz w:val="17"/>
                <w:szCs w:val="17"/>
              </w:rPr>
            </w:pPr>
          </w:p>
        </w:tc>
        <w:tc>
          <w:tcPr>
            <w:tcW w:w="5400" w:type="dxa"/>
            <w:shd w:val="clear" w:color="auto" w:fill="auto"/>
          </w:tcPr>
          <w:p w14:paraId="5AE82D7D" w14:textId="6FDD03B2" w:rsidR="00BD3840" w:rsidRPr="009B0914" w:rsidRDefault="00BD3840" w:rsidP="00BF021D">
            <w:pPr>
              <w:contextualSpacing/>
              <w:jc w:val="both"/>
              <w:rPr>
                <w:rFonts w:asciiTheme="majorHAnsi" w:eastAsia="Calibri" w:hAnsiTheme="majorHAnsi" w:cstheme="majorHAnsi"/>
                <w:color w:val="000000"/>
                <w:sz w:val="17"/>
                <w:szCs w:val="17"/>
              </w:rPr>
            </w:pPr>
            <w:r w:rsidRPr="00604A6F">
              <w:rPr>
                <w:rFonts w:asciiTheme="majorHAnsi" w:eastAsia="Calibri" w:hAnsiTheme="majorHAnsi" w:cstheme="majorHAnsi"/>
                <w:color w:val="000000"/>
                <w:sz w:val="17"/>
                <w:szCs w:val="17"/>
              </w:rPr>
              <w:t>Government Payments and Imputed and miscellaneous income received.</w:t>
            </w:r>
          </w:p>
        </w:tc>
        <w:tc>
          <w:tcPr>
            <w:tcW w:w="1440" w:type="dxa"/>
          </w:tcPr>
          <w:p w14:paraId="10B7E8F6" w14:textId="77777777" w:rsidR="00BD3840" w:rsidRDefault="00BD3840" w:rsidP="00BF021D">
            <w:pPr>
              <w:contextualSpacing/>
              <w:jc w:val="both"/>
              <w:rPr>
                <w:rFonts w:asciiTheme="majorHAnsi" w:eastAsia="Calibri" w:hAnsiTheme="majorHAnsi" w:cstheme="majorHAnsi"/>
                <w:color w:val="000000"/>
                <w:sz w:val="17"/>
                <w:szCs w:val="17"/>
              </w:rPr>
            </w:pPr>
          </w:p>
        </w:tc>
        <w:tc>
          <w:tcPr>
            <w:tcW w:w="1980" w:type="dxa"/>
          </w:tcPr>
          <w:p w14:paraId="1D718A9F" w14:textId="6C082D1F"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18260CAC" w14:textId="1AF4496E"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oth_income</w:t>
            </w:r>
          </w:p>
        </w:tc>
      </w:tr>
      <w:tr w:rsidR="00BD3840" w:rsidRPr="009B0914" w14:paraId="7DCEBC2A" w14:textId="77777777" w:rsidTr="005464CC">
        <w:tc>
          <w:tcPr>
            <w:tcW w:w="1603" w:type="dxa"/>
            <w:shd w:val="clear" w:color="auto" w:fill="auto"/>
          </w:tcPr>
          <w:p w14:paraId="154D5A04" w14:textId="2F81F0E6" w:rsidR="00BD3840" w:rsidRPr="009B0914" w:rsidRDefault="00BD3840" w:rsidP="009B0914">
            <w:pPr>
              <w:contextualSpacing/>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t>Government payments</w:t>
            </w:r>
          </w:p>
        </w:tc>
        <w:tc>
          <w:tcPr>
            <w:tcW w:w="1277" w:type="dxa"/>
            <w:shd w:val="clear" w:color="auto" w:fill="auto"/>
          </w:tcPr>
          <w:p w14:paraId="53830CF1" w14:textId="4FC8D080"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659449F2" w14:textId="41F872D0"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D</w:t>
            </w:r>
            <w:r w:rsidRPr="00E943EC">
              <w:rPr>
                <w:rFonts w:asciiTheme="majorHAnsi" w:eastAsia="Calibri" w:hAnsiTheme="majorHAnsi" w:cstheme="majorHAnsi"/>
                <w:color w:val="000000"/>
                <w:sz w:val="17"/>
                <w:szCs w:val="17"/>
              </w:rPr>
              <w:t>eficiency payments under price support programs for specific commodities, disaster payments, conservation payments, and direct payments to farmers under federal appropriations legislation. The estimates of government payments are based on USDA national and state estimates of direct government payments.</w:t>
            </w:r>
          </w:p>
        </w:tc>
        <w:tc>
          <w:tcPr>
            <w:tcW w:w="1440" w:type="dxa"/>
          </w:tcPr>
          <w:p w14:paraId="5A017CB0" w14:textId="1612886A"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187C7782" w14:textId="7A70F204"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04E5C54D" w14:textId="590E666E"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gov_pay</w:t>
            </w:r>
          </w:p>
        </w:tc>
      </w:tr>
      <w:tr w:rsidR="00BD3840" w:rsidRPr="009B0914" w14:paraId="62F9E3BC" w14:textId="77777777" w:rsidTr="005464CC">
        <w:tc>
          <w:tcPr>
            <w:tcW w:w="1603" w:type="dxa"/>
            <w:shd w:val="clear" w:color="auto" w:fill="auto"/>
          </w:tcPr>
          <w:p w14:paraId="2E01AE77" w14:textId="3063929C" w:rsidR="00BD3840" w:rsidRPr="009B0914" w:rsidRDefault="00BD3840" w:rsidP="009B0914">
            <w:pPr>
              <w:contextualSpacing/>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t>Imputed and miscellaneous income received</w:t>
            </w:r>
          </w:p>
        </w:tc>
        <w:tc>
          <w:tcPr>
            <w:tcW w:w="1277" w:type="dxa"/>
            <w:shd w:val="clear" w:color="auto" w:fill="auto"/>
          </w:tcPr>
          <w:p w14:paraId="118EE4A0" w14:textId="65F3B03D"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31E575FD" w14:textId="2856AA63"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I</w:t>
            </w:r>
            <w:r w:rsidRPr="007D542F">
              <w:rPr>
                <w:rFonts w:asciiTheme="majorHAnsi" w:eastAsia="Calibri" w:hAnsiTheme="majorHAnsi" w:cstheme="majorHAnsi"/>
                <w:color w:val="000000"/>
                <w:sz w:val="17"/>
                <w:szCs w:val="17"/>
              </w:rPr>
              <w:t>mputed income, such as value of home consumption, and other farm related income components, such as machine hire and custom work income, rental income, and income from forest products (1978 to present).</w:t>
            </w:r>
          </w:p>
        </w:tc>
        <w:tc>
          <w:tcPr>
            <w:tcW w:w="1440" w:type="dxa"/>
          </w:tcPr>
          <w:p w14:paraId="12013BB1" w14:textId="6008094C"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1166861C" w14:textId="061941E2"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4AEC36AA" w14:textId="3FF0BBEF"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misc_income</w:t>
            </w:r>
          </w:p>
        </w:tc>
      </w:tr>
      <w:tr w:rsidR="00BD3840" w:rsidRPr="009B0914" w14:paraId="26CACB74" w14:textId="77777777" w:rsidTr="005464CC">
        <w:tc>
          <w:tcPr>
            <w:tcW w:w="1603" w:type="dxa"/>
            <w:shd w:val="clear" w:color="auto" w:fill="auto"/>
          </w:tcPr>
          <w:p w14:paraId="53440B34" w14:textId="63DB1DE6" w:rsidR="00BD3840" w:rsidRPr="009B0914" w:rsidRDefault="00BD3840" w:rsidP="009B0914">
            <w:pPr>
              <w:contextualSpacing/>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t>Production expenses</w:t>
            </w:r>
          </w:p>
        </w:tc>
        <w:tc>
          <w:tcPr>
            <w:tcW w:w="1277" w:type="dxa"/>
            <w:shd w:val="clear" w:color="auto" w:fill="auto"/>
          </w:tcPr>
          <w:p w14:paraId="746EB76F" w14:textId="50BD0A06"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56800C97" w14:textId="510C5925"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Purchases</w:t>
            </w:r>
            <w:r w:rsidRPr="007D542F">
              <w:rPr>
                <w:rFonts w:asciiTheme="majorHAnsi" w:eastAsia="Calibri" w:hAnsiTheme="majorHAnsi" w:cstheme="majorHAnsi"/>
                <w:color w:val="000000"/>
                <w:sz w:val="17"/>
                <w:szCs w:val="17"/>
              </w:rPr>
              <w:t xml:space="preserve"> of feed, livestock and poultry, seed, fertilizer, agricultural chemicals and lime, and petroleum products; labor expenses; machinery rental and custom work; animal health costs; and all other expenses including depreciation.</w:t>
            </w:r>
          </w:p>
        </w:tc>
        <w:tc>
          <w:tcPr>
            <w:tcW w:w="1440" w:type="dxa"/>
          </w:tcPr>
          <w:p w14:paraId="5EB3C5F1" w14:textId="2F598AB1"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552F952E" w14:textId="545BBECE"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096FF305" w14:textId="178B4700"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prod_exp</w:t>
            </w:r>
          </w:p>
        </w:tc>
      </w:tr>
      <w:tr w:rsidR="00BD3840" w:rsidRPr="009B0914" w14:paraId="5B640B6F" w14:textId="77777777" w:rsidTr="005464CC">
        <w:tc>
          <w:tcPr>
            <w:tcW w:w="1603" w:type="dxa"/>
            <w:shd w:val="clear" w:color="auto" w:fill="auto"/>
          </w:tcPr>
          <w:p w14:paraId="362F93E7" w14:textId="588BB8D9" w:rsidR="00BD3840" w:rsidRPr="009B0914" w:rsidRDefault="00BD3840" w:rsidP="009B0914">
            <w:pPr>
              <w:contextualSpacing/>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t>Feed purchased</w:t>
            </w:r>
          </w:p>
        </w:tc>
        <w:tc>
          <w:tcPr>
            <w:tcW w:w="1277" w:type="dxa"/>
            <w:shd w:val="clear" w:color="auto" w:fill="auto"/>
          </w:tcPr>
          <w:p w14:paraId="5A49D52A" w14:textId="7F36574D"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5D839AB3" w14:textId="00DF119F"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Feed purchased.</w:t>
            </w:r>
          </w:p>
        </w:tc>
        <w:tc>
          <w:tcPr>
            <w:tcW w:w="1440" w:type="dxa"/>
          </w:tcPr>
          <w:p w14:paraId="517C1B19" w14:textId="192A793A"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1C9C8F1C" w14:textId="31BD97FA"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1CD2BB31" w14:textId="78CAF16B"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xml:space="preserve">feed </w:t>
            </w:r>
          </w:p>
        </w:tc>
      </w:tr>
      <w:tr w:rsidR="00BD3840" w:rsidRPr="009B0914" w14:paraId="3A1D17C9" w14:textId="77777777" w:rsidTr="005464CC">
        <w:tc>
          <w:tcPr>
            <w:tcW w:w="1603" w:type="dxa"/>
            <w:shd w:val="clear" w:color="auto" w:fill="auto"/>
          </w:tcPr>
          <w:p w14:paraId="26004865" w14:textId="1149A643" w:rsidR="00BD3840" w:rsidRPr="009B0914" w:rsidRDefault="00BD3840" w:rsidP="009B0914">
            <w:pPr>
              <w:contextualSpacing/>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t>Livestock purchased</w:t>
            </w:r>
          </w:p>
        </w:tc>
        <w:tc>
          <w:tcPr>
            <w:tcW w:w="1277" w:type="dxa"/>
            <w:shd w:val="clear" w:color="auto" w:fill="auto"/>
          </w:tcPr>
          <w:p w14:paraId="73E620B5" w14:textId="62C01DFB"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5E81ADAC" w14:textId="2099CFFA"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Livestock and poultry purchased.</w:t>
            </w:r>
          </w:p>
        </w:tc>
        <w:tc>
          <w:tcPr>
            <w:tcW w:w="1440" w:type="dxa"/>
          </w:tcPr>
          <w:p w14:paraId="29DC2FBB" w14:textId="0D796025"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2E96DC4D" w14:textId="212880A6"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2FF08B4F" w14:textId="79F7B2E4"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xml:space="preserve">livestock </w:t>
            </w:r>
          </w:p>
        </w:tc>
      </w:tr>
      <w:tr w:rsidR="00BD3840" w:rsidRPr="009B0914" w14:paraId="5FF11D45" w14:textId="77777777" w:rsidTr="005464CC">
        <w:tc>
          <w:tcPr>
            <w:tcW w:w="1603" w:type="dxa"/>
            <w:shd w:val="clear" w:color="auto" w:fill="auto"/>
          </w:tcPr>
          <w:p w14:paraId="1AED5AE2" w14:textId="134891F2" w:rsidR="00BD3840" w:rsidRPr="009B0914" w:rsidRDefault="00BD3840" w:rsidP="009B0914">
            <w:pPr>
              <w:contextualSpacing/>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t>Seed purchased</w:t>
            </w:r>
          </w:p>
        </w:tc>
        <w:tc>
          <w:tcPr>
            <w:tcW w:w="1277" w:type="dxa"/>
            <w:shd w:val="clear" w:color="auto" w:fill="auto"/>
          </w:tcPr>
          <w:p w14:paraId="1EC43D96" w14:textId="7F4B0D82"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697B60C8" w14:textId="34BF6FD1"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Seed purchased.</w:t>
            </w:r>
          </w:p>
        </w:tc>
        <w:tc>
          <w:tcPr>
            <w:tcW w:w="1440" w:type="dxa"/>
          </w:tcPr>
          <w:p w14:paraId="050B0620" w14:textId="046A1628"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4125CCC3" w14:textId="7F1FE116"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3D3CC8D3" w14:textId="4B100893"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xml:space="preserve">seeds </w:t>
            </w:r>
          </w:p>
        </w:tc>
      </w:tr>
      <w:tr w:rsidR="00BD3840" w:rsidRPr="009B0914" w14:paraId="02F945B8" w14:textId="77777777" w:rsidTr="005464CC">
        <w:tc>
          <w:tcPr>
            <w:tcW w:w="1603" w:type="dxa"/>
            <w:shd w:val="clear" w:color="auto" w:fill="auto"/>
          </w:tcPr>
          <w:p w14:paraId="0F5E5667" w14:textId="5478EB33" w:rsidR="00BD3840" w:rsidRPr="009B0914" w:rsidRDefault="00BD3840" w:rsidP="009B0914">
            <w:pPr>
              <w:contextualSpacing/>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t xml:space="preserve">Fertilizer and lime </w:t>
            </w:r>
          </w:p>
        </w:tc>
        <w:tc>
          <w:tcPr>
            <w:tcW w:w="1277" w:type="dxa"/>
            <w:shd w:val="clear" w:color="auto" w:fill="auto"/>
          </w:tcPr>
          <w:p w14:paraId="312577AC" w14:textId="7D522092"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056CDB8D" w14:textId="3137826F"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xml:space="preserve">Fertilizer, agricultural chemicals, and lime purchased </w:t>
            </w:r>
            <w:r w:rsidRPr="009B0914">
              <w:rPr>
                <w:rFonts w:asciiTheme="majorHAnsi" w:eastAsia="Calibri" w:hAnsiTheme="majorHAnsi" w:cstheme="majorHAnsi"/>
                <w:color w:val="000000"/>
                <w:sz w:val="17"/>
                <w:szCs w:val="17"/>
              </w:rPr>
              <w:t>(incl. ag. chemicals 1978-fwd)</w:t>
            </w:r>
            <w:r>
              <w:rPr>
                <w:rFonts w:asciiTheme="majorHAnsi" w:eastAsia="Calibri" w:hAnsiTheme="majorHAnsi" w:cstheme="majorHAnsi"/>
                <w:color w:val="000000"/>
                <w:sz w:val="17"/>
                <w:szCs w:val="17"/>
              </w:rPr>
              <w:t>.</w:t>
            </w:r>
          </w:p>
        </w:tc>
        <w:tc>
          <w:tcPr>
            <w:tcW w:w="1440" w:type="dxa"/>
          </w:tcPr>
          <w:p w14:paraId="1E55795C" w14:textId="74E09E2C"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526D16BB" w14:textId="12F6BA4B"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3C2F7070" w14:textId="023F5358"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fert_lime</w:t>
            </w:r>
          </w:p>
        </w:tc>
      </w:tr>
      <w:tr w:rsidR="00BD3840" w:rsidRPr="009B0914" w14:paraId="252236BA" w14:textId="77777777" w:rsidTr="005464CC">
        <w:tc>
          <w:tcPr>
            <w:tcW w:w="1603" w:type="dxa"/>
            <w:shd w:val="clear" w:color="auto" w:fill="auto"/>
          </w:tcPr>
          <w:p w14:paraId="52868232" w14:textId="6116C07B" w:rsidR="00BD3840" w:rsidRPr="009B0914" w:rsidRDefault="00BD3840" w:rsidP="009B0914">
            <w:pPr>
              <w:contextualSpacing/>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t>Petroleum products purchased</w:t>
            </w:r>
          </w:p>
        </w:tc>
        <w:tc>
          <w:tcPr>
            <w:tcW w:w="1277" w:type="dxa"/>
            <w:shd w:val="clear" w:color="auto" w:fill="auto"/>
          </w:tcPr>
          <w:p w14:paraId="0D3D8F75" w14:textId="52B8740E"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0DB54670" w14:textId="71C96DF3"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Petroleum products purchased</w:t>
            </w:r>
            <w:r w:rsidR="00920D5D">
              <w:rPr>
                <w:rFonts w:asciiTheme="majorHAnsi" w:eastAsia="Calibri" w:hAnsiTheme="majorHAnsi" w:cstheme="majorHAnsi"/>
                <w:color w:val="000000"/>
                <w:sz w:val="17"/>
                <w:szCs w:val="17"/>
              </w:rPr>
              <w:t>.</w:t>
            </w:r>
          </w:p>
        </w:tc>
        <w:tc>
          <w:tcPr>
            <w:tcW w:w="1440" w:type="dxa"/>
          </w:tcPr>
          <w:p w14:paraId="152010CC" w14:textId="6820ED2D"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7F48A8B7" w14:textId="501D750B"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7E5BDC5F" w14:textId="36C35961"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xml:space="preserve">petrol </w:t>
            </w:r>
          </w:p>
        </w:tc>
      </w:tr>
      <w:tr w:rsidR="00BD3840" w:rsidRPr="009B0914" w14:paraId="7057FF7C" w14:textId="77777777" w:rsidTr="005464CC">
        <w:tc>
          <w:tcPr>
            <w:tcW w:w="1603" w:type="dxa"/>
            <w:shd w:val="clear" w:color="auto" w:fill="auto"/>
          </w:tcPr>
          <w:p w14:paraId="1E3973CB" w14:textId="7DB9B4DD" w:rsidR="00BD3840" w:rsidRPr="009B0914" w:rsidRDefault="00BD3840" w:rsidP="009B0914">
            <w:pPr>
              <w:contextualSpacing/>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t>Hired farm labor expenses</w:t>
            </w:r>
          </w:p>
        </w:tc>
        <w:tc>
          <w:tcPr>
            <w:tcW w:w="1277" w:type="dxa"/>
            <w:shd w:val="clear" w:color="auto" w:fill="auto"/>
          </w:tcPr>
          <w:p w14:paraId="1D1BEAF2" w14:textId="09491009"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5311023B" w14:textId="078BE495"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Cost of hired labor.</w:t>
            </w:r>
          </w:p>
        </w:tc>
        <w:tc>
          <w:tcPr>
            <w:tcW w:w="1440" w:type="dxa"/>
          </w:tcPr>
          <w:p w14:paraId="1AD34D9C" w14:textId="5237C677"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58BC9645" w14:textId="0A3127DF"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4E8F73BD" w14:textId="26CB1A4C"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hired_labor</w:t>
            </w:r>
          </w:p>
        </w:tc>
      </w:tr>
      <w:tr w:rsidR="00BD3840" w:rsidRPr="009B0914" w14:paraId="4F409773" w14:textId="77777777" w:rsidTr="005464CC">
        <w:tc>
          <w:tcPr>
            <w:tcW w:w="1603" w:type="dxa"/>
            <w:shd w:val="clear" w:color="auto" w:fill="auto"/>
          </w:tcPr>
          <w:p w14:paraId="2B633DD6" w14:textId="7C94EA6F" w:rsidR="00BD3840" w:rsidRPr="009B0914" w:rsidRDefault="00BD3840" w:rsidP="009B0914">
            <w:pPr>
              <w:contextualSpacing/>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t>All other production expenses</w:t>
            </w:r>
          </w:p>
        </w:tc>
        <w:tc>
          <w:tcPr>
            <w:tcW w:w="1277" w:type="dxa"/>
            <w:shd w:val="clear" w:color="auto" w:fill="auto"/>
          </w:tcPr>
          <w:p w14:paraId="1947F5DD" w14:textId="52F8DFAB"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78AFDED2" w14:textId="5B773787"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M</w:t>
            </w:r>
            <w:r w:rsidRPr="007D542F">
              <w:rPr>
                <w:rFonts w:asciiTheme="majorHAnsi" w:eastAsia="Calibri" w:hAnsiTheme="majorHAnsi" w:cstheme="majorHAnsi"/>
                <w:color w:val="000000"/>
                <w:sz w:val="17"/>
                <w:szCs w:val="17"/>
              </w:rPr>
              <w:t>achinery rental and custom work; animal health costs; and all other expenses</w:t>
            </w:r>
            <w:r>
              <w:rPr>
                <w:rFonts w:asciiTheme="majorHAnsi" w:eastAsia="Calibri" w:hAnsiTheme="majorHAnsi" w:cstheme="majorHAnsi"/>
                <w:color w:val="000000"/>
                <w:sz w:val="17"/>
                <w:szCs w:val="17"/>
              </w:rPr>
              <w:t>.</w:t>
            </w:r>
          </w:p>
        </w:tc>
        <w:tc>
          <w:tcPr>
            <w:tcW w:w="1440" w:type="dxa"/>
          </w:tcPr>
          <w:p w14:paraId="595E4901" w14:textId="40C5AB62"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39BC249A" w14:textId="37552AF8"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0E041FB2" w14:textId="4618EAB4"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oth_exp</w:t>
            </w:r>
          </w:p>
        </w:tc>
      </w:tr>
      <w:tr w:rsidR="00BD3840" w:rsidRPr="009B0914" w14:paraId="025E11FF" w14:textId="77777777" w:rsidTr="005464CC">
        <w:tc>
          <w:tcPr>
            <w:tcW w:w="1603" w:type="dxa"/>
            <w:shd w:val="clear" w:color="auto" w:fill="auto"/>
          </w:tcPr>
          <w:p w14:paraId="673898AA" w14:textId="243D0270" w:rsidR="00BD3840" w:rsidRPr="009B0914" w:rsidRDefault="00BD3840" w:rsidP="009B0914">
            <w:pPr>
              <w:contextualSpacing/>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t>Value of inventory change</w:t>
            </w:r>
          </w:p>
        </w:tc>
        <w:tc>
          <w:tcPr>
            <w:tcW w:w="1277" w:type="dxa"/>
            <w:shd w:val="clear" w:color="auto" w:fill="auto"/>
          </w:tcPr>
          <w:p w14:paraId="014594D1" w14:textId="30A97804"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656ACE58" w14:textId="3A514E1B"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w:t>
            </w:r>
            <w:r w:rsidRPr="007D542F">
              <w:rPr>
                <w:rFonts w:asciiTheme="majorHAnsi" w:eastAsia="Calibri" w:hAnsiTheme="majorHAnsi" w:cstheme="majorHAnsi"/>
                <w:color w:val="000000"/>
                <w:sz w:val="17"/>
                <w:szCs w:val="17"/>
              </w:rPr>
              <w:t>he estimated value of the net change in the farm inventories of livestock and crops that are held for sale during a given calendar year.</w:t>
            </w:r>
          </w:p>
        </w:tc>
        <w:tc>
          <w:tcPr>
            <w:tcW w:w="1440" w:type="dxa"/>
          </w:tcPr>
          <w:p w14:paraId="1C12DE0C" w14:textId="7A4C9482"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62CB9EAE" w14:textId="11238E32"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4D7AFD8E" w14:textId="7B7C18AD"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xml:space="preserve">vic </w:t>
            </w:r>
          </w:p>
        </w:tc>
      </w:tr>
      <w:tr w:rsidR="00BD3840" w:rsidRPr="009B0914" w14:paraId="3F400C9C" w14:textId="77777777" w:rsidTr="005464CC">
        <w:tc>
          <w:tcPr>
            <w:tcW w:w="1603" w:type="dxa"/>
            <w:shd w:val="clear" w:color="auto" w:fill="auto"/>
          </w:tcPr>
          <w:p w14:paraId="77ACCB6A" w14:textId="78CD541B" w:rsidR="00BD3840" w:rsidRPr="009B0914" w:rsidRDefault="00BD3840" w:rsidP="007D542F">
            <w:pPr>
              <w:contextualSpacing/>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lastRenderedPageBreak/>
              <w:t>Value of inventory change: livestock</w:t>
            </w:r>
          </w:p>
        </w:tc>
        <w:tc>
          <w:tcPr>
            <w:tcW w:w="1277" w:type="dxa"/>
            <w:shd w:val="clear" w:color="auto" w:fill="auto"/>
          </w:tcPr>
          <w:p w14:paraId="3B049B44" w14:textId="706E0392" w:rsidR="00BD3840" w:rsidRDefault="00BD3840" w:rsidP="007D542F">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3AC55FFD" w14:textId="3BA56B8A" w:rsidR="00BD3840" w:rsidRPr="009B0914" w:rsidRDefault="00BD3840" w:rsidP="007D542F">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w:t>
            </w:r>
            <w:r w:rsidRPr="007D542F">
              <w:rPr>
                <w:rFonts w:asciiTheme="majorHAnsi" w:eastAsia="Calibri" w:hAnsiTheme="majorHAnsi" w:cstheme="majorHAnsi"/>
                <w:color w:val="000000"/>
                <w:sz w:val="17"/>
                <w:szCs w:val="17"/>
              </w:rPr>
              <w:t>he estimated value of the net change in the farm inventories of livestock commodities that are held for sale during a given calendar year.</w:t>
            </w:r>
          </w:p>
        </w:tc>
        <w:tc>
          <w:tcPr>
            <w:tcW w:w="1440" w:type="dxa"/>
          </w:tcPr>
          <w:p w14:paraId="31910DF3" w14:textId="66EA2B1F" w:rsidR="00BD3840" w:rsidRDefault="00404486" w:rsidP="007D542F">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795C875B" w14:textId="1ADD2996" w:rsidR="00BD3840" w:rsidRDefault="00BD3840" w:rsidP="007D542F">
            <w:pPr>
              <w:contextualSpacing/>
              <w:jc w:val="both"/>
              <w:rPr>
                <w:rFonts w:asciiTheme="majorHAnsi" w:eastAsia="Calibri" w:hAnsiTheme="majorHAnsi" w:cstheme="majorHAnsi"/>
                <w:color w:val="000000"/>
                <w:sz w:val="17"/>
                <w:szCs w:val="17"/>
              </w:rPr>
            </w:pPr>
          </w:p>
        </w:tc>
        <w:tc>
          <w:tcPr>
            <w:tcW w:w="1260" w:type="dxa"/>
            <w:shd w:val="clear" w:color="auto" w:fill="auto"/>
          </w:tcPr>
          <w:p w14:paraId="4100300C" w14:textId="11475A36" w:rsidR="00BD3840" w:rsidRPr="009B0914" w:rsidRDefault="00BD3840" w:rsidP="007D542F">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vic_live</w:t>
            </w:r>
          </w:p>
        </w:tc>
      </w:tr>
      <w:tr w:rsidR="00BD3840" w:rsidRPr="009B0914" w14:paraId="28D5C6B8" w14:textId="77777777" w:rsidTr="005464CC">
        <w:tc>
          <w:tcPr>
            <w:tcW w:w="1603" w:type="dxa"/>
            <w:shd w:val="clear" w:color="auto" w:fill="auto"/>
          </w:tcPr>
          <w:p w14:paraId="5047F1C2" w14:textId="1C06CCB4" w:rsidR="00BD3840" w:rsidRPr="009B0914" w:rsidRDefault="00BD3840" w:rsidP="009B0914">
            <w:pPr>
              <w:contextualSpacing/>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t>Value of inventory change: crops</w:t>
            </w:r>
          </w:p>
        </w:tc>
        <w:tc>
          <w:tcPr>
            <w:tcW w:w="1277" w:type="dxa"/>
            <w:shd w:val="clear" w:color="auto" w:fill="auto"/>
          </w:tcPr>
          <w:p w14:paraId="731292A3" w14:textId="32FDA868"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2A907E63" w14:textId="19E41103"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w:t>
            </w:r>
            <w:r w:rsidRPr="007D542F">
              <w:rPr>
                <w:rFonts w:asciiTheme="majorHAnsi" w:eastAsia="Calibri" w:hAnsiTheme="majorHAnsi" w:cstheme="majorHAnsi"/>
                <w:color w:val="000000"/>
                <w:sz w:val="17"/>
                <w:szCs w:val="17"/>
              </w:rPr>
              <w:t>he estimated value of inventory change for crops is the estimated value of the net change in the farm inventories of crop commodities that are held for sale during a given calendar year.</w:t>
            </w:r>
          </w:p>
        </w:tc>
        <w:tc>
          <w:tcPr>
            <w:tcW w:w="1440" w:type="dxa"/>
          </w:tcPr>
          <w:p w14:paraId="7E57D2EA" w14:textId="408533AE"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5487A29B" w14:textId="24D0EE6F"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044D6985" w14:textId="755838CA"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vic_crops</w:t>
            </w:r>
          </w:p>
        </w:tc>
      </w:tr>
      <w:tr w:rsidR="00BD3840" w:rsidRPr="009B0914" w14:paraId="2950C595" w14:textId="77777777" w:rsidTr="005464CC">
        <w:tc>
          <w:tcPr>
            <w:tcW w:w="1603" w:type="dxa"/>
            <w:shd w:val="clear" w:color="auto" w:fill="auto"/>
          </w:tcPr>
          <w:p w14:paraId="740B580B" w14:textId="1B160C2A" w:rsidR="00BD3840" w:rsidRPr="009B0914" w:rsidRDefault="00BD3840" w:rsidP="009B0914">
            <w:pPr>
              <w:contextualSpacing/>
              <w:rPr>
                <w:rFonts w:asciiTheme="majorHAnsi" w:eastAsia="Calibri" w:hAnsiTheme="majorHAnsi" w:cstheme="majorHAnsi"/>
                <w:color w:val="000000"/>
                <w:sz w:val="17"/>
                <w:szCs w:val="17"/>
              </w:rPr>
            </w:pPr>
            <w:r w:rsidRPr="009B0914">
              <w:rPr>
                <w:rFonts w:asciiTheme="majorHAnsi" w:eastAsia="Calibri" w:hAnsiTheme="majorHAnsi" w:cstheme="majorHAnsi"/>
                <w:color w:val="000000"/>
                <w:sz w:val="17"/>
                <w:szCs w:val="17"/>
              </w:rPr>
              <w:t>Value of inventory change: materials and supplies</w:t>
            </w:r>
          </w:p>
        </w:tc>
        <w:tc>
          <w:tcPr>
            <w:tcW w:w="1277" w:type="dxa"/>
            <w:shd w:val="clear" w:color="auto" w:fill="auto"/>
          </w:tcPr>
          <w:p w14:paraId="723D967A" w14:textId="48327A8B"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3FC2C985" w14:textId="2D47B840" w:rsidR="00BD3840" w:rsidRPr="009B0914" w:rsidRDefault="00BD3840" w:rsidP="00BF021D">
            <w:pPr>
              <w:contextualSpacing/>
              <w:jc w:val="both"/>
              <w:rPr>
                <w:rFonts w:asciiTheme="majorHAnsi" w:eastAsia="Calibri" w:hAnsiTheme="majorHAnsi" w:cstheme="majorHAnsi"/>
                <w:color w:val="000000"/>
                <w:sz w:val="17"/>
                <w:szCs w:val="17"/>
              </w:rPr>
            </w:pPr>
            <w:r w:rsidRPr="007D542F">
              <w:rPr>
                <w:rFonts w:asciiTheme="majorHAnsi" w:eastAsia="Calibri" w:hAnsiTheme="majorHAnsi" w:cstheme="majorHAnsi"/>
                <w:color w:val="000000"/>
                <w:sz w:val="17"/>
                <w:szCs w:val="17"/>
              </w:rPr>
              <w:t>the value of the net change in the farm inventories of materials and supplies (i.e., purchased inputs such as feed, seed, fertilizer, and chemicals) during a given calendar year.</w:t>
            </w:r>
          </w:p>
        </w:tc>
        <w:tc>
          <w:tcPr>
            <w:tcW w:w="1440" w:type="dxa"/>
          </w:tcPr>
          <w:p w14:paraId="554E3585" w14:textId="511C77DF"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03EA0E08" w14:textId="0A435CDD"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2EB9CF41" w14:textId="1418510D"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vic_mat</w:t>
            </w:r>
          </w:p>
        </w:tc>
      </w:tr>
      <w:tr w:rsidR="00BD3840" w:rsidRPr="009B0914" w14:paraId="5D15615A" w14:textId="77777777" w:rsidTr="005464CC">
        <w:tc>
          <w:tcPr>
            <w:tcW w:w="1603" w:type="dxa"/>
            <w:shd w:val="clear" w:color="auto" w:fill="auto"/>
          </w:tcPr>
          <w:p w14:paraId="19719C04" w14:textId="688196F9" w:rsidR="00BD3840" w:rsidRPr="009B0914" w:rsidRDefault="00BD3840" w:rsidP="009B0914">
            <w:pPr>
              <w:contextualSpacing/>
              <w:rPr>
                <w:rFonts w:asciiTheme="majorHAnsi" w:eastAsia="Calibri" w:hAnsiTheme="majorHAnsi" w:cstheme="majorHAnsi"/>
                <w:color w:val="000000"/>
                <w:sz w:val="17"/>
                <w:szCs w:val="17"/>
              </w:rPr>
            </w:pPr>
            <w:r w:rsidRPr="007D542F">
              <w:rPr>
                <w:rFonts w:asciiTheme="majorHAnsi" w:eastAsia="Calibri" w:hAnsiTheme="majorHAnsi" w:cstheme="majorHAnsi"/>
                <w:color w:val="000000"/>
                <w:sz w:val="17"/>
                <w:szCs w:val="17"/>
              </w:rPr>
              <w:t>Cash receipts and other income</w:t>
            </w:r>
          </w:p>
        </w:tc>
        <w:tc>
          <w:tcPr>
            <w:tcW w:w="1277" w:type="dxa"/>
            <w:shd w:val="clear" w:color="auto" w:fill="auto"/>
          </w:tcPr>
          <w:p w14:paraId="367AF662" w14:textId="5393FB64"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264AD888" w14:textId="53691BBE"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A</w:t>
            </w:r>
            <w:r w:rsidRPr="00E67265">
              <w:rPr>
                <w:rFonts w:asciiTheme="majorHAnsi" w:eastAsia="Calibri" w:hAnsiTheme="majorHAnsi" w:cstheme="majorHAnsi"/>
                <w:color w:val="000000"/>
                <w:sz w:val="17"/>
                <w:szCs w:val="17"/>
              </w:rPr>
              <w:t xml:space="preserve"> measure of the gross receipts of all farms. It consists of the following items: the cash receipts from farm marketing of crops and livestock; the receipts from other farm-related activities, including recreational services, sales of forest products, and custom-feeding services performed by farm operators; the payments to farmers under several Federal Government farm subsidy programs; the imputed value of home consumption, which is the value of the farm productions produced and consumed on farms; and the imputed gross rental value of farm dwellings.</w:t>
            </w:r>
          </w:p>
        </w:tc>
        <w:tc>
          <w:tcPr>
            <w:tcW w:w="1440" w:type="dxa"/>
          </w:tcPr>
          <w:p w14:paraId="15178202" w14:textId="4C2F81CC"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7EAD73DF" w14:textId="346801BD"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2061A576" w14:textId="1C36D59C"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cash_income</w:t>
            </w:r>
          </w:p>
        </w:tc>
      </w:tr>
      <w:tr w:rsidR="00BD3840" w:rsidRPr="009B0914" w14:paraId="6A0C0E09" w14:textId="77777777" w:rsidTr="005464CC">
        <w:tc>
          <w:tcPr>
            <w:tcW w:w="1603" w:type="dxa"/>
            <w:shd w:val="clear" w:color="auto" w:fill="auto"/>
          </w:tcPr>
          <w:p w14:paraId="21F98851" w14:textId="1548F7E9" w:rsidR="00BD3840" w:rsidRPr="009B0914" w:rsidRDefault="00BD3840" w:rsidP="009B0914">
            <w:pPr>
              <w:contextualSpacing/>
              <w:rPr>
                <w:rFonts w:asciiTheme="majorHAnsi" w:eastAsia="Calibri" w:hAnsiTheme="majorHAnsi" w:cstheme="majorHAnsi"/>
                <w:color w:val="000000"/>
                <w:sz w:val="17"/>
                <w:szCs w:val="17"/>
              </w:rPr>
            </w:pPr>
            <w:r w:rsidRPr="007D542F">
              <w:rPr>
                <w:rFonts w:asciiTheme="majorHAnsi" w:eastAsia="Calibri" w:hAnsiTheme="majorHAnsi" w:cstheme="majorHAnsi"/>
                <w:color w:val="000000"/>
                <w:sz w:val="17"/>
                <w:szCs w:val="17"/>
              </w:rPr>
              <w:t>Realized net income</w:t>
            </w:r>
          </w:p>
        </w:tc>
        <w:tc>
          <w:tcPr>
            <w:tcW w:w="1277" w:type="dxa"/>
            <w:shd w:val="clear" w:color="auto" w:fill="auto"/>
          </w:tcPr>
          <w:p w14:paraId="7CEF50A8" w14:textId="6F1FFD72"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03F636F2" w14:textId="3F065A3D"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w:t>
            </w:r>
            <w:r w:rsidRPr="00CB0D59">
              <w:rPr>
                <w:rFonts w:asciiTheme="majorHAnsi" w:eastAsia="Calibri" w:hAnsiTheme="majorHAnsi" w:cstheme="majorHAnsi"/>
                <w:color w:val="000000"/>
                <w:sz w:val="17"/>
                <w:szCs w:val="17"/>
              </w:rPr>
              <w:t>otal cash receipts and other income less total production expenses.</w:t>
            </w:r>
          </w:p>
        </w:tc>
        <w:tc>
          <w:tcPr>
            <w:tcW w:w="1440" w:type="dxa"/>
          </w:tcPr>
          <w:p w14:paraId="48D1A54F" w14:textId="55935C81" w:rsidR="00BD3840" w:rsidRPr="003F582D" w:rsidRDefault="00404486" w:rsidP="003F582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1B6B5957" w14:textId="41E3521B" w:rsidR="00BD3840" w:rsidRDefault="00BD3840" w:rsidP="003F582D">
            <w:pPr>
              <w:contextualSpacing/>
              <w:jc w:val="both"/>
              <w:rPr>
                <w:rFonts w:asciiTheme="majorHAnsi" w:eastAsia="Calibri" w:hAnsiTheme="majorHAnsi" w:cstheme="majorHAnsi"/>
                <w:color w:val="000000"/>
                <w:sz w:val="17"/>
                <w:szCs w:val="17"/>
              </w:rPr>
            </w:pPr>
            <w:r w:rsidRPr="003F582D">
              <w:rPr>
                <w:rFonts w:asciiTheme="majorHAnsi" w:eastAsia="Calibri" w:hAnsiTheme="majorHAnsi" w:cstheme="majorHAnsi"/>
                <w:color w:val="000000"/>
                <w:sz w:val="17"/>
                <w:szCs w:val="17"/>
              </w:rPr>
              <w:t>Cash receipts and other income</w:t>
            </w:r>
            <w:r>
              <w:rPr>
                <w:rFonts w:asciiTheme="majorHAnsi" w:eastAsia="Calibri" w:hAnsiTheme="majorHAnsi" w:cstheme="majorHAnsi"/>
                <w:color w:val="000000"/>
                <w:sz w:val="17"/>
                <w:szCs w:val="17"/>
              </w:rPr>
              <w:t xml:space="preserve"> </w:t>
            </w:r>
            <w:r w:rsidRPr="003F582D">
              <w:rPr>
                <w:rFonts w:asciiTheme="majorHAnsi" w:eastAsia="Calibri" w:hAnsiTheme="majorHAnsi" w:cstheme="majorHAnsi"/>
                <w:color w:val="000000"/>
                <w:sz w:val="17"/>
                <w:szCs w:val="17"/>
              </w:rPr>
              <w:t>-</w:t>
            </w:r>
            <w:r>
              <w:rPr>
                <w:rFonts w:asciiTheme="majorHAnsi" w:eastAsia="Calibri" w:hAnsiTheme="majorHAnsi" w:cstheme="majorHAnsi"/>
                <w:color w:val="000000"/>
                <w:sz w:val="17"/>
                <w:szCs w:val="17"/>
              </w:rPr>
              <w:t xml:space="preserve"> </w:t>
            </w:r>
            <w:r w:rsidRPr="003F582D">
              <w:rPr>
                <w:rFonts w:asciiTheme="majorHAnsi" w:eastAsia="Calibri" w:hAnsiTheme="majorHAnsi" w:cstheme="majorHAnsi"/>
                <w:color w:val="000000"/>
                <w:sz w:val="17"/>
                <w:szCs w:val="17"/>
              </w:rPr>
              <w:t>Production expenses</w:t>
            </w:r>
          </w:p>
        </w:tc>
        <w:tc>
          <w:tcPr>
            <w:tcW w:w="1260" w:type="dxa"/>
            <w:shd w:val="clear" w:color="auto" w:fill="auto"/>
          </w:tcPr>
          <w:p w14:paraId="17A68369" w14:textId="7159C1C3"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net_income</w:t>
            </w:r>
          </w:p>
        </w:tc>
      </w:tr>
      <w:tr w:rsidR="00BD3840" w:rsidRPr="009B0914" w14:paraId="2C42BA1E" w14:textId="77777777" w:rsidTr="005464CC">
        <w:tc>
          <w:tcPr>
            <w:tcW w:w="1603" w:type="dxa"/>
            <w:shd w:val="clear" w:color="auto" w:fill="auto"/>
          </w:tcPr>
          <w:p w14:paraId="3DF8BA17" w14:textId="6C806A62" w:rsidR="00BD3840" w:rsidRPr="009B0914" w:rsidRDefault="00BD3840" w:rsidP="009B0914">
            <w:pPr>
              <w:contextualSpacing/>
              <w:rPr>
                <w:rFonts w:asciiTheme="majorHAnsi" w:eastAsia="Calibri" w:hAnsiTheme="majorHAnsi" w:cstheme="majorHAnsi"/>
                <w:color w:val="000000"/>
                <w:sz w:val="17"/>
                <w:szCs w:val="17"/>
              </w:rPr>
            </w:pPr>
            <w:r w:rsidRPr="007D542F">
              <w:rPr>
                <w:rFonts w:asciiTheme="majorHAnsi" w:eastAsia="Calibri" w:hAnsiTheme="majorHAnsi" w:cstheme="majorHAnsi"/>
                <w:color w:val="000000"/>
                <w:sz w:val="17"/>
                <w:szCs w:val="17"/>
              </w:rPr>
              <w:t>Net income including corporate farms</w:t>
            </w:r>
          </w:p>
        </w:tc>
        <w:tc>
          <w:tcPr>
            <w:tcW w:w="1277" w:type="dxa"/>
            <w:shd w:val="clear" w:color="auto" w:fill="auto"/>
          </w:tcPr>
          <w:p w14:paraId="0A07ECCF" w14:textId="394B019D"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6D147C9D" w14:textId="7C329B85"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w:t>
            </w:r>
            <w:r w:rsidRPr="00CB0D59">
              <w:rPr>
                <w:rFonts w:asciiTheme="majorHAnsi" w:eastAsia="Calibri" w:hAnsiTheme="majorHAnsi" w:cstheme="majorHAnsi"/>
                <w:color w:val="000000"/>
                <w:sz w:val="17"/>
                <w:szCs w:val="17"/>
              </w:rPr>
              <w:t>he net income that is received by the sole proprietorships, partnerships, and corporations that operate farms.</w:t>
            </w:r>
          </w:p>
        </w:tc>
        <w:tc>
          <w:tcPr>
            <w:tcW w:w="1440" w:type="dxa"/>
          </w:tcPr>
          <w:p w14:paraId="2A09EF4D" w14:textId="1150A233" w:rsidR="00BD3840" w:rsidRPr="00F62EEC"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28655D94" w14:textId="2DBF96D3" w:rsidR="00BD3840" w:rsidRDefault="00BD3840" w:rsidP="00BF021D">
            <w:pPr>
              <w:contextualSpacing/>
              <w:jc w:val="both"/>
              <w:rPr>
                <w:rFonts w:asciiTheme="majorHAnsi" w:eastAsia="Calibri" w:hAnsiTheme="majorHAnsi" w:cstheme="majorHAnsi"/>
                <w:color w:val="000000"/>
                <w:sz w:val="17"/>
                <w:szCs w:val="17"/>
              </w:rPr>
            </w:pPr>
            <w:r w:rsidRPr="00F62EEC">
              <w:rPr>
                <w:rFonts w:asciiTheme="majorHAnsi" w:eastAsia="Calibri" w:hAnsiTheme="majorHAnsi" w:cstheme="majorHAnsi"/>
                <w:color w:val="000000"/>
                <w:sz w:val="17"/>
                <w:szCs w:val="17"/>
              </w:rPr>
              <w:t>Realized net income + Value of inventory change</w:t>
            </w:r>
          </w:p>
        </w:tc>
        <w:tc>
          <w:tcPr>
            <w:tcW w:w="1260" w:type="dxa"/>
            <w:shd w:val="clear" w:color="auto" w:fill="auto"/>
          </w:tcPr>
          <w:p w14:paraId="45FD94D0" w14:textId="28F3B4A1"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net_income_inclcorp</w:t>
            </w:r>
          </w:p>
        </w:tc>
      </w:tr>
      <w:tr w:rsidR="00BD3840" w:rsidRPr="009B0914" w14:paraId="2B5D836B" w14:textId="77777777" w:rsidTr="005464CC">
        <w:tc>
          <w:tcPr>
            <w:tcW w:w="1603" w:type="dxa"/>
            <w:shd w:val="clear" w:color="auto" w:fill="auto"/>
          </w:tcPr>
          <w:p w14:paraId="13D19CFB" w14:textId="54DF8649" w:rsidR="00BD3840" w:rsidRPr="009B0914" w:rsidRDefault="00BD3840" w:rsidP="009B0914">
            <w:pPr>
              <w:contextualSpacing/>
              <w:rPr>
                <w:rFonts w:asciiTheme="majorHAnsi" w:eastAsia="Calibri" w:hAnsiTheme="majorHAnsi" w:cstheme="majorHAnsi"/>
                <w:color w:val="000000"/>
                <w:sz w:val="17"/>
                <w:szCs w:val="17"/>
              </w:rPr>
            </w:pPr>
            <w:r w:rsidRPr="007D542F">
              <w:rPr>
                <w:rFonts w:asciiTheme="majorHAnsi" w:eastAsia="Calibri" w:hAnsiTheme="majorHAnsi" w:cstheme="majorHAnsi"/>
                <w:color w:val="000000"/>
                <w:sz w:val="17"/>
                <w:szCs w:val="17"/>
              </w:rPr>
              <w:t>Net income of corporate farms</w:t>
            </w:r>
          </w:p>
        </w:tc>
        <w:tc>
          <w:tcPr>
            <w:tcW w:w="1277" w:type="dxa"/>
            <w:shd w:val="clear" w:color="auto" w:fill="auto"/>
          </w:tcPr>
          <w:p w14:paraId="6B8008B8" w14:textId="0D89BFFA"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29DB7C3F" w14:textId="73546917"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w:t>
            </w:r>
            <w:r w:rsidRPr="00CB0D59">
              <w:rPr>
                <w:rFonts w:asciiTheme="majorHAnsi" w:eastAsia="Calibri" w:hAnsiTheme="majorHAnsi" w:cstheme="majorHAnsi"/>
                <w:color w:val="000000"/>
                <w:sz w:val="17"/>
                <w:szCs w:val="17"/>
              </w:rPr>
              <w:t>he net income of corporate farms arising from the current production of agricultural commodities. The estimates of farm cash receipts, other income, and production expenses include the income or loss from both privately owned and corporate farms. However, the income of corporate farms is not included in total net farm proprietors' income and is shown as a subtraction from total net farm income.</w:t>
            </w:r>
          </w:p>
        </w:tc>
        <w:tc>
          <w:tcPr>
            <w:tcW w:w="1440" w:type="dxa"/>
          </w:tcPr>
          <w:p w14:paraId="363C664D" w14:textId="5D6B3021"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7641B395" w14:textId="5A2E1DDC"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643A4B09" w14:textId="34C975B5"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net_income_c</w:t>
            </w:r>
            <w:r w:rsidR="00391A4A">
              <w:rPr>
                <w:rFonts w:asciiTheme="majorHAnsi" w:eastAsia="Calibri" w:hAnsiTheme="majorHAnsi" w:cstheme="majorHAnsi"/>
                <w:color w:val="000000"/>
                <w:sz w:val="17"/>
                <w:szCs w:val="17"/>
              </w:rPr>
              <w:t>ro</w:t>
            </w:r>
            <w:r>
              <w:rPr>
                <w:rFonts w:asciiTheme="majorHAnsi" w:eastAsia="Calibri" w:hAnsiTheme="majorHAnsi" w:cstheme="majorHAnsi"/>
                <w:color w:val="000000"/>
                <w:sz w:val="17"/>
                <w:szCs w:val="17"/>
              </w:rPr>
              <w:t>p</w:t>
            </w:r>
          </w:p>
        </w:tc>
      </w:tr>
      <w:tr w:rsidR="00BD3840" w:rsidRPr="009B0914" w14:paraId="15F32491" w14:textId="77777777" w:rsidTr="005464CC">
        <w:tc>
          <w:tcPr>
            <w:tcW w:w="1603" w:type="dxa"/>
            <w:shd w:val="clear" w:color="auto" w:fill="auto"/>
          </w:tcPr>
          <w:p w14:paraId="1EB5957B" w14:textId="4691C827" w:rsidR="00BD3840" w:rsidRPr="009B0914" w:rsidRDefault="00BD3840" w:rsidP="009B0914">
            <w:pPr>
              <w:contextualSpacing/>
              <w:rPr>
                <w:rFonts w:asciiTheme="majorHAnsi" w:eastAsia="Calibri" w:hAnsiTheme="majorHAnsi" w:cstheme="majorHAnsi"/>
                <w:color w:val="000000"/>
                <w:sz w:val="17"/>
                <w:szCs w:val="17"/>
              </w:rPr>
            </w:pPr>
            <w:r w:rsidRPr="007D542F">
              <w:rPr>
                <w:rFonts w:asciiTheme="majorHAnsi" w:eastAsia="Calibri" w:hAnsiTheme="majorHAnsi" w:cstheme="majorHAnsi"/>
                <w:color w:val="000000"/>
                <w:sz w:val="17"/>
                <w:szCs w:val="17"/>
              </w:rPr>
              <w:t>Statistical adjustment</w:t>
            </w:r>
          </w:p>
        </w:tc>
        <w:tc>
          <w:tcPr>
            <w:tcW w:w="1277" w:type="dxa"/>
            <w:shd w:val="clear" w:color="auto" w:fill="auto"/>
          </w:tcPr>
          <w:p w14:paraId="37344389" w14:textId="7896886C"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6B0FACEB" w14:textId="6D22DDC8"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A</w:t>
            </w:r>
            <w:r w:rsidRPr="00D35336">
              <w:rPr>
                <w:rFonts w:asciiTheme="majorHAnsi" w:eastAsia="Calibri" w:hAnsiTheme="majorHAnsi" w:cstheme="majorHAnsi"/>
                <w:color w:val="000000"/>
                <w:sz w:val="17"/>
                <w:szCs w:val="17"/>
              </w:rPr>
              <w:t xml:space="preserve"> simple mathematical rounding factor calculated to ensure that the sum of the state estimates, which are independently derived in thousand dollar units, add to even million dollar units at the U.S. level.</w:t>
            </w:r>
          </w:p>
        </w:tc>
        <w:tc>
          <w:tcPr>
            <w:tcW w:w="1440" w:type="dxa"/>
          </w:tcPr>
          <w:p w14:paraId="57127A24" w14:textId="74224544"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60F4FD46" w14:textId="462D6898"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53699E85" w14:textId="21C01511"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stat_adj</w:t>
            </w:r>
          </w:p>
        </w:tc>
      </w:tr>
      <w:tr w:rsidR="00BD3840" w:rsidRPr="009B0914" w14:paraId="3FD101C5" w14:textId="77777777" w:rsidTr="005464CC">
        <w:tc>
          <w:tcPr>
            <w:tcW w:w="1603" w:type="dxa"/>
            <w:shd w:val="clear" w:color="auto" w:fill="auto"/>
          </w:tcPr>
          <w:p w14:paraId="2FBB156E" w14:textId="1E195DD3" w:rsidR="00BD3840" w:rsidRPr="009B0914" w:rsidRDefault="00BD3840" w:rsidP="009B0914">
            <w:pPr>
              <w:contextualSpacing/>
              <w:rPr>
                <w:rFonts w:asciiTheme="majorHAnsi" w:eastAsia="Calibri" w:hAnsiTheme="majorHAnsi" w:cstheme="majorHAnsi"/>
                <w:color w:val="000000"/>
                <w:sz w:val="17"/>
                <w:szCs w:val="17"/>
              </w:rPr>
            </w:pPr>
            <w:r w:rsidRPr="007D542F">
              <w:rPr>
                <w:rFonts w:asciiTheme="majorHAnsi" w:eastAsia="Calibri" w:hAnsiTheme="majorHAnsi" w:cstheme="majorHAnsi"/>
                <w:color w:val="000000"/>
                <w:sz w:val="17"/>
                <w:szCs w:val="17"/>
              </w:rPr>
              <w:t>Farm wages and salaries</w:t>
            </w:r>
          </w:p>
        </w:tc>
        <w:tc>
          <w:tcPr>
            <w:tcW w:w="1277" w:type="dxa"/>
            <w:shd w:val="clear" w:color="auto" w:fill="auto"/>
          </w:tcPr>
          <w:p w14:paraId="3731FB4C" w14:textId="122DB6BB"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13826063" w14:textId="67DB453F"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w:t>
            </w:r>
            <w:r w:rsidRPr="009125F5">
              <w:rPr>
                <w:rFonts w:asciiTheme="majorHAnsi" w:eastAsia="Calibri" w:hAnsiTheme="majorHAnsi" w:cstheme="majorHAnsi"/>
                <w:color w:val="000000"/>
                <w:sz w:val="17"/>
                <w:szCs w:val="17"/>
              </w:rPr>
              <w:t>he cash wages and pay-in-kind of hired laborers directly involved in the production of agricultural commodities, either livestock or crops. It includes the salaries received by the owner-operators of farm sole proprietorships, partnerships, and family held corporations.</w:t>
            </w:r>
          </w:p>
        </w:tc>
        <w:tc>
          <w:tcPr>
            <w:tcW w:w="1440" w:type="dxa"/>
          </w:tcPr>
          <w:p w14:paraId="1743CCF3" w14:textId="58B5288D"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36932C6D" w14:textId="26F16F33"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0BB87E46" w14:textId="6184969F"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wage_sal</w:t>
            </w:r>
          </w:p>
        </w:tc>
      </w:tr>
      <w:tr w:rsidR="00BD3840" w:rsidRPr="009B0914" w14:paraId="73A37789" w14:textId="77777777" w:rsidTr="005464CC">
        <w:tc>
          <w:tcPr>
            <w:tcW w:w="1603" w:type="dxa"/>
            <w:shd w:val="clear" w:color="auto" w:fill="auto"/>
          </w:tcPr>
          <w:p w14:paraId="22C1AF18" w14:textId="426FD509" w:rsidR="00BD3840" w:rsidRPr="009B0914" w:rsidRDefault="00BD3840" w:rsidP="009B0914">
            <w:pPr>
              <w:contextualSpacing/>
              <w:rPr>
                <w:rFonts w:asciiTheme="majorHAnsi" w:eastAsia="Calibri" w:hAnsiTheme="majorHAnsi" w:cstheme="majorHAnsi"/>
                <w:color w:val="000000"/>
                <w:sz w:val="17"/>
                <w:szCs w:val="17"/>
              </w:rPr>
            </w:pPr>
            <w:r w:rsidRPr="007D542F">
              <w:rPr>
                <w:rFonts w:asciiTheme="majorHAnsi" w:eastAsia="Calibri" w:hAnsiTheme="majorHAnsi" w:cstheme="majorHAnsi"/>
                <w:color w:val="000000"/>
                <w:sz w:val="17"/>
                <w:szCs w:val="17"/>
              </w:rPr>
              <w:t>Farm supplements to wages and salaries</w:t>
            </w:r>
          </w:p>
        </w:tc>
        <w:tc>
          <w:tcPr>
            <w:tcW w:w="1277" w:type="dxa"/>
            <w:shd w:val="clear" w:color="auto" w:fill="auto"/>
          </w:tcPr>
          <w:p w14:paraId="7B66E52F" w14:textId="7EC7E0C6"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3573487E" w14:textId="1B8C40E8"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w:t>
            </w:r>
            <w:r w:rsidRPr="0097171D">
              <w:rPr>
                <w:rFonts w:asciiTheme="majorHAnsi" w:eastAsia="Calibri" w:hAnsiTheme="majorHAnsi" w:cstheme="majorHAnsi"/>
                <w:color w:val="000000"/>
                <w:sz w:val="17"/>
                <w:szCs w:val="17"/>
              </w:rPr>
              <w:t>he contributions of farm employers to privately administered workmen's compensation, pensions, and welfare plans; and of the contributions of farm employers for government social insurance.</w:t>
            </w:r>
          </w:p>
        </w:tc>
        <w:tc>
          <w:tcPr>
            <w:tcW w:w="1440" w:type="dxa"/>
          </w:tcPr>
          <w:p w14:paraId="4C8DEE21" w14:textId="38E1804A" w:rsidR="00BD3840"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5E2F1E7B" w14:textId="1F1A3C74" w:rsidR="00BD3840"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22B0CC89" w14:textId="2D52D7D7"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xml:space="preserve">supp </w:t>
            </w:r>
          </w:p>
        </w:tc>
      </w:tr>
      <w:tr w:rsidR="00BD3840" w:rsidRPr="009B0914" w14:paraId="03DB0772" w14:textId="77777777" w:rsidTr="005464CC">
        <w:tc>
          <w:tcPr>
            <w:tcW w:w="1603" w:type="dxa"/>
            <w:shd w:val="clear" w:color="auto" w:fill="auto"/>
          </w:tcPr>
          <w:p w14:paraId="0220FD63" w14:textId="28907D0F" w:rsidR="00BD3840" w:rsidRPr="009B0914" w:rsidRDefault="00BD3840" w:rsidP="009B0914">
            <w:pPr>
              <w:contextualSpacing/>
              <w:rPr>
                <w:rFonts w:asciiTheme="majorHAnsi" w:eastAsia="Calibri" w:hAnsiTheme="majorHAnsi" w:cstheme="majorHAnsi"/>
                <w:color w:val="000000"/>
                <w:sz w:val="17"/>
                <w:szCs w:val="17"/>
              </w:rPr>
            </w:pPr>
            <w:commentRangeStart w:id="1"/>
            <w:r w:rsidRPr="007D542F">
              <w:rPr>
                <w:rFonts w:asciiTheme="majorHAnsi" w:eastAsia="Calibri" w:hAnsiTheme="majorHAnsi" w:cstheme="majorHAnsi"/>
                <w:color w:val="000000"/>
                <w:sz w:val="17"/>
                <w:szCs w:val="17"/>
              </w:rPr>
              <w:t>Farm earnings</w:t>
            </w:r>
            <w:commentRangeEnd w:id="1"/>
            <w:r>
              <w:rPr>
                <w:rStyle w:val="CommentReference"/>
              </w:rPr>
              <w:commentReference w:id="1"/>
            </w:r>
          </w:p>
        </w:tc>
        <w:tc>
          <w:tcPr>
            <w:tcW w:w="1277" w:type="dxa"/>
            <w:shd w:val="clear" w:color="auto" w:fill="auto"/>
          </w:tcPr>
          <w:p w14:paraId="46A56075" w14:textId="5506F8A6"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517249C3" w14:textId="13837BD4" w:rsidR="00BD3840" w:rsidRPr="009B0914" w:rsidRDefault="00BD3840" w:rsidP="00BF021D">
            <w:pPr>
              <w:contextualSpacing/>
              <w:jc w:val="both"/>
              <w:rPr>
                <w:rFonts w:asciiTheme="majorHAnsi" w:eastAsia="Calibri" w:hAnsiTheme="majorHAnsi" w:cstheme="majorHAnsi"/>
                <w:color w:val="000000"/>
                <w:sz w:val="17"/>
                <w:szCs w:val="17"/>
              </w:rPr>
            </w:pPr>
          </w:p>
        </w:tc>
        <w:tc>
          <w:tcPr>
            <w:tcW w:w="1440" w:type="dxa"/>
          </w:tcPr>
          <w:p w14:paraId="0B9D6BAC" w14:textId="3E037345" w:rsidR="00BD3840" w:rsidRPr="00070AA6" w:rsidRDefault="00404486"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47EB000D" w14:textId="7BF54678" w:rsidR="00BD3840" w:rsidRDefault="00BD3840" w:rsidP="00BF021D">
            <w:pPr>
              <w:contextualSpacing/>
              <w:jc w:val="both"/>
              <w:rPr>
                <w:rFonts w:asciiTheme="majorHAnsi" w:eastAsia="Calibri" w:hAnsiTheme="majorHAnsi" w:cstheme="majorHAnsi"/>
                <w:color w:val="000000"/>
                <w:sz w:val="17"/>
                <w:szCs w:val="17"/>
              </w:rPr>
            </w:pPr>
            <w:r w:rsidRPr="00070AA6">
              <w:rPr>
                <w:rFonts w:asciiTheme="majorHAnsi" w:eastAsia="Calibri" w:hAnsiTheme="majorHAnsi" w:cstheme="majorHAnsi"/>
                <w:color w:val="000000"/>
                <w:sz w:val="17"/>
                <w:szCs w:val="17"/>
              </w:rPr>
              <w:t>Farm proprietors' income + Farm wages and salaries + Farm supplements to wages and salaries</w:t>
            </w:r>
          </w:p>
        </w:tc>
        <w:tc>
          <w:tcPr>
            <w:tcW w:w="1260" w:type="dxa"/>
            <w:shd w:val="clear" w:color="auto" w:fill="auto"/>
          </w:tcPr>
          <w:p w14:paraId="2884A5D8" w14:textId="6F23B531"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farm_earn</w:t>
            </w:r>
          </w:p>
        </w:tc>
      </w:tr>
      <w:tr w:rsidR="00BD3840" w:rsidRPr="009B0914" w14:paraId="155D67D8" w14:textId="36958DC7" w:rsidTr="005464CC">
        <w:tc>
          <w:tcPr>
            <w:tcW w:w="1603" w:type="dxa"/>
            <w:tcBorders>
              <w:top w:val="single" w:sz="4" w:space="0" w:color="auto"/>
              <w:bottom w:val="single" w:sz="4" w:space="0" w:color="auto"/>
            </w:tcBorders>
            <w:shd w:val="clear" w:color="auto" w:fill="auto"/>
          </w:tcPr>
          <w:p w14:paraId="1E91018E" w14:textId="2BAFDC6F" w:rsidR="00BD3840" w:rsidRPr="009B0914" w:rsidRDefault="00BD3840" w:rsidP="009B0914">
            <w:pPr>
              <w:contextualSpacing/>
              <w:rPr>
                <w:rFonts w:asciiTheme="majorHAnsi" w:eastAsia="Calibri" w:hAnsiTheme="majorHAnsi" w:cstheme="majorHAnsi"/>
                <w:b/>
                <w:color w:val="000000"/>
                <w:sz w:val="17"/>
                <w:szCs w:val="17"/>
              </w:rPr>
            </w:pPr>
            <w:r>
              <w:rPr>
                <w:rFonts w:asciiTheme="majorHAnsi" w:eastAsia="Calibri" w:hAnsiTheme="majorHAnsi" w:cstheme="majorHAnsi"/>
                <w:b/>
                <w:color w:val="000000"/>
                <w:sz w:val="17"/>
                <w:szCs w:val="17"/>
              </w:rPr>
              <w:t>GDP</w:t>
            </w:r>
          </w:p>
        </w:tc>
        <w:tc>
          <w:tcPr>
            <w:tcW w:w="1277" w:type="dxa"/>
            <w:tcBorders>
              <w:top w:val="single" w:sz="4" w:space="0" w:color="auto"/>
              <w:bottom w:val="single" w:sz="4" w:space="0" w:color="auto"/>
            </w:tcBorders>
            <w:shd w:val="clear" w:color="auto" w:fill="auto"/>
          </w:tcPr>
          <w:p w14:paraId="3BF5566A" w14:textId="77777777" w:rsidR="00BD3840" w:rsidRPr="009B0914" w:rsidRDefault="00BD3840" w:rsidP="00BF021D">
            <w:pPr>
              <w:contextualSpacing/>
              <w:jc w:val="both"/>
              <w:rPr>
                <w:rFonts w:asciiTheme="majorHAnsi" w:eastAsia="Calibri" w:hAnsiTheme="majorHAnsi" w:cstheme="majorHAnsi"/>
                <w:color w:val="000000"/>
                <w:sz w:val="17"/>
                <w:szCs w:val="17"/>
              </w:rPr>
            </w:pPr>
          </w:p>
        </w:tc>
        <w:tc>
          <w:tcPr>
            <w:tcW w:w="5400" w:type="dxa"/>
            <w:tcBorders>
              <w:top w:val="single" w:sz="4" w:space="0" w:color="auto"/>
              <w:bottom w:val="single" w:sz="4" w:space="0" w:color="auto"/>
            </w:tcBorders>
            <w:shd w:val="clear" w:color="auto" w:fill="auto"/>
          </w:tcPr>
          <w:p w14:paraId="4E00F254" w14:textId="77777777" w:rsidR="00BD3840" w:rsidRPr="009B0914" w:rsidRDefault="00BD3840" w:rsidP="00BF021D">
            <w:pPr>
              <w:contextualSpacing/>
              <w:jc w:val="both"/>
              <w:rPr>
                <w:rFonts w:asciiTheme="majorHAnsi" w:eastAsia="Calibri" w:hAnsiTheme="majorHAnsi" w:cstheme="majorHAnsi"/>
                <w:color w:val="000000"/>
                <w:sz w:val="17"/>
                <w:szCs w:val="17"/>
              </w:rPr>
            </w:pPr>
          </w:p>
        </w:tc>
        <w:tc>
          <w:tcPr>
            <w:tcW w:w="1440" w:type="dxa"/>
            <w:tcBorders>
              <w:top w:val="single" w:sz="4" w:space="0" w:color="auto"/>
              <w:bottom w:val="single" w:sz="4" w:space="0" w:color="auto"/>
            </w:tcBorders>
          </w:tcPr>
          <w:p w14:paraId="5B9C9150" w14:textId="77777777" w:rsidR="00BD3840" w:rsidRPr="009B0914" w:rsidRDefault="00BD3840" w:rsidP="00BF021D">
            <w:pPr>
              <w:contextualSpacing/>
              <w:jc w:val="both"/>
              <w:rPr>
                <w:rFonts w:asciiTheme="majorHAnsi" w:eastAsia="Calibri" w:hAnsiTheme="majorHAnsi" w:cstheme="majorHAnsi"/>
                <w:color w:val="000000"/>
                <w:sz w:val="17"/>
                <w:szCs w:val="17"/>
              </w:rPr>
            </w:pPr>
          </w:p>
        </w:tc>
        <w:tc>
          <w:tcPr>
            <w:tcW w:w="1980" w:type="dxa"/>
            <w:tcBorders>
              <w:top w:val="single" w:sz="4" w:space="0" w:color="auto"/>
              <w:bottom w:val="single" w:sz="4" w:space="0" w:color="auto"/>
            </w:tcBorders>
          </w:tcPr>
          <w:p w14:paraId="0E539A0C" w14:textId="3138658D" w:rsidR="00BD3840" w:rsidRPr="009B0914" w:rsidRDefault="00BD3840" w:rsidP="00BF021D">
            <w:pPr>
              <w:contextualSpacing/>
              <w:jc w:val="both"/>
              <w:rPr>
                <w:rFonts w:asciiTheme="majorHAnsi" w:eastAsia="Calibri" w:hAnsiTheme="majorHAnsi" w:cstheme="majorHAnsi"/>
                <w:color w:val="000000"/>
                <w:sz w:val="17"/>
                <w:szCs w:val="17"/>
              </w:rPr>
            </w:pPr>
          </w:p>
        </w:tc>
        <w:tc>
          <w:tcPr>
            <w:tcW w:w="1260" w:type="dxa"/>
            <w:tcBorders>
              <w:top w:val="single" w:sz="4" w:space="0" w:color="auto"/>
              <w:bottom w:val="single" w:sz="4" w:space="0" w:color="auto"/>
            </w:tcBorders>
            <w:shd w:val="clear" w:color="auto" w:fill="auto"/>
          </w:tcPr>
          <w:p w14:paraId="226CDA1F" w14:textId="236900E2" w:rsidR="00BD3840" w:rsidRPr="009B0914" w:rsidRDefault="00BD3840" w:rsidP="00BF021D">
            <w:pPr>
              <w:contextualSpacing/>
              <w:jc w:val="both"/>
              <w:rPr>
                <w:rFonts w:asciiTheme="majorHAnsi" w:eastAsia="Calibri" w:hAnsiTheme="majorHAnsi" w:cstheme="majorHAnsi"/>
                <w:color w:val="000000"/>
                <w:sz w:val="17"/>
                <w:szCs w:val="17"/>
              </w:rPr>
            </w:pPr>
          </w:p>
        </w:tc>
      </w:tr>
      <w:tr w:rsidR="00BD3840" w:rsidRPr="009B0914" w14:paraId="31F1F344" w14:textId="23843776" w:rsidTr="005464CC">
        <w:tc>
          <w:tcPr>
            <w:tcW w:w="1603" w:type="dxa"/>
            <w:shd w:val="clear" w:color="auto" w:fill="auto"/>
          </w:tcPr>
          <w:p w14:paraId="1FE47A6A" w14:textId="13019BF9" w:rsidR="00BD3840" w:rsidRPr="009B0914" w:rsidRDefault="00BD3840" w:rsidP="009B0914">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lastRenderedPageBreak/>
              <w:t>Chained real GDP in $</w:t>
            </w:r>
          </w:p>
        </w:tc>
        <w:tc>
          <w:tcPr>
            <w:tcW w:w="1277" w:type="dxa"/>
            <w:shd w:val="clear" w:color="auto" w:fill="auto"/>
          </w:tcPr>
          <w:p w14:paraId="1B38E6F0" w14:textId="0D4BAB64" w:rsidR="00BD3840" w:rsidRPr="009B0914" w:rsidRDefault="00BD3840" w:rsidP="00853D10">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chained 2012 USD$</w:t>
            </w:r>
          </w:p>
        </w:tc>
        <w:tc>
          <w:tcPr>
            <w:tcW w:w="5400" w:type="dxa"/>
            <w:shd w:val="clear" w:color="auto" w:fill="auto"/>
          </w:tcPr>
          <w:p w14:paraId="71004207" w14:textId="4FDABF2B"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A</w:t>
            </w:r>
            <w:r w:rsidRPr="00853D10">
              <w:rPr>
                <w:rFonts w:asciiTheme="majorHAnsi" w:eastAsia="Calibri" w:hAnsiTheme="majorHAnsi" w:cstheme="majorHAnsi"/>
                <w:color w:val="000000"/>
                <w:sz w:val="17"/>
                <w:szCs w:val="17"/>
              </w:rPr>
              <w:t>n inflation-adjusted measure of each area's gross product that is based on national prices for the goods and services produced within the area</w:t>
            </w:r>
            <w:r>
              <w:rPr>
                <w:rFonts w:asciiTheme="majorHAnsi" w:eastAsia="Calibri" w:hAnsiTheme="majorHAnsi" w:cstheme="majorHAnsi"/>
                <w:color w:val="000000"/>
                <w:sz w:val="17"/>
                <w:szCs w:val="17"/>
              </w:rPr>
              <w:t>; m</w:t>
            </w:r>
            <w:r w:rsidRPr="00853D10">
              <w:rPr>
                <w:rFonts w:asciiTheme="majorHAnsi" w:eastAsia="Calibri" w:hAnsiTheme="majorHAnsi" w:cstheme="majorHAnsi"/>
                <w:color w:val="000000"/>
                <w:sz w:val="17"/>
                <w:szCs w:val="17"/>
              </w:rPr>
              <w:t>easured in chained (2012) dollars.</w:t>
            </w:r>
          </w:p>
        </w:tc>
        <w:tc>
          <w:tcPr>
            <w:tcW w:w="1440" w:type="dxa"/>
          </w:tcPr>
          <w:p w14:paraId="402AE107" w14:textId="259D2B23" w:rsidR="00BD3840" w:rsidRPr="009B0914" w:rsidRDefault="00391A4A"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2000-2019</w:t>
            </w:r>
          </w:p>
        </w:tc>
        <w:tc>
          <w:tcPr>
            <w:tcW w:w="1980" w:type="dxa"/>
          </w:tcPr>
          <w:p w14:paraId="438758E6" w14:textId="7E6D3F86" w:rsidR="00BD3840" w:rsidRPr="009B0914"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22506237" w14:textId="76F44DDF"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real_GDP</w:t>
            </w:r>
          </w:p>
        </w:tc>
      </w:tr>
      <w:tr w:rsidR="00BD3840" w:rsidRPr="009B0914" w14:paraId="09224863" w14:textId="77777777" w:rsidTr="005464CC">
        <w:tc>
          <w:tcPr>
            <w:tcW w:w="1603" w:type="dxa"/>
            <w:shd w:val="clear" w:color="auto" w:fill="auto"/>
          </w:tcPr>
          <w:p w14:paraId="7B11D3E8" w14:textId="23377699" w:rsidR="00BD3840" w:rsidRPr="009B0914" w:rsidRDefault="00BD3840" w:rsidP="009B0914">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Chained real GDP Index</w:t>
            </w:r>
          </w:p>
        </w:tc>
        <w:tc>
          <w:tcPr>
            <w:tcW w:w="1277" w:type="dxa"/>
            <w:shd w:val="clear" w:color="auto" w:fill="auto"/>
          </w:tcPr>
          <w:p w14:paraId="75FB6928" w14:textId="53F9D34F"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xml:space="preserve">Index </w:t>
            </w:r>
          </w:p>
        </w:tc>
        <w:tc>
          <w:tcPr>
            <w:tcW w:w="5400" w:type="dxa"/>
            <w:shd w:val="clear" w:color="auto" w:fill="auto"/>
          </w:tcPr>
          <w:p w14:paraId="48FE29BA" w14:textId="503D7AB6" w:rsidR="00BD3840" w:rsidRPr="009B0914" w:rsidRDefault="00BD3840" w:rsidP="00853D10">
            <w:pPr>
              <w:contextualSpacing/>
              <w:jc w:val="both"/>
              <w:rPr>
                <w:rFonts w:asciiTheme="majorHAnsi" w:eastAsia="Calibri" w:hAnsiTheme="majorHAnsi" w:cstheme="majorHAnsi"/>
                <w:color w:val="000000"/>
                <w:sz w:val="17"/>
                <w:szCs w:val="17"/>
              </w:rPr>
            </w:pPr>
            <w:r w:rsidRPr="00853D10">
              <w:rPr>
                <w:rFonts w:asciiTheme="majorHAnsi" w:eastAsia="Calibri" w:hAnsiTheme="majorHAnsi" w:cstheme="majorHAnsi"/>
                <w:color w:val="000000"/>
                <w:sz w:val="17"/>
                <w:szCs w:val="17"/>
              </w:rPr>
              <w:t>A quantity index is an index number that measures the change in the level of a quantity from a base year, apart from any changes in relative prices. BEA uses chain-type annual-weighted indexes, also known as Fisher indexes, as its measure of real output and prices</w:t>
            </w:r>
            <w:r>
              <w:rPr>
                <w:rFonts w:asciiTheme="majorHAnsi" w:eastAsia="Calibri" w:hAnsiTheme="majorHAnsi" w:cstheme="majorHAnsi"/>
                <w:color w:val="000000"/>
                <w:sz w:val="17"/>
                <w:szCs w:val="17"/>
              </w:rPr>
              <w:t xml:space="preserve">. </w:t>
            </w:r>
            <w:r w:rsidRPr="00853D10">
              <w:rPr>
                <w:rFonts w:asciiTheme="majorHAnsi" w:eastAsia="Calibri" w:hAnsiTheme="majorHAnsi" w:cstheme="majorHAnsi"/>
                <w:color w:val="000000"/>
                <w:sz w:val="17"/>
                <w:szCs w:val="17"/>
              </w:rPr>
              <w:t>The value of the quantity index is 100 for the base year.</w:t>
            </w:r>
          </w:p>
        </w:tc>
        <w:tc>
          <w:tcPr>
            <w:tcW w:w="1440" w:type="dxa"/>
          </w:tcPr>
          <w:p w14:paraId="6A529E68" w14:textId="198C9D55" w:rsidR="00BD3840" w:rsidRPr="009B0914" w:rsidRDefault="00391A4A"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2000-2019</w:t>
            </w:r>
          </w:p>
        </w:tc>
        <w:tc>
          <w:tcPr>
            <w:tcW w:w="1980" w:type="dxa"/>
          </w:tcPr>
          <w:p w14:paraId="5993AAB2" w14:textId="4807B25E" w:rsidR="00BD3840" w:rsidRPr="009B0914"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11085E9C" w14:textId="780A58FC"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CTQI_real_GDP</w:t>
            </w:r>
          </w:p>
        </w:tc>
      </w:tr>
      <w:tr w:rsidR="00BD3840" w:rsidRPr="009B0914" w14:paraId="61C146AC" w14:textId="77777777" w:rsidTr="005464CC">
        <w:tc>
          <w:tcPr>
            <w:tcW w:w="1603" w:type="dxa"/>
            <w:shd w:val="clear" w:color="auto" w:fill="auto"/>
          </w:tcPr>
          <w:p w14:paraId="0BB79A4A" w14:textId="7501B760" w:rsidR="00BD3840" w:rsidRPr="009B0914" w:rsidRDefault="00BD3840" w:rsidP="009B0914">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Current GDP</w:t>
            </w:r>
          </w:p>
        </w:tc>
        <w:tc>
          <w:tcPr>
            <w:tcW w:w="1277" w:type="dxa"/>
            <w:shd w:val="clear" w:color="auto" w:fill="auto"/>
          </w:tcPr>
          <w:p w14:paraId="1DA6BF95" w14:textId="3DD45C3C"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21108189" w14:textId="40830DA9" w:rsidR="00BD3840" w:rsidRPr="009B0914"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E</w:t>
            </w:r>
            <w:r w:rsidRPr="00853D10">
              <w:rPr>
                <w:rFonts w:asciiTheme="majorHAnsi" w:eastAsia="Calibri" w:hAnsiTheme="majorHAnsi" w:cstheme="majorHAnsi"/>
                <w:color w:val="000000"/>
                <w:sz w:val="17"/>
                <w:szCs w:val="17"/>
              </w:rPr>
              <w:t>ach area's gross product that is based on national prices for the goods and services produced within the area</w:t>
            </w:r>
            <w:r>
              <w:rPr>
                <w:rFonts w:asciiTheme="majorHAnsi" w:eastAsia="Calibri" w:hAnsiTheme="majorHAnsi" w:cstheme="majorHAnsi"/>
                <w:color w:val="000000"/>
                <w:sz w:val="17"/>
                <w:szCs w:val="17"/>
              </w:rPr>
              <w:t>; m</w:t>
            </w:r>
            <w:r w:rsidRPr="00853D10">
              <w:rPr>
                <w:rFonts w:asciiTheme="majorHAnsi" w:eastAsia="Calibri" w:hAnsiTheme="majorHAnsi" w:cstheme="majorHAnsi"/>
                <w:color w:val="000000"/>
                <w:sz w:val="17"/>
                <w:szCs w:val="17"/>
              </w:rPr>
              <w:t xml:space="preserve">easured in </w:t>
            </w:r>
            <w:r>
              <w:rPr>
                <w:rFonts w:asciiTheme="majorHAnsi" w:eastAsia="Calibri" w:hAnsiTheme="majorHAnsi" w:cstheme="majorHAnsi"/>
                <w:color w:val="000000"/>
                <w:sz w:val="17"/>
                <w:szCs w:val="17"/>
              </w:rPr>
              <w:t>current dollars</w:t>
            </w:r>
            <w:r w:rsidRPr="00853D10">
              <w:rPr>
                <w:rFonts w:asciiTheme="majorHAnsi" w:eastAsia="Calibri" w:hAnsiTheme="majorHAnsi" w:cstheme="majorHAnsi"/>
                <w:color w:val="000000"/>
                <w:sz w:val="17"/>
                <w:szCs w:val="17"/>
              </w:rPr>
              <w:t>.</w:t>
            </w:r>
          </w:p>
        </w:tc>
        <w:tc>
          <w:tcPr>
            <w:tcW w:w="1440" w:type="dxa"/>
          </w:tcPr>
          <w:p w14:paraId="0B5CA512" w14:textId="427C8186" w:rsidR="00BD3840" w:rsidRPr="009B0914" w:rsidRDefault="00391A4A"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2000-2019</w:t>
            </w:r>
          </w:p>
        </w:tc>
        <w:tc>
          <w:tcPr>
            <w:tcW w:w="1980" w:type="dxa"/>
          </w:tcPr>
          <w:p w14:paraId="11462669" w14:textId="7E93E8F3" w:rsidR="00BD3840" w:rsidRPr="009B0914" w:rsidRDefault="00BD3840" w:rsidP="00BF021D">
            <w:pPr>
              <w:contextualSpacing/>
              <w:jc w:val="both"/>
              <w:rPr>
                <w:rFonts w:asciiTheme="majorHAnsi" w:eastAsia="Calibri" w:hAnsiTheme="majorHAnsi" w:cstheme="majorHAnsi"/>
                <w:color w:val="000000"/>
                <w:sz w:val="17"/>
                <w:szCs w:val="17"/>
              </w:rPr>
            </w:pPr>
          </w:p>
        </w:tc>
        <w:tc>
          <w:tcPr>
            <w:tcW w:w="1260" w:type="dxa"/>
            <w:shd w:val="clear" w:color="auto" w:fill="auto"/>
          </w:tcPr>
          <w:p w14:paraId="4B3C421E" w14:textId="735322E1" w:rsidR="00BD3840" w:rsidRDefault="00BD3840" w:rsidP="00BF021D">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current_GDP</w:t>
            </w:r>
          </w:p>
        </w:tc>
      </w:tr>
      <w:tr w:rsidR="00910687" w:rsidRPr="009B0914" w14:paraId="07493EF9" w14:textId="77777777" w:rsidTr="005464CC">
        <w:tc>
          <w:tcPr>
            <w:tcW w:w="1603" w:type="dxa"/>
            <w:shd w:val="clear" w:color="auto" w:fill="auto"/>
          </w:tcPr>
          <w:p w14:paraId="00EBFBD5" w14:textId="72FA1466" w:rsidR="00910687" w:rsidRDefault="00910687" w:rsidP="00910687">
            <w:pPr>
              <w:contextualSpacing/>
              <w:rPr>
                <w:rFonts w:asciiTheme="majorHAnsi" w:eastAsia="Calibri" w:hAnsiTheme="majorHAnsi" w:cstheme="majorHAnsi"/>
                <w:color w:val="000000"/>
                <w:sz w:val="17"/>
                <w:szCs w:val="17"/>
              </w:rPr>
            </w:pPr>
            <w:r>
              <w:rPr>
                <w:rFonts w:asciiTheme="majorHAnsi" w:eastAsia="Calibri" w:hAnsiTheme="majorHAnsi" w:cstheme="majorHAnsi"/>
                <w:bCs/>
                <w:color w:val="000000"/>
                <w:sz w:val="17"/>
                <w:szCs w:val="17"/>
              </w:rPr>
              <w:t>Change in GDP</w:t>
            </w:r>
          </w:p>
        </w:tc>
        <w:tc>
          <w:tcPr>
            <w:tcW w:w="1277" w:type="dxa"/>
            <w:shd w:val="clear" w:color="auto" w:fill="auto"/>
          </w:tcPr>
          <w:p w14:paraId="7828CB74" w14:textId="7EED7D98"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Percentage points</w:t>
            </w:r>
          </w:p>
        </w:tc>
        <w:tc>
          <w:tcPr>
            <w:tcW w:w="5400" w:type="dxa"/>
            <w:shd w:val="clear" w:color="auto" w:fill="auto"/>
          </w:tcPr>
          <w:p w14:paraId="5012205F" w14:textId="77F829D3"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Percent change in real GDP in the a</w:t>
            </w:r>
            <w:r w:rsidRPr="00853D10">
              <w:rPr>
                <w:rFonts w:asciiTheme="majorHAnsi" w:eastAsia="Calibri" w:hAnsiTheme="majorHAnsi" w:cstheme="majorHAnsi"/>
                <w:color w:val="000000"/>
                <w:sz w:val="17"/>
                <w:szCs w:val="17"/>
              </w:rPr>
              <w:t>griculture, forestry, fishing and hunting</w:t>
            </w:r>
            <w:r>
              <w:rPr>
                <w:rFonts w:asciiTheme="majorHAnsi" w:eastAsia="Calibri" w:hAnsiTheme="majorHAnsi" w:cstheme="majorHAnsi"/>
                <w:color w:val="000000"/>
                <w:sz w:val="17"/>
                <w:szCs w:val="17"/>
              </w:rPr>
              <w:t xml:space="preserve"> sector.</w:t>
            </w:r>
          </w:p>
        </w:tc>
        <w:tc>
          <w:tcPr>
            <w:tcW w:w="1440" w:type="dxa"/>
          </w:tcPr>
          <w:p w14:paraId="6270ABDC" w14:textId="06697C5E"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2000-2019</w:t>
            </w:r>
          </w:p>
        </w:tc>
        <w:tc>
          <w:tcPr>
            <w:tcW w:w="1980" w:type="dxa"/>
          </w:tcPr>
          <w:p w14:paraId="177DFE7A"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shd w:val="clear" w:color="auto" w:fill="auto"/>
          </w:tcPr>
          <w:p w14:paraId="579842D8" w14:textId="17D4C73E" w:rsidR="00910687" w:rsidRDefault="00910687" w:rsidP="00910687">
            <w:pPr>
              <w:contextualSpacing/>
              <w:jc w:val="both"/>
              <w:rPr>
                <w:rFonts w:asciiTheme="majorHAnsi" w:eastAsia="Calibri" w:hAnsiTheme="majorHAnsi" w:cstheme="majorHAnsi"/>
                <w:color w:val="000000"/>
                <w:sz w:val="17"/>
                <w:szCs w:val="17"/>
              </w:rPr>
            </w:pPr>
            <w:r w:rsidRPr="00853D10">
              <w:rPr>
                <w:rFonts w:asciiTheme="majorHAnsi" w:eastAsia="Calibri" w:hAnsiTheme="majorHAnsi" w:cstheme="majorHAnsi"/>
                <w:color w:val="000000"/>
                <w:sz w:val="17"/>
                <w:szCs w:val="17"/>
              </w:rPr>
              <w:t>perc_change_GDP_ag</w:t>
            </w:r>
          </w:p>
        </w:tc>
      </w:tr>
      <w:tr w:rsidR="00910687" w:rsidRPr="009B0914" w14:paraId="6E888388" w14:textId="77777777" w:rsidTr="005464CC">
        <w:tc>
          <w:tcPr>
            <w:tcW w:w="1603" w:type="dxa"/>
            <w:shd w:val="clear" w:color="auto" w:fill="auto"/>
          </w:tcPr>
          <w:p w14:paraId="3FF1F258" w14:textId="2DCCE431" w:rsidR="00910687" w:rsidRDefault="00910687" w:rsidP="00910687">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Current GDP, Agriculture</w:t>
            </w:r>
          </w:p>
        </w:tc>
        <w:tc>
          <w:tcPr>
            <w:tcW w:w="1277" w:type="dxa"/>
            <w:shd w:val="clear" w:color="auto" w:fill="auto"/>
          </w:tcPr>
          <w:p w14:paraId="3FEAFA7A" w14:textId="7C58E13F"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USD$</w:t>
            </w:r>
          </w:p>
        </w:tc>
        <w:tc>
          <w:tcPr>
            <w:tcW w:w="5400" w:type="dxa"/>
            <w:shd w:val="clear" w:color="auto" w:fill="auto"/>
          </w:tcPr>
          <w:p w14:paraId="3497F25D" w14:textId="5C5BCBE5"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E</w:t>
            </w:r>
            <w:r w:rsidRPr="00853D10">
              <w:rPr>
                <w:rFonts w:asciiTheme="majorHAnsi" w:eastAsia="Calibri" w:hAnsiTheme="majorHAnsi" w:cstheme="majorHAnsi"/>
                <w:color w:val="000000"/>
                <w:sz w:val="17"/>
                <w:szCs w:val="17"/>
              </w:rPr>
              <w:t>ach area's gross product that is based on national prices for the goods and services produced within the area</w:t>
            </w:r>
            <w:r>
              <w:rPr>
                <w:rFonts w:asciiTheme="majorHAnsi" w:eastAsia="Calibri" w:hAnsiTheme="majorHAnsi" w:cstheme="majorHAnsi"/>
                <w:color w:val="000000"/>
                <w:sz w:val="17"/>
                <w:szCs w:val="17"/>
              </w:rPr>
              <w:t xml:space="preserve"> in the a</w:t>
            </w:r>
            <w:r w:rsidRPr="00853D10">
              <w:rPr>
                <w:rFonts w:asciiTheme="majorHAnsi" w:eastAsia="Calibri" w:hAnsiTheme="majorHAnsi" w:cstheme="majorHAnsi"/>
                <w:color w:val="000000"/>
                <w:sz w:val="17"/>
                <w:szCs w:val="17"/>
              </w:rPr>
              <w:t>griculture, forestry, fishing and hunting</w:t>
            </w:r>
            <w:r>
              <w:rPr>
                <w:rFonts w:asciiTheme="majorHAnsi" w:eastAsia="Calibri" w:hAnsiTheme="majorHAnsi" w:cstheme="majorHAnsi"/>
                <w:color w:val="000000"/>
                <w:sz w:val="17"/>
                <w:szCs w:val="17"/>
              </w:rPr>
              <w:t xml:space="preserve"> sector; m</w:t>
            </w:r>
            <w:r w:rsidRPr="00853D10">
              <w:rPr>
                <w:rFonts w:asciiTheme="majorHAnsi" w:eastAsia="Calibri" w:hAnsiTheme="majorHAnsi" w:cstheme="majorHAnsi"/>
                <w:color w:val="000000"/>
                <w:sz w:val="17"/>
                <w:szCs w:val="17"/>
              </w:rPr>
              <w:t xml:space="preserve">easured in </w:t>
            </w:r>
            <w:r>
              <w:rPr>
                <w:rFonts w:asciiTheme="majorHAnsi" w:eastAsia="Calibri" w:hAnsiTheme="majorHAnsi" w:cstheme="majorHAnsi"/>
                <w:color w:val="000000"/>
                <w:sz w:val="17"/>
                <w:szCs w:val="17"/>
              </w:rPr>
              <w:t>current dollars</w:t>
            </w:r>
            <w:r w:rsidRPr="00853D10">
              <w:rPr>
                <w:rFonts w:asciiTheme="majorHAnsi" w:eastAsia="Calibri" w:hAnsiTheme="majorHAnsi" w:cstheme="majorHAnsi"/>
                <w:color w:val="000000"/>
                <w:sz w:val="17"/>
                <w:szCs w:val="17"/>
              </w:rPr>
              <w:t>.</w:t>
            </w:r>
          </w:p>
        </w:tc>
        <w:tc>
          <w:tcPr>
            <w:tcW w:w="1440" w:type="dxa"/>
          </w:tcPr>
          <w:p w14:paraId="26EA7405" w14:textId="3D81BBA2" w:rsidR="00910687" w:rsidRPr="009B0914"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2000-2019</w:t>
            </w:r>
          </w:p>
        </w:tc>
        <w:tc>
          <w:tcPr>
            <w:tcW w:w="1980" w:type="dxa"/>
          </w:tcPr>
          <w:p w14:paraId="44399DAC" w14:textId="7C356180"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shd w:val="clear" w:color="auto" w:fill="auto"/>
          </w:tcPr>
          <w:p w14:paraId="716298B0" w14:textId="465CD4BA"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current_GDP_ag</w:t>
            </w:r>
          </w:p>
        </w:tc>
      </w:tr>
      <w:tr w:rsidR="00910687" w:rsidRPr="009B0914" w14:paraId="415E8B32" w14:textId="77777777" w:rsidTr="00910687">
        <w:tc>
          <w:tcPr>
            <w:tcW w:w="1603" w:type="dxa"/>
            <w:shd w:val="clear" w:color="auto" w:fill="auto"/>
          </w:tcPr>
          <w:p w14:paraId="756BFDD6" w14:textId="77777777" w:rsidR="00910687" w:rsidRDefault="00910687" w:rsidP="00910687">
            <w:pPr>
              <w:contextualSpacing/>
              <w:rPr>
                <w:rFonts w:asciiTheme="majorHAnsi" w:eastAsia="Calibri" w:hAnsiTheme="majorHAnsi" w:cstheme="majorHAnsi"/>
                <w:color w:val="000000"/>
                <w:sz w:val="17"/>
                <w:szCs w:val="17"/>
              </w:rPr>
            </w:pPr>
          </w:p>
        </w:tc>
        <w:tc>
          <w:tcPr>
            <w:tcW w:w="1277" w:type="dxa"/>
            <w:shd w:val="clear" w:color="auto" w:fill="auto"/>
          </w:tcPr>
          <w:p w14:paraId="4AF5EF1B" w14:textId="77777777" w:rsidR="00910687" w:rsidRDefault="00910687" w:rsidP="00910687">
            <w:pPr>
              <w:contextualSpacing/>
              <w:jc w:val="both"/>
              <w:rPr>
                <w:rFonts w:asciiTheme="majorHAnsi" w:eastAsia="Calibri" w:hAnsiTheme="majorHAnsi" w:cstheme="majorHAnsi"/>
                <w:color w:val="000000"/>
                <w:sz w:val="17"/>
                <w:szCs w:val="17"/>
              </w:rPr>
            </w:pPr>
          </w:p>
        </w:tc>
        <w:tc>
          <w:tcPr>
            <w:tcW w:w="5400" w:type="dxa"/>
            <w:shd w:val="clear" w:color="auto" w:fill="auto"/>
          </w:tcPr>
          <w:p w14:paraId="57E2BC18" w14:textId="77777777" w:rsidR="00910687" w:rsidRDefault="00910687" w:rsidP="00910687">
            <w:pPr>
              <w:contextualSpacing/>
              <w:jc w:val="both"/>
              <w:rPr>
                <w:rFonts w:asciiTheme="majorHAnsi" w:eastAsia="Calibri" w:hAnsiTheme="majorHAnsi" w:cstheme="majorHAnsi"/>
                <w:color w:val="000000"/>
                <w:sz w:val="17"/>
                <w:szCs w:val="17"/>
              </w:rPr>
            </w:pPr>
          </w:p>
        </w:tc>
        <w:tc>
          <w:tcPr>
            <w:tcW w:w="1440" w:type="dxa"/>
          </w:tcPr>
          <w:p w14:paraId="3056C407" w14:textId="77777777" w:rsidR="00910687" w:rsidRDefault="00910687" w:rsidP="00910687">
            <w:pPr>
              <w:contextualSpacing/>
              <w:jc w:val="both"/>
              <w:rPr>
                <w:rFonts w:asciiTheme="majorHAnsi" w:eastAsia="Calibri" w:hAnsiTheme="majorHAnsi" w:cstheme="majorHAnsi"/>
                <w:color w:val="000000"/>
                <w:sz w:val="17"/>
                <w:szCs w:val="17"/>
              </w:rPr>
            </w:pPr>
          </w:p>
        </w:tc>
        <w:tc>
          <w:tcPr>
            <w:tcW w:w="1980" w:type="dxa"/>
          </w:tcPr>
          <w:p w14:paraId="0BAB1C2F"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shd w:val="clear" w:color="auto" w:fill="auto"/>
          </w:tcPr>
          <w:p w14:paraId="3E64F02C" w14:textId="77777777" w:rsidR="00910687" w:rsidRDefault="00910687" w:rsidP="00910687">
            <w:pPr>
              <w:contextualSpacing/>
              <w:jc w:val="both"/>
              <w:rPr>
                <w:rFonts w:asciiTheme="majorHAnsi" w:eastAsia="Calibri" w:hAnsiTheme="majorHAnsi" w:cstheme="majorHAnsi"/>
                <w:color w:val="000000"/>
                <w:sz w:val="17"/>
                <w:szCs w:val="17"/>
              </w:rPr>
            </w:pPr>
          </w:p>
        </w:tc>
      </w:tr>
      <w:tr w:rsidR="00910687" w:rsidRPr="009B0914" w14:paraId="0F8C95CE" w14:textId="77777777" w:rsidTr="00910687">
        <w:tc>
          <w:tcPr>
            <w:tcW w:w="1603" w:type="dxa"/>
            <w:shd w:val="clear" w:color="auto" w:fill="auto"/>
          </w:tcPr>
          <w:p w14:paraId="2431335C" w14:textId="6C5BDA0B" w:rsidR="00910687" w:rsidRDefault="00910687" w:rsidP="00910687">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Chained real GDP Index, Agriculture</w:t>
            </w:r>
          </w:p>
        </w:tc>
        <w:tc>
          <w:tcPr>
            <w:tcW w:w="1277" w:type="dxa"/>
            <w:shd w:val="clear" w:color="auto" w:fill="auto"/>
          </w:tcPr>
          <w:p w14:paraId="0E8C0600" w14:textId="1640854D"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xml:space="preserve">Index </w:t>
            </w:r>
          </w:p>
        </w:tc>
        <w:tc>
          <w:tcPr>
            <w:tcW w:w="5400" w:type="dxa"/>
            <w:shd w:val="clear" w:color="auto" w:fill="auto"/>
          </w:tcPr>
          <w:p w14:paraId="2CCEDC9B" w14:textId="4837D081"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w:t>
            </w:r>
            <w:r w:rsidRPr="00853D10">
              <w:rPr>
                <w:rFonts w:asciiTheme="majorHAnsi" w:eastAsia="Calibri" w:hAnsiTheme="majorHAnsi" w:cstheme="majorHAnsi"/>
                <w:color w:val="000000"/>
                <w:sz w:val="17"/>
                <w:szCs w:val="17"/>
              </w:rPr>
              <w:t xml:space="preserve">hain-type annual-weighted indexes, also known as Fisher indexes, as </w:t>
            </w:r>
            <w:r>
              <w:rPr>
                <w:rFonts w:asciiTheme="majorHAnsi" w:eastAsia="Calibri" w:hAnsiTheme="majorHAnsi" w:cstheme="majorHAnsi"/>
                <w:color w:val="000000"/>
                <w:sz w:val="17"/>
                <w:szCs w:val="17"/>
              </w:rPr>
              <w:t>a</w:t>
            </w:r>
            <w:r w:rsidRPr="00853D10">
              <w:rPr>
                <w:rFonts w:asciiTheme="majorHAnsi" w:eastAsia="Calibri" w:hAnsiTheme="majorHAnsi" w:cstheme="majorHAnsi"/>
                <w:color w:val="000000"/>
                <w:sz w:val="17"/>
                <w:szCs w:val="17"/>
              </w:rPr>
              <w:t xml:space="preserve"> measure of real output and prices</w:t>
            </w:r>
            <w:r>
              <w:rPr>
                <w:rFonts w:asciiTheme="majorHAnsi" w:eastAsia="Calibri" w:hAnsiTheme="majorHAnsi" w:cstheme="majorHAnsi"/>
                <w:color w:val="000000"/>
                <w:sz w:val="17"/>
                <w:szCs w:val="17"/>
              </w:rPr>
              <w:t xml:space="preserve"> in the a</w:t>
            </w:r>
            <w:r w:rsidRPr="00853D10">
              <w:rPr>
                <w:rFonts w:asciiTheme="majorHAnsi" w:eastAsia="Calibri" w:hAnsiTheme="majorHAnsi" w:cstheme="majorHAnsi"/>
                <w:color w:val="000000"/>
                <w:sz w:val="17"/>
                <w:szCs w:val="17"/>
              </w:rPr>
              <w:t>griculture, forestry, fishing and hunting</w:t>
            </w:r>
            <w:r>
              <w:rPr>
                <w:rFonts w:asciiTheme="majorHAnsi" w:eastAsia="Calibri" w:hAnsiTheme="majorHAnsi" w:cstheme="majorHAnsi"/>
                <w:color w:val="000000"/>
                <w:sz w:val="17"/>
                <w:szCs w:val="17"/>
              </w:rPr>
              <w:t xml:space="preserve"> sector. </w:t>
            </w:r>
            <w:r w:rsidRPr="00853D10">
              <w:rPr>
                <w:rFonts w:asciiTheme="majorHAnsi" w:eastAsia="Calibri" w:hAnsiTheme="majorHAnsi" w:cstheme="majorHAnsi"/>
                <w:color w:val="000000"/>
                <w:sz w:val="17"/>
                <w:szCs w:val="17"/>
              </w:rPr>
              <w:t>The value of the quantity index is 100 for the base year.</w:t>
            </w:r>
          </w:p>
        </w:tc>
        <w:tc>
          <w:tcPr>
            <w:tcW w:w="1440" w:type="dxa"/>
          </w:tcPr>
          <w:p w14:paraId="4DE1AB04" w14:textId="12E9D87B" w:rsidR="00910687" w:rsidRPr="009B0914"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2000-2019</w:t>
            </w:r>
          </w:p>
        </w:tc>
        <w:tc>
          <w:tcPr>
            <w:tcW w:w="1980" w:type="dxa"/>
          </w:tcPr>
          <w:p w14:paraId="16F1FF67" w14:textId="3CE59068"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shd w:val="clear" w:color="auto" w:fill="auto"/>
          </w:tcPr>
          <w:p w14:paraId="5CDFC4C5" w14:textId="4954D99D"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CTQI_real_GDP</w:t>
            </w:r>
            <w:r w:rsidRPr="00BD3840">
              <w:rPr>
                <w:rFonts w:asciiTheme="majorHAnsi" w:eastAsia="Calibri" w:hAnsiTheme="majorHAnsi" w:cstheme="majorHAnsi"/>
                <w:color w:val="000000"/>
                <w:sz w:val="17"/>
                <w:szCs w:val="17"/>
              </w:rPr>
              <w:t xml:space="preserve"> _ag</w:t>
            </w:r>
          </w:p>
        </w:tc>
      </w:tr>
      <w:tr w:rsidR="00910687" w:rsidRPr="009B0914" w14:paraId="7BC00DAB" w14:textId="77777777" w:rsidTr="00910687">
        <w:tc>
          <w:tcPr>
            <w:tcW w:w="1603" w:type="dxa"/>
            <w:tcBorders>
              <w:bottom w:val="single" w:sz="4" w:space="0" w:color="auto"/>
            </w:tcBorders>
            <w:shd w:val="clear" w:color="auto" w:fill="auto"/>
          </w:tcPr>
          <w:p w14:paraId="2090624C" w14:textId="22F10DFE" w:rsidR="00910687" w:rsidRDefault="00910687" w:rsidP="00910687">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Chained real GDP in $, Agriculture</w:t>
            </w:r>
          </w:p>
        </w:tc>
        <w:tc>
          <w:tcPr>
            <w:tcW w:w="1277" w:type="dxa"/>
            <w:tcBorders>
              <w:bottom w:val="single" w:sz="4" w:space="0" w:color="auto"/>
            </w:tcBorders>
            <w:shd w:val="clear" w:color="auto" w:fill="auto"/>
          </w:tcPr>
          <w:p w14:paraId="5E17C4DD" w14:textId="14B2969A"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1000s of chained 2012 USD$</w:t>
            </w:r>
          </w:p>
        </w:tc>
        <w:tc>
          <w:tcPr>
            <w:tcW w:w="5400" w:type="dxa"/>
            <w:tcBorders>
              <w:bottom w:val="single" w:sz="4" w:space="0" w:color="auto"/>
            </w:tcBorders>
            <w:shd w:val="clear" w:color="auto" w:fill="auto"/>
          </w:tcPr>
          <w:p w14:paraId="50E84885" w14:textId="224856CE"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A</w:t>
            </w:r>
            <w:r w:rsidRPr="00853D10">
              <w:rPr>
                <w:rFonts w:asciiTheme="majorHAnsi" w:eastAsia="Calibri" w:hAnsiTheme="majorHAnsi" w:cstheme="majorHAnsi"/>
                <w:color w:val="000000"/>
                <w:sz w:val="17"/>
                <w:szCs w:val="17"/>
              </w:rPr>
              <w:t>n inflation-adjusted measure of each area's gross product that is based on national prices for the goods and services produced within the area</w:t>
            </w:r>
            <w:r>
              <w:rPr>
                <w:rFonts w:asciiTheme="majorHAnsi" w:eastAsia="Calibri" w:hAnsiTheme="majorHAnsi" w:cstheme="majorHAnsi"/>
                <w:color w:val="000000"/>
                <w:sz w:val="17"/>
                <w:szCs w:val="17"/>
              </w:rPr>
              <w:t xml:space="preserve"> in the a</w:t>
            </w:r>
            <w:r w:rsidRPr="00853D10">
              <w:rPr>
                <w:rFonts w:asciiTheme="majorHAnsi" w:eastAsia="Calibri" w:hAnsiTheme="majorHAnsi" w:cstheme="majorHAnsi"/>
                <w:color w:val="000000"/>
                <w:sz w:val="17"/>
                <w:szCs w:val="17"/>
              </w:rPr>
              <w:t>griculture, forestry, fishing and hunting</w:t>
            </w:r>
            <w:r>
              <w:rPr>
                <w:rFonts w:asciiTheme="majorHAnsi" w:eastAsia="Calibri" w:hAnsiTheme="majorHAnsi" w:cstheme="majorHAnsi"/>
                <w:color w:val="000000"/>
                <w:sz w:val="17"/>
                <w:szCs w:val="17"/>
              </w:rPr>
              <w:t xml:space="preserve"> sector; m</w:t>
            </w:r>
            <w:r w:rsidRPr="00853D10">
              <w:rPr>
                <w:rFonts w:asciiTheme="majorHAnsi" w:eastAsia="Calibri" w:hAnsiTheme="majorHAnsi" w:cstheme="majorHAnsi"/>
                <w:color w:val="000000"/>
                <w:sz w:val="17"/>
                <w:szCs w:val="17"/>
              </w:rPr>
              <w:t>easured in chained (2012) dollars.</w:t>
            </w:r>
          </w:p>
        </w:tc>
        <w:tc>
          <w:tcPr>
            <w:tcW w:w="1440" w:type="dxa"/>
            <w:tcBorders>
              <w:bottom w:val="single" w:sz="4" w:space="0" w:color="auto"/>
            </w:tcBorders>
          </w:tcPr>
          <w:p w14:paraId="7A330847" w14:textId="4C36F3E7"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2000-2019</w:t>
            </w:r>
          </w:p>
        </w:tc>
        <w:tc>
          <w:tcPr>
            <w:tcW w:w="1980" w:type="dxa"/>
            <w:tcBorders>
              <w:bottom w:val="single" w:sz="4" w:space="0" w:color="auto"/>
            </w:tcBorders>
          </w:tcPr>
          <w:p w14:paraId="12D19690"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tcBorders>
              <w:bottom w:val="single" w:sz="4" w:space="0" w:color="auto"/>
            </w:tcBorders>
            <w:shd w:val="clear" w:color="auto" w:fill="auto"/>
          </w:tcPr>
          <w:p w14:paraId="0D89D514" w14:textId="7337C14D"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real_GDP</w:t>
            </w:r>
            <w:r w:rsidRPr="00BD3840">
              <w:rPr>
                <w:rFonts w:asciiTheme="majorHAnsi" w:eastAsia="Calibri" w:hAnsiTheme="majorHAnsi" w:cstheme="majorHAnsi"/>
                <w:color w:val="000000"/>
                <w:sz w:val="17"/>
                <w:szCs w:val="17"/>
              </w:rPr>
              <w:t>_ag</w:t>
            </w:r>
          </w:p>
        </w:tc>
      </w:tr>
      <w:tr w:rsidR="00910687" w:rsidRPr="009B0914" w14:paraId="47CD745F" w14:textId="77777777" w:rsidTr="00837EF8">
        <w:tc>
          <w:tcPr>
            <w:tcW w:w="1603" w:type="dxa"/>
            <w:tcBorders>
              <w:top w:val="single" w:sz="4" w:space="0" w:color="auto"/>
              <w:bottom w:val="single" w:sz="4" w:space="0" w:color="auto"/>
            </w:tcBorders>
            <w:shd w:val="clear" w:color="auto" w:fill="auto"/>
          </w:tcPr>
          <w:p w14:paraId="235B4FCE" w14:textId="1FDF72E2" w:rsidR="00910687" w:rsidRPr="00FD4A29" w:rsidRDefault="00910687" w:rsidP="00910687">
            <w:pPr>
              <w:contextualSpacing/>
              <w:rPr>
                <w:rFonts w:asciiTheme="majorHAnsi" w:eastAsia="Calibri" w:hAnsiTheme="majorHAnsi" w:cstheme="majorHAnsi"/>
                <w:b/>
                <w:bCs/>
                <w:color w:val="000000"/>
                <w:sz w:val="17"/>
                <w:szCs w:val="17"/>
              </w:rPr>
            </w:pPr>
            <w:r>
              <w:rPr>
                <w:rFonts w:asciiTheme="majorHAnsi" w:eastAsia="Calibri" w:hAnsiTheme="majorHAnsi" w:cstheme="majorHAnsi"/>
                <w:b/>
                <w:bCs/>
                <w:color w:val="000000"/>
                <w:sz w:val="17"/>
                <w:szCs w:val="17"/>
              </w:rPr>
              <w:t>Employment</w:t>
            </w:r>
          </w:p>
        </w:tc>
        <w:tc>
          <w:tcPr>
            <w:tcW w:w="1277" w:type="dxa"/>
            <w:tcBorders>
              <w:top w:val="single" w:sz="4" w:space="0" w:color="auto"/>
              <w:bottom w:val="single" w:sz="4" w:space="0" w:color="auto"/>
            </w:tcBorders>
            <w:shd w:val="clear" w:color="auto" w:fill="auto"/>
          </w:tcPr>
          <w:p w14:paraId="011166E2" w14:textId="77777777" w:rsidR="00910687" w:rsidRDefault="00910687" w:rsidP="00910687">
            <w:pPr>
              <w:contextualSpacing/>
              <w:jc w:val="both"/>
              <w:rPr>
                <w:rFonts w:asciiTheme="majorHAnsi" w:eastAsia="Calibri" w:hAnsiTheme="majorHAnsi" w:cstheme="majorHAnsi"/>
                <w:color w:val="000000"/>
                <w:sz w:val="17"/>
                <w:szCs w:val="17"/>
              </w:rPr>
            </w:pPr>
          </w:p>
        </w:tc>
        <w:tc>
          <w:tcPr>
            <w:tcW w:w="5400" w:type="dxa"/>
            <w:tcBorders>
              <w:top w:val="single" w:sz="4" w:space="0" w:color="auto"/>
              <w:bottom w:val="single" w:sz="4" w:space="0" w:color="auto"/>
            </w:tcBorders>
            <w:shd w:val="clear" w:color="auto" w:fill="auto"/>
          </w:tcPr>
          <w:p w14:paraId="13A4A5CD" w14:textId="77777777" w:rsidR="00910687" w:rsidRDefault="00910687" w:rsidP="00910687">
            <w:pPr>
              <w:contextualSpacing/>
              <w:jc w:val="both"/>
              <w:rPr>
                <w:rFonts w:asciiTheme="majorHAnsi" w:eastAsia="Calibri" w:hAnsiTheme="majorHAnsi" w:cstheme="majorHAnsi"/>
                <w:color w:val="000000"/>
                <w:sz w:val="17"/>
                <w:szCs w:val="17"/>
              </w:rPr>
            </w:pPr>
          </w:p>
        </w:tc>
        <w:tc>
          <w:tcPr>
            <w:tcW w:w="1440" w:type="dxa"/>
            <w:tcBorders>
              <w:top w:val="single" w:sz="4" w:space="0" w:color="auto"/>
              <w:bottom w:val="single" w:sz="4" w:space="0" w:color="auto"/>
            </w:tcBorders>
          </w:tcPr>
          <w:p w14:paraId="2E7957B5"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980" w:type="dxa"/>
            <w:tcBorders>
              <w:top w:val="single" w:sz="4" w:space="0" w:color="auto"/>
              <w:bottom w:val="single" w:sz="4" w:space="0" w:color="auto"/>
            </w:tcBorders>
          </w:tcPr>
          <w:p w14:paraId="00267C82"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tcBorders>
              <w:top w:val="single" w:sz="4" w:space="0" w:color="auto"/>
              <w:bottom w:val="single" w:sz="4" w:space="0" w:color="auto"/>
            </w:tcBorders>
            <w:shd w:val="clear" w:color="auto" w:fill="auto"/>
          </w:tcPr>
          <w:p w14:paraId="5F833678" w14:textId="77777777" w:rsidR="00910687" w:rsidRDefault="00910687" w:rsidP="00910687">
            <w:pPr>
              <w:contextualSpacing/>
              <w:jc w:val="both"/>
              <w:rPr>
                <w:rFonts w:asciiTheme="majorHAnsi" w:eastAsia="Calibri" w:hAnsiTheme="majorHAnsi" w:cstheme="majorHAnsi"/>
                <w:color w:val="000000"/>
                <w:sz w:val="17"/>
                <w:szCs w:val="17"/>
              </w:rPr>
            </w:pPr>
          </w:p>
        </w:tc>
      </w:tr>
      <w:tr w:rsidR="00910687" w:rsidRPr="009B0914" w14:paraId="33F2C8E4" w14:textId="77777777" w:rsidTr="00837EF8">
        <w:tc>
          <w:tcPr>
            <w:tcW w:w="1603" w:type="dxa"/>
            <w:tcBorders>
              <w:top w:val="single" w:sz="4" w:space="0" w:color="auto"/>
            </w:tcBorders>
            <w:shd w:val="clear" w:color="auto" w:fill="auto"/>
          </w:tcPr>
          <w:p w14:paraId="05362153" w14:textId="38242DD7" w:rsidR="00910687" w:rsidRDefault="00910687" w:rsidP="00910687">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Total employment, SIC</w:t>
            </w:r>
          </w:p>
        </w:tc>
        <w:tc>
          <w:tcPr>
            <w:tcW w:w="1277" w:type="dxa"/>
            <w:tcBorders>
              <w:top w:val="single" w:sz="4" w:space="0" w:color="auto"/>
            </w:tcBorders>
            <w:shd w:val="clear" w:color="auto" w:fill="auto"/>
          </w:tcPr>
          <w:p w14:paraId="08A91F0F" w14:textId="1C234030"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of jobs</w:t>
            </w:r>
          </w:p>
        </w:tc>
        <w:tc>
          <w:tcPr>
            <w:tcW w:w="5400" w:type="dxa"/>
            <w:tcBorders>
              <w:top w:val="single" w:sz="4" w:space="0" w:color="auto"/>
            </w:tcBorders>
            <w:shd w:val="clear" w:color="auto" w:fill="auto"/>
          </w:tcPr>
          <w:p w14:paraId="5B1934E0" w14:textId="5727D327" w:rsidR="00910687" w:rsidRDefault="0093764A" w:rsidP="00910687">
            <w:pPr>
              <w:contextualSpacing/>
              <w:jc w:val="both"/>
              <w:rPr>
                <w:rFonts w:asciiTheme="majorHAnsi" w:eastAsia="Calibri" w:hAnsiTheme="majorHAnsi" w:cstheme="majorHAnsi"/>
                <w:color w:val="000000"/>
                <w:sz w:val="17"/>
                <w:szCs w:val="17"/>
              </w:rPr>
            </w:pPr>
            <w:r w:rsidRPr="0093764A">
              <w:rPr>
                <w:rFonts w:asciiTheme="majorHAnsi" w:eastAsia="Calibri" w:hAnsiTheme="majorHAnsi" w:cstheme="majorHAnsi"/>
                <w:color w:val="000000"/>
                <w:sz w:val="17"/>
                <w:szCs w:val="17"/>
              </w:rPr>
              <w:t>A count of jobs, both full-time and part-time. It includes wage and salary jobs, sole proprietorships, and individual general partners, but not unpaid family workers nor volunteers</w:t>
            </w:r>
            <w:r>
              <w:rPr>
                <w:rFonts w:asciiTheme="majorHAnsi" w:eastAsia="Calibri" w:hAnsiTheme="majorHAnsi" w:cstheme="majorHAnsi"/>
                <w:color w:val="000000"/>
                <w:sz w:val="17"/>
                <w:szCs w:val="17"/>
              </w:rPr>
              <w:t>, by SIC industry.</w:t>
            </w:r>
          </w:p>
        </w:tc>
        <w:tc>
          <w:tcPr>
            <w:tcW w:w="1440" w:type="dxa"/>
            <w:tcBorders>
              <w:top w:val="single" w:sz="4" w:space="0" w:color="auto"/>
            </w:tcBorders>
          </w:tcPr>
          <w:p w14:paraId="710E5894" w14:textId="430611B7"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1969-2000</w:t>
            </w:r>
          </w:p>
        </w:tc>
        <w:tc>
          <w:tcPr>
            <w:tcW w:w="1980" w:type="dxa"/>
            <w:tcBorders>
              <w:top w:val="single" w:sz="4" w:space="0" w:color="auto"/>
            </w:tcBorders>
          </w:tcPr>
          <w:p w14:paraId="4E69127C"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tcBorders>
              <w:top w:val="single" w:sz="4" w:space="0" w:color="auto"/>
            </w:tcBorders>
            <w:shd w:val="clear" w:color="auto" w:fill="auto"/>
          </w:tcPr>
          <w:p w14:paraId="2FF70E77" w14:textId="01BD85B8" w:rsidR="00910687" w:rsidRPr="00FD4A29" w:rsidRDefault="00910687" w:rsidP="00910687">
            <w:pPr>
              <w:contextualSpacing/>
              <w:jc w:val="both"/>
              <w:rPr>
                <w:rFonts w:asciiTheme="majorHAnsi" w:eastAsia="Calibri" w:hAnsiTheme="majorHAnsi" w:cstheme="majorHAnsi"/>
                <w:color w:val="000000"/>
                <w:sz w:val="17"/>
                <w:szCs w:val="17"/>
              </w:rPr>
            </w:pPr>
            <w:r w:rsidRPr="00FD4A29">
              <w:rPr>
                <w:rFonts w:asciiTheme="majorHAnsi" w:eastAsia="Calibri" w:hAnsiTheme="majorHAnsi" w:cstheme="majorHAnsi"/>
                <w:color w:val="000000"/>
                <w:sz w:val="17"/>
                <w:szCs w:val="17"/>
              </w:rPr>
              <w:t>totjobs_</w:t>
            </w:r>
            <w:r>
              <w:rPr>
                <w:rFonts w:asciiTheme="majorHAnsi" w:eastAsia="Calibri" w:hAnsiTheme="majorHAnsi" w:cstheme="majorHAnsi"/>
                <w:color w:val="000000"/>
                <w:sz w:val="17"/>
                <w:szCs w:val="17"/>
              </w:rPr>
              <w:t>SIC</w:t>
            </w:r>
          </w:p>
        </w:tc>
      </w:tr>
      <w:tr w:rsidR="00910687" w:rsidRPr="009B0914" w14:paraId="19AEA281" w14:textId="77777777" w:rsidTr="00837EF8">
        <w:tc>
          <w:tcPr>
            <w:tcW w:w="1603" w:type="dxa"/>
            <w:shd w:val="clear" w:color="auto" w:fill="auto"/>
          </w:tcPr>
          <w:p w14:paraId="6000BEBC" w14:textId="5A907442" w:rsidR="00910687" w:rsidRDefault="00910687" w:rsidP="00910687">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Total employment, NAICS</w:t>
            </w:r>
          </w:p>
        </w:tc>
        <w:tc>
          <w:tcPr>
            <w:tcW w:w="1277" w:type="dxa"/>
            <w:shd w:val="clear" w:color="auto" w:fill="auto"/>
          </w:tcPr>
          <w:p w14:paraId="17A20C10" w14:textId="2BE0C2DA"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of jobs</w:t>
            </w:r>
          </w:p>
        </w:tc>
        <w:tc>
          <w:tcPr>
            <w:tcW w:w="5400" w:type="dxa"/>
            <w:shd w:val="clear" w:color="auto" w:fill="auto"/>
          </w:tcPr>
          <w:p w14:paraId="3EB58C84" w14:textId="4E860480" w:rsidR="00910687" w:rsidRDefault="0093764A"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by NAICS industry.</w:t>
            </w:r>
          </w:p>
        </w:tc>
        <w:tc>
          <w:tcPr>
            <w:tcW w:w="1440" w:type="dxa"/>
          </w:tcPr>
          <w:p w14:paraId="55DC8176" w14:textId="4FF2765F" w:rsidR="00910687" w:rsidRPr="009B0914"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2001-2019</w:t>
            </w:r>
          </w:p>
        </w:tc>
        <w:tc>
          <w:tcPr>
            <w:tcW w:w="1980" w:type="dxa"/>
          </w:tcPr>
          <w:p w14:paraId="075F8016"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shd w:val="clear" w:color="auto" w:fill="auto"/>
          </w:tcPr>
          <w:p w14:paraId="75C174E6" w14:textId="524769CB" w:rsidR="00910687" w:rsidRDefault="00910687" w:rsidP="00910687">
            <w:pPr>
              <w:contextualSpacing/>
              <w:jc w:val="both"/>
              <w:rPr>
                <w:rFonts w:asciiTheme="majorHAnsi" w:eastAsia="Calibri" w:hAnsiTheme="majorHAnsi" w:cstheme="majorHAnsi"/>
                <w:color w:val="000000"/>
                <w:sz w:val="17"/>
                <w:szCs w:val="17"/>
              </w:rPr>
            </w:pPr>
            <w:r w:rsidRPr="00FD4A29">
              <w:rPr>
                <w:rFonts w:asciiTheme="majorHAnsi" w:eastAsia="Calibri" w:hAnsiTheme="majorHAnsi" w:cstheme="majorHAnsi"/>
                <w:color w:val="000000"/>
                <w:sz w:val="17"/>
                <w:szCs w:val="17"/>
              </w:rPr>
              <w:t>totjobs_NAICS</w:t>
            </w:r>
          </w:p>
        </w:tc>
      </w:tr>
      <w:tr w:rsidR="00910687" w:rsidRPr="009B0914" w14:paraId="166B39F5" w14:textId="77777777" w:rsidTr="00FD4A29">
        <w:tc>
          <w:tcPr>
            <w:tcW w:w="1603" w:type="dxa"/>
            <w:shd w:val="clear" w:color="auto" w:fill="auto"/>
          </w:tcPr>
          <w:p w14:paraId="135DF5E5" w14:textId="75BF5AB9" w:rsidR="00910687" w:rsidRDefault="00910687" w:rsidP="00910687">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Proprietors’ employment, SIC</w:t>
            </w:r>
          </w:p>
        </w:tc>
        <w:tc>
          <w:tcPr>
            <w:tcW w:w="1277" w:type="dxa"/>
            <w:shd w:val="clear" w:color="auto" w:fill="auto"/>
          </w:tcPr>
          <w:p w14:paraId="16AF005A" w14:textId="689D1780"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of jobs</w:t>
            </w:r>
          </w:p>
        </w:tc>
        <w:tc>
          <w:tcPr>
            <w:tcW w:w="5400" w:type="dxa"/>
            <w:shd w:val="clear" w:color="auto" w:fill="auto"/>
          </w:tcPr>
          <w:p w14:paraId="52AD2BF9" w14:textId="562AABF4" w:rsidR="00910687" w:rsidRDefault="0093764A"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F</w:t>
            </w:r>
            <w:r w:rsidRPr="0093764A">
              <w:rPr>
                <w:rFonts w:asciiTheme="majorHAnsi" w:eastAsia="Calibri" w:hAnsiTheme="majorHAnsi" w:cstheme="majorHAnsi"/>
                <w:color w:val="000000"/>
                <w:sz w:val="17"/>
                <w:szCs w:val="17"/>
              </w:rPr>
              <w:t>arm proprietors employment and nonfarm proprietors employment</w:t>
            </w:r>
            <w:r>
              <w:rPr>
                <w:rFonts w:asciiTheme="majorHAnsi" w:eastAsia="Calibri" w:hAnsiTheme="majorHAnsi" w:cstheme="majorHAnsi"/>
                <w:color w:val="000000"/>
                <w:sz w:val="17"/>
                <w:szCs w:val="17"/>
              </w:rPr>
              <w:t>, by SIC industry.</w:t>
            </w:r>
          </w:p>
        </w:tc>
        <w:tc>
          <w:tcPr>
            <w:tcW w:w="1440" w:type="dxa"/>
          </w:tcPr>
          <w:p w14:paraId="587CE0E6" w14:textId="795BE875"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1969-2000</w:t>
            </w:r>
          </w:p>
        </w:tc>
        <w:tc>
          <w:tcPr>
            <w:tcW w:w="1980" w:type="dxa"/>
          </w:tcPr>
          <w:p w14:paraId="49CCB18B"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shd w:val="clear" w:color="auto" w:fill="auto"/>
          </w:tcPr>
          <w:p w14:paraId="4CC4011B" w14:textId="7E4F0BE6" w:rsidR="00910687" w:rsidRPr="00FD4A29" w:rsidRDefault="00910687" w:rsidP="00910687">
            <w:pPr>
              <w:contextualSpacing/>
              <w:jc w:val="both"/>
              <w:rPr>
                <w:rFonts w:asciiTheme="majorHAnsi" w:eastAsia="Calibri" w:hAnsiTheme="majorHAnsi" w:cstheme="majorHAnsi"/>
                <w:color w:val="000000"/>
                <w:sz w:val="17"/>
                <w:szCs w:val="17"/>
              </w:rPr>
            </w:pPr>
            <w:r w:rsidRPr="00FD4A29">
              <w:rPr>
                <w:rFonts w:asciiTheme="majorHAnsi" w:eastAsia="Calibri" w:hAnsiTheme="majorHAnsi" w:cstheme="majorHAnsi"/>
                <w:color w:val="000000"/>
                <w:sz w:val="17"/>
                <w:szCs w:val="17"/>
              </w:rPr>
              <w:t>prop_</w:t>
            </w:r>
            <w:r>
              <w:rPr>
                <w:rFonts w:asciiTheme="majorHAnsi" w:eastAsia="Calibri" w:hAnsiTheme="majorHAnsi" w:cstheme="majorHAnsi"/>
                <w:color w:val="000000"/>
                <w:sz w:val="17"/>
                <w:szCs w:val="17"/>
              </w:rPr>
              <w:t>SIC</w:t>
            </w:r>
          </w:p>
        </w:tc>
      </w:tr>
      <w:tr w:rsidR="00910687" w:rsidRPr="009B0914" w14:paraId="2660E6A7" w14:textId="77777777" w:rsidTr="00FD4A29">
        <w:tc>
          <w:tcPr>
            <w:tcW w:w="1603" w:type="dxa"/>
            <w:shd w:val="clear" w:color="auto" w:fill="auto"/>
          </w:tcPr>
          <w:p w14:paraId="0D7A0DE9" w14:textId="3C0F17F6" w:rsidR="00910687" w:rsidRDefault="00910687" w:rsidP="00910687">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Proprietors’ employment, NAICS</w:t>
            </w:r>
          </w:p>
        </w:tc>
        <w:tc>
          <w:tcPr>
            <w:tcW w:w="1277" w:type="dxa"/>
            <w:shd w:val="clear" w:color="auto" w:fill="auto"/>
          </w:tcPr>
          <w:p w14:paraId="1E744FDB" w14:textId="61C8B95A"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of jobs</w:t>
            </w:r>
          </w:p>
        </w:tc>
        <w:tc>
          <w:tcPr>
            <w:tcW w:w="5400" w:type="dxa"/>
            <w:shd w:val="clear" w:color="auto" w:fill="auto"/>
          </w:tcPr>
          <w:p w14:paraId="6F283E7A" w14:textId="06CF36DC" w:rsidR="00910687" w:rsidRDefault="0093764A"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by NAICS industry.</w:t>
            </w:r>
          </w:p>
        </w:tc>
        <w:tc>
          <w:tcPr>
            <w:tcW w:w="1440" w:type="dxa"/>
          </w:tcPr>
          <w:p w14:paraId="75F1B7D1" w14:textId="2E5C9867" w:rsidR="00910687" w:rsidRPr="009B0914"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2001-2019</w:t>
            </w:r>
          </w:p>
        </w:tc>
        <w:tc>
          <w:tcPr>
            <w:tcW w:w="1980" w:type="dxa"/>
          </w:tcPr>
          <w:p w14:paraId="5525C389"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shd w:val="clear" w:color="auto" w:fill="auto"/>
          </w:tcPr>
          <w:p w14:paraId="24CB4D4A" w14:textId="4F5A7BA6" w:rsidR="00910687" w:rsidRDefault="00910687" w:rsidP="00910687">
            <w:pPr>
              <w:contextualSpacing/>
              <w:jc w:val="both"/>
              <w:rPr>
                <w:rFonts w:asciiTheme="majorHAnsi" w:eastAsia="Calibri" w:hAnsiTheme="majorHAnsi" w:cstheme="majorHAnsi"/>
                <w:color w:val="000000"/>
                <w:sz w:val="17"/>
                <w:szCs w:val="17"/>
              </w:rPr>
            </w:pPr>
            <w:r w:rsidRPr="00FD4A29">
              <w:rPr>
                <w:rFonts w:asciiTheme="majorHAnsi" w:eastAsia="Calibri" w:hAnsiTheme="majorHAnsi" w:cstheme="majorHAnsi"/>
                <w:color w:val="000000"/>
                <w:sz w:val="17"/>
                <w:szCs w:val="17"/>
              </w:rPr>
              <w:t>prop_NAICS</w:t>
            </w:r>
          </w:p>
        </w:tc>
      </w:tr>
      <w:tr w:rsidR="00910687" w:rsidRPr="009B0914" w14:paraId="3F2EA518" w14:textId="77777777" w:rsidTr="00FD4A29">
        <w:tc>
          <w:tcPr>
            <w:tcW w:w="1603" w:type="dxa"/>
            <w:shd w:val="clear" w:color="auto" w:fill="auto"/>
          </w:tcPr>
          <w:p w14:paraId="65DBCE90" w14:textId="62AF1511" w:rsidR="00910687" w:rsidRDefault="00910687" w:rsidP="00910687">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Farm proprietors’ employment, SIC</w:t>
            </w:r>
          </w:p>
        </w:tc>
        <w:tc>
          <w:tcPr>
            <w:tcW w:w="1277" w:type="dxa"/>
            <w:shd w:val="clear" w:color="auto" w:fill="auto"/>
          </w:tcPr>
          <w:p w14:paraId="3C90510A" w14:textId="301585A9"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of jobs</w:t>
            </w:r>
          </w:p>
        </w:tc>
        <w:tc>
          <w:tcPr>
            <w:tcW w:w="5400" w:type="dxa"/>
            <w:shd w:val="clear" w:color="auto" w:fill="auto"/>
          </w:tcPr>
          <w:p w14:paraId="0781C799" w14:textId="5A1E29A0" w:rsidR="00910687" w:rsidRDefault="0093764A" w:rsidP="00910687">
            <w:pPr>
              <w:contextualSpacing/>
              <w:jc w:val="both"/>
              <w:rPr>
                <w:rFonts w:asciiTheme="majorHAnsi" w:eastAsia="Calibri" w:hAnsiTheme="majorHAnsi" w:cstheme="majorHAnsi"/>
                <w:color w:val="000000"/>
                <w:sz w:val="17"/>
                <w:szCs w:val="17"/>
              </w:rPr>
            </w:pPr>
            <w:r w:rsidRPr="0093764A">
              <w:rPr>
                <w:rFonts w:asciiTheme="majorHAnsi" w:eastAsia="Calibri" w:hAnsiTheme="majorHAnsi" w:cstheme="majorHAnsi"/>
                <w:color w:val="000000"/>
                <w:sz w:val="17"/>
                <w:szCs w:val="17"/>
              </w:rPr>
              <w:t>Consists of sole proprietors and non-corporate partners in the farm industry</w:t>
            </w:r>
            <w:r>
              <w:rPr>
                <w:rFonts w:asciiTheme="majorHAnsi" w:eastAsia="Calibri" w:hAnsiTheme="majorHAnsi" w:cstheme="majorHAnsi"/>
                <w:color w:val="000000"/>
                <w:sz w:val="17"/>
                <w:szCs w:val="17"/>
              </w:rPr>
              <w:t>, by SIC industry.</w:t>
            </w:r>
          </w:p>
        </w:tc>
        <w:tc>
          <w:tcPr>
            <w:tcW w:w="1440" w:type="dxa"/>
          </w:tcPr>
          <w:p w14:paraId="18D2FFB1" w14:textId="4C64B826"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1969-2000</w:t>
            </w:r>
          </w:p>
        </w:tc>
        <w:tc>
          <w:tcPr>
            <w:tcW w:w="1980" w:type="dxa"/>
          </w:tcPr>
          <w:p w14:paraId="71A7EB3C"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shd w:val="clear" w:color="auto" w:fill="auto"/>
          </w:tcPr>
          <w:p w14:paraId="51F85701" w14:textId="3A0C2FC7"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farmprop_SIC</w:t>
            </w:r>
          </w:p>
        </w:tc>
      </w:tr>
      <w:tr w:rsidR="00910687" w:rsidRPr="009B0914" w14:paraId="3DEAED25" w14:textId="77777777" w:rsidTr="00FD4A29">
        <w:tc>
          <w:tcPr>
            <w:tcW w:w="1603" w:type="dxa"/>
            <w:shd w:val="clear" w:color="auto" w:fill="auto"/>
          </w:tcPr>
          <w:p w14:paraId="2C2CB056" w14:textId="26A4F252" w:rsidR="00910687" w:rsidRDefault="00910687" w:rsidP="00910687">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Farm proprietors’ employment, NAICS</w:t>
            </w:r>
          </w:p>
        </w:tc>
        <w:tc>
          <w:tcPr>
            <w:tcW w:w="1277" w:type="dxa"/>
            <w:shd w:val="clear" w:color="auto" w:fill="auto"/>
          </w:tcPr>
          <w:p w14:paraId="49758C7D" w14:textId="0FBA8733"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of jobs</w:t>
            </w:r>
          </w:p>
        </w:tc>
        <w:tc>
          <w:tcPr>
            <w:tcW w:w="5400" w:type="dxa"/>
            <w:shd w:val="clear" w:color="auto" w:fill="auto"/>
          </w:tcPr>
          <w:p w14:paraId="3D9B688F" w14:textId="06A1C0AE" w:rsidR="00910687" w:rsidRDefault="0093764A"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by NAICS industry.</w:t>
            </w:r>
          </w:p>
        </w:tc>
        <w:tc>
          <w:tcPr>
            <w:tcW w:w="1440" w:type="dxa"/>
          </w:tcPr>
          <w:p w14:paraId="0E0704ED" w14:textId="2733DB8F" w:rsidR="00910687" w:rsidRPr="009B0914"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2001-2019</w:t>
            </w:r>
          </w:p>
        </w:tc>
        <w:tc>
          <w:tcPr>
            <w:tcW w:w="1980" w:type="dxa"/>
          </w:tcPr>
          <w:p w14:paraId="3E54BCCF"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shd w:val="clear" w:color="auto" w:fill="auto"/>
          </w:tcPr>
          <w:p w14:paraId="53DC1A54" w14:textId="775A75F2"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farmprop_NAICS</w:t>
            </w:r>
          </w:p>
        </w:tc>
      </w:tr>
      <w:tr w:rsidR="00910687" w:rsidRPr="009B0914" w14:paraId="1C7D9FC0" w14:textId="77777777" w:rsidTr="00FD4A29">
        <w:tc>
          <w:tcPr>
            <w:tcW w:w="1603" w:type="dxa"/>
            <w:shd w:val="clear" w:color="auto" w:fill="auto"/>
          </w:tcPr>
          <w:p w14:paraId="303383F2" w14:textId="5B570730" w:rsidR="00910687" w:rsidRDefault="00910687" w:rsidP="00910687">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Farm employment, SIC</w:t>
            </w:r>
          </w:p>
        </w:tc>
        <w:tc>
          <w:tcPr>
            <w:tcW w:w="1277" w:type="dxa"/>
            <w:shd w:val="clear" w:color="auto" w:fill="auto"/>
          </w:tcPr>
          <w:p w14:paraId="43599E46" w14:textId="7F05EAC4"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of jobs</w:t>
            </w:r>
          </w:p>
        </w:tc>
        <w:tc>
          <w:tcPr>
            <w:tcW w:w="5400" w:type="dxa"/>
            <w:shd w:val="clear" w:color="auto" w:fill="auto"/>
          </w:tcPr>
          <w:p w14:paraId="6019C895" w14:textId="3D39099C" w:rsidR="00910687" w:rsidRDefault="0093764A"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The</w:t>
            </w:r>
            <w:r w:rsidRPr="0093764A">
              <w:rPr>
                <w:rFonts w:asciiTheme="majorHAnsi" w:eastAsia="Calibri" w:hAnsiTheme="majorHAnsi" w:cstheme="majorHAnsi"/>
                <w:color w:val="000000"/>
                <w:sz w:val="17"/>
                <w:szCs w:val="17"/>
              </w:rPr>
              <w:t xml:space="preserve"> number of workers engaged in the direct production of agricultural commodities, either livestock or crops; whether as a sole proprietor, partner, or hired laborer</w:t>
            </w:r>
            <w:r>
              <w:rPr>
                <w:rFonts w:asciiTheme="majorHAnsi" w:eastAsia="Calibri" w:hAnsiTheme="majorHAnsi" w:cstheme="majorHAnsi"/>
                <w:color w:val="000000"/>
                <w:sz w:val="17"/>
                <w:szCs w:val="17"/>
              </w:rPr>
              <w:t>, by SIC industry.</w:t>
            </w:r>
          </w:p>
        </w:tc>
        <w:tc>
          <w:tcPr>
            <w:tcW w:w="1440" w:type="dxa"/>
          </w:tcPr>
          <w:p w14:paraId="5830DE35" w14:textId="3769C3CA"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1969-2000</w:t>
            </w:r>
          </w:p>
        </w:tc>
        <w:tc>
          <w:tcPr>
            <w:tcW w:w="1980" w:type="dxa"/>
          </w:tcPr>
          <w:p w14:paraId="65C98E8A"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shd w:val="clear" w:color="auto" w:fill="auto"/>
          </w:tcPr>
          <w:p w14:paraId="006E2492" w14:textId="23D2EBD0"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farmempl_SIC</w:t>
            </w:r>
          </w:p>
        </w:tc>
      </w:tr>
      <w:tr w:rsidR="00910687" w:rsidRPr="009B0914" w14:paraId="02F92633" w14:textId="77777777" w:rsidTr="00FD4A29">
        <w:tc>
          <w:tcPr>
            <w:tcW w:w="1603" w:type="dxa"/>
            <w:shd w:val="clear" w:color="auto" w:fill="auto"/>
          </w:tcPr>
          <w:p w14:paraId="7AAE557C" w14:textId="090B3D71" w:rsidR="00910687" w:rsidRDefault="00910687" w:rsidP="00910687">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Farm employment, NAICS</w:t>
            </w:r>
          </w:p>
        </w:tc>
        <w:tc>
          <w:tcPr>
            <w:tcW w:w="1277" w:type="dxa"/>
            <w:shd w:val="clear" w:color="auto" w:fill="auto"/>
          </w:tcPr>
          <w:p w14:paraId="0D126279" w14:textId="1FF6B38C"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of jobs</w:t>
            </w:r>
          </w:p>
        </w:tc>
        <w:tc>
          <w:tcPr>
            <w:tcW w:w="5400" w:type="dxa"/>
            <w:shd w:val="clear" w:color="auto" w:fill="auto"/>
          </w:tcPr>
          <w:p w14:paraId="15586924" w14:textId="0C0EC5EE" w:rsidR="00910687" w:rsidRDefault="0093764A"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by NAICS industry.</w:t>
            </w:r>
          </w:p>
        </w:tc>
        <w:tc>
          <w:tcPr>
            <w:tcW w:w="1440" w:type="dxa"/>
          </w:tcPr>
          <w:p w14:paraId="7BC651DB" w14:textId="7095EFCF" w:rsidR="00910687" w:rsidRPr="009B0914"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2001-2019</w:t>
            </w:r>
          </w:p>
        </w:tc>
        <w:tc>
          <w:tcPr>
            <w:tcW w:w="1980" w:type="dxa"/>
          </w:tcPr>
          <w:p w14:paraId="023F3F37"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shd w:val="clear" w:color="auto" w:fill="auto"/>
          </w:tcPr>
          <w:p w14:paraId="4F68CFCF" w14:textId="7058888C" w:rsidR="00910687" w:rsidRDefault="0091068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farmempl_NAICS</w:t>
            </w:r>
          </w:p>
        </w:tc>
      </w:tr>
      <w:tr w:rsidR="00910687" w:rsidRPr="009B0914" w14:paraId="0CA80C65" w14:textId="77777777" w:rsidTr="00FD4A29">
        <w:tc>
          <w:tcPr>
            <w:tcW w:w="1603" w:type="dxa"/>
            <w:shd w:val="clear" w:color="auto" w:fill="auto"/>
          </w:tcPr>
          <w:p w14:paraId="6A00F02A" w14:textId="77777777" w:rsidR="00910687" w:rsidRDefault="00910687" w:rsidP="00910687">
            <w:pPr>
              <w:contextualSpacing/>
              <w:rPr>
                <w:rFonts w:asciiTheme="majorHAnsi" w:eastAsia="Calibri" w:hAnsiTheme="majorHAnsi" w:cstheme="majorHAnsi"/>
                <w:color w:val="000000"/>
                <w:sz w:val="17"/>
                <w:szCs w:val="17"/>
              </w:rPr>
            </w:pPr>
          </w:p>
        </w:tc>
        <w:tc>
          <w:tcPr>
            <w:tcW w:w="1277" w:type="dxa"/>
            <w:shd w:val="clear" w:color="auto" w:fill="auto"/>
          </w:tcPr>
          <w:p w14:paraId="410A6D86" w14:textId="77777777" w:rsidR="00910687" w:rsidRDefault="00910687" w:rsidP="00910687">
            <w:pPr>
              <w:contextualSpacing/>
              <w:jc w:val="both"/>
              <w:rPr>
                <w:rFonts w:asciiTheme="majorHAnsi" w:eastAsia="Calibri" w:hAnsiTheme="majorHAnsi" w:cstheme="majorHAnsi"/>
                <w:color w:val="000000"/>
                <w:sz w:val="17"/>
                <w:szCs w:val="17"/>
              </w:rPr>
            </w:pPr>
          </w:p>
        </w:tc>
        <w:tc>
          <w:tcPr>
            <w:tcW w:w="5400" w:type="dxa"/>
            <w:shd w:val="clear" w:color="auto" w:fill="auto"/>
          </w:tcPr>
          <w:p w14:paraId="48188798" w14:textId="77777777" w:rsidR="00910687" w:rsidRDefault="00910687" w:rsidP="00910687">
            <w:pPr>
              <w:contextualSpacing/>
              <w:jc w:val="both"/>
              <w:rPr>
                <w:rFonts w:asciiTheme="majorHAnsi" w:eastAsia="Calibri" w:hAnsiTheme="majorHAnsi" w:cstheme="majorHAnsi"/>
                <w:color w:val="000000"/>
                <w:sz w:val="17"/>
                <w:szCs w:val="17"/>
              </w:rPr>
            </w:pPr>
          </w:p>
        </w:tc>
        <w:tc>
          <w:tcPr>
            <w:tcW w:w="1440" w:type="dxa"/>
          </w:tcPr>
          <w:p w14:paraId="7016AADB"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980" w:type="dxa"/>
          </w:tcPr>
          <w:p w14:paraId="30A58F31"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shd w:val="clear" w:color="auto" w:fill="auto"/>
          </w:tcPr>
          <w:p w14:paraId="5A73198D" w14:textId="77777777" w:rsidR="00910687" w:rsidRDefault="00910687" w:rsidP="00910687">
            <w:pPr>
              <w:contextualSpacing/>
              <w:jc w:val="both"/>
              <w:rPr>
                <w:rFonts w:asciiTheme="majorHAnsi" w:eastAsia="Calibri" w:hAnsiTheme="majorHAnsi" w:cstheme="majorHAnsi"/>
                <w:color w:val="000000"/>
                <w:sz w:val="17"/>
                <w:szCs w:val="17"/>
              </w:rPr>
            </w:pPr>
          </w:p>
        </w:tc>
      </w:tr>
      <w:tr w:rsidR="00910687" w:rsidRPr="009B0914" w14:paraId="52C8D96E" w14:textId="77777777" w:rsidTr="00FD4A29">
        <w:tc>
          <w:tcPr>
            <w:tcW w:w="1603" w:type="dxa"/>
            <w:shd w:val="clear" w:color="auto" w:fill="auto"/>
          </w:tcPr>
          <w:p w14:paraId="53208981" w14:textId="665D02FF" w:rsidR="00910687" w:rsidRDefault="008910D7" w:rsidP="00910687">
            <w:pPr>
              <w:contextualSpacing/>
              <w:rPr>
                <w:rFonts w:asciiTheme="majorHAnsi" w:eastAsia="Calibri" w:hAnsiTheme="majorHAnsi" w:cstheme="majorHAnsi"/>
                <w:color w:val="000000"/>
                <w:sz w:val="17"/>
                <w:szCs w:val="17"/>
              </w:rPr>
            </w:pPr>
            <w:commentRangeStart w:id="2"/>
            <w:r>
              <w:rPr>
                <w:rFonts w:asciiTheme="majorHAnsi" w:eastAsia="Calibri" w:hAnsiTheme="majorHAnsi" w:cstheme="majorHAnsi"/>
                <w:color w:val="000000"/>
                <w:sz w:val="17"/>
                <w:szCs w:val="17"/>
              </w:rPr>
              <w:t>Farm proprietors’ employment</w:t>
            </w:r>
            <w:commentRangeEnd w:id="2"/>
            <w:r w:rsidR="00482C33">
              <w:rPr>
                <w:rStyle w:val="CommentReference"/>
              </w:rPr>
              <w:commentReference w:id="2"/>
            </w:r>
          </w:p>
        </w:tc>
        <w:tc>
          <w:tcPr>
            <w:tcW w:w="1277" w:type="dxa"/>
            <w:shd w:val="clear" w:color="auto" w:fill="auto"/>
          </w:tcPr>
          <w:p w14:paraId="2248017E" w14:textId="735BFAC3" w:rsidR="00910687" w:rsidRDefault="008910D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of jobs</w:t>
            </w:r>
          </w:p>
        </w:tc>
        <w:tc>
          <w:tcPr>
            <w:tcW w:w="5400" w:type="dxa"/>
            <w:shd w:val="clear" w:color="auto" w:fill="auto"/>
          </w:tcPr>
          <w:p w14:paraId="3F6DFA44" w14:textId="14B6FEAA" w:rsidR="00910687" w:rsidRDefault="006D006A" w:rsidP="00910687">
            <w:pPr>
              <w:contextualSpacing/>
              <w:jc w:val="both"/>
              <w:rPr>
                <w:rFonts w:asciiTheme="majorHAnsi" w:eastAsia="Calibri" w:hAnsiTheme="majorHAnsi" w:cstheme="majorHAnsi"/>
                <w:color w:val="000000"/>
                <w:sz w:val="17"/>
                <w:szCs w:val="17"/>
              </w:rPr>
            </w:pPr>
            <w:r w:rsidRPr="0093764A">
              <w:rPr>
                <w:rFonts w:asciiTheme="majorHAnsi" w:eastAsia="Calibri" w:hAnsiTheme="majorHAnsi" w:cstheme="majorHAnsi"/>
                <w:color w:val="000000"/>
                <w:sz w:val="17"/>
                <w:szCs w:val="17"/>
              </w:rPr>
              <w:t>Consists of sole proprietors and non-corporate partners in the farm industry</w:t>
            </w:r>
            <w:r>
              <w:rPr>
                <w:rFonts w:asciiTheme="majorHAnsi" w:eastAsia="Calibri" w:hAnsiTheme="majorHAnsi" w:cstheme="majorHAnsi"/>
                <w:color w:val="000000"/>
                <w:sz w:val="17"/>
                <w:szCs w:val="17"/>
              </w:rPr>
              <w:t>.</w:t>
            </w:r>
          </w:p>
        </w:tc>
        <w:tc>
          <w:tcPr>
            <w:tcW w:w="1440" w:type="dxa"/>
          </w:tcPr>
          <w:p w14:paraId="7926E515" w14:textId="4B251058" w:rsidR="00910687" w:rsidRPr="009B0914" w:rsidRDefault="00482C33"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Pr>
          <w:p w14:paraId="642F436C"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shd w:val="clear" w:color="auto" w:fill="auto"/>
          </w:tcPr>
          <w:p w14:paraId="043A7C8D" w14:textId="536C726F" w:rsidR="00910687" w:rsidRDefault="00482C33"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farmprop_employ</w:t>
            </w:r>
          </w:p>
        </w:tc>
      </w:tr>
      <w:tr w:rsidR="00910687" w:rsidRPr="009B0914" w14:paraId="06DE374B" w14:textId="77777777" w:rsidTr="00FD4A29">
        <w:tc>
          <w:tcPr>
            <w:tcW w:w="1603" w:type="dxa"/>
            <w:tcBorders>
              <w:bottom w:val="single" w:sz="4" w:space="0" w:color="auto"/>
            </w:tcBorders>
            <w:shd w:val="clear" w:color="auto" w:fill="auto"/>
          </w:tcPr>
          <w:p w14:paraId="565A1935" w14:textId="1EE3B315" w:rsidR="00910687" w:rsidRDefault="008910D7" w:rsidP="00910687">
            <w:pPr>
              <w:contextualSpacing/>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lastRenderedPageBreak/>
              <w:t>Nonfarm proprietors’ employment</w:t>
            </w:r>
          </w:p>
        </w:tc>
        <w:tc>
          <w:tcPr>
            <w:tcW w:w="1277" w:type="dxa"/>
            <w:tcBorders>
              <w:bottom w:val="single" w:sz="4" w:space="0" w:color="auto"/>
            </w:tcBorders>
            <w:shd w:val="clear" w:color="auto" w:fill="auto"/>
          </w:tcPr>
          <w:p w14:paraId="5985E436" w14:textId="37DD5277" w:rsidR="00910687" w:rsidRDefault="008910D7"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 of jobs</w:t>
            </w:r>
          </w:p>
        </w:tc>
        <w:tc>
          <w:tcPr>
            <w:tcW w:w="5400" w:type="dxa"/>
            <w:tcBorders>
              <w:bottom w:val="single" w:sz="4" w:space="0" w:color="auto"/>
            </w:tcBorders>
            <w:shd w:val="clear" w:color="auto" w:fill="auto"/>
          </w:tcPr>
          <w:p w14:paraId="0090E348" w14:textId="3F9E6D43" w:rsidR="00910687" w:rsidRDefault="004D6076"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T</w:t>
            </w:r>
            <w:r w:rsidRPr="004D6076">
              <w:rPr>
                <w:rFonts w:asciiTheme="majorHAnsi" w:eastAsia="Calibri" w:hAnsiTheme="majorHAnsi" w:cstheme="majorHAnsi"/>
                <w:color w:val="000000"/>
                <w:sz w:val="17"/>
                <w:szCs w:val="17"/>
              </w:rPr>
              <w:t>he number of nonfarm sole proprietorships and the number of individual general partners in nonfarm partnerships.</w:t>
            </w:r>
          </w:p>
        </w:tc>
        <w:tc>
          <w:tcPr>
            <w:tcW w:w="1440" w:type="dxa"/>
            <w:tcBorders>
              <w:bottom w:val="single" w:sz="4" w:space="0" w:color="auto"/>
            </w:tcBorders>
          </w:tcPr>
          <w:p w14:paraId="516BF7B4" w14:textId="3A7BC582" w:rsidR="00910687" w:rsidRPr="009B0914" w:rsidRDefault="00482C33"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1969-2019</w:t>
            </w:r>
          </w:p>
        </w:tc>
        <w:tc>
          <w:tcPr>
            <w:tcW w:w="1980" w:type="dxa"/>
            <w:tcBorders>
              <w:bottom w:val="single" w:sz="4" w:space="0" w:color="auto"/>
            </w:tcBorders>
          </w:tcPr>
          <w:p w14:paraId="360A9739" w14:textId="77777777" w:rsidR="00910687" w:rsidRPr="009B0914" w:rsidRDefault="00910687" w:rsidP="00910687">
            <w:pPr>
              <w:contextualSpacing/>
              <w:jc w:val="both"/>
              <w:rPr>
                <w:rFonts w:asciiTheme="majorHAnsi" w:eastAsia="Calibri" w:hAnsiTheme="majorHAnsi" w:cstheme="majorHAnsi"/>
                <w:color w:val="000000"/>
                <w:sz w:val="17"/>
                <w:szCs w:val="17"/>
              </w:rPr>
            </w:pPr>
          </w:p>
        </w:tc>
        <w:tc>
          <w:tcPr>
            <w:tcW w:w="1260" w:type="dxa"/>
            <w:tcBorders>
              <w:bottom w:val="single" w:sz="4" w:space="0" w:color="auto"/>
            </w:tcBorders>
            <w:shd w:val="clear" w:color="auto" w:fill="auto"/>
          </w:tcPr>
          <w:p w14:paraId="4F583B0D" w14:textId="3CC563BA" w:rsidR="00910687" w:rsidRDefault="00482C33" w:rsidP="00910687">
            <w:pPr>
              <w:contextualSpacing/>
              <w:jc w:val="both"/>
              <w:rPr>
                <w:rFonts w:asciiTheme="majorHAnsi" w:eastAsia="Calibri" w:hAnsiTheme="majorHAnsi" w:cstheme="majorHAnsi"/>
                <w:color w:val="000000"/>
                <w:sz w:val="17"/>
                <w:szCs w:val="17"/>
              </w:rPr>
            </w:pPr>
            <w:r>
              <w:rPr>
                <w:rFonts w:asciiTheme="majorHAnsi" w:eastAsia="Calibri" w:hAnsiTheme="majorHAnsi" w:cstheme="majorHAnsi"/>
                <w:color w:val="000000"/>
                <w:sz w:val="17"/>
                <w:szCs w:val="17"/>
              </w:rPr>
              <w:t>nonfarmprop_employ</w:t>
            </w:r>
          </w:p>
        </w:tc>
      </w:tr>
      <w:tr w:rsidR="00910687" w:rsidRPr="00D94E2D" w14:paraId="1DAE6986" w14:textId="000F9BAD" w:rsidTr="00FD4A29">
        <w:tc>
          <w:tcPr>
            <w:tcW w:w="1603" w:type="dxa"/>
            <w:tcBorders>
              <w:top w:val="single" w:sz="4" w:space="0" w:color="auto"/>
              <w:bottom w:val="single" w:sz="4" w:space="0" w:color="auto"/>
            </w:tcBorders>
            <w:shd w:val="clear" w:color="auto" w:fill="auto"/>
          </w:tcPr>
          <w:p w14:paraId="78112417" w14:textId="6BBD44EB" w:rsidR="00910687" w:rsidRPr="00777B11" w:rsidRDefault="00910687" w:rsidP="00910687">
            <w:pPr>
              <w:contextualSpacing/>
              <w:rPr>
                <w:rFonts w:asciiTheme="majorHAnsi" w:hAnsiTheme="majorHAnsi" w:cstheme="majorHAnsi"/>
                <w:b/>
                <w:bCs/>
                <w:color w:val="000000" w:themeColor="text1"/>
                <w:sz w:val="17"/>
                <w:szCs w:val="17"/>
              </w:rPr>
            </w:pPr>
            <w:r>
              <w:rPr>
                <w:rFonts w:asciiTheme="majorHAnsi" w:hAnsiTheme="majorHAnsi" w:cstheme="majorHAnsi"/>
                <w:b/>
                <w:bCs/>
                <w:color w:val="000000" w:themeColor="text1"/>
                <w:sz w:val="17"/>
                <w:szCs w:val="17"/>
              </w:rPr>
              <w:t>Income &amp; earnings</w:t>
            </w:r>
          </w:p>
        </w:tc>
        <w:tc>
          <w:tcPr>
            <w:tcW w:w="1277" w:type="dxa"/>
            <w:tcBorders>
              <w:top w:val="single" w:sz="4" w:space="0" w:color="auto"/>
              <w:bottom w:val="single" w:sz="4" w:space="0" w:color="auto"/>
            </w:tcBorders>
            <w:shd w:val="clear" w:color="auto" w:fill="auto"/>
          </w:tcPr>
          <w:p w14:paraId="44A28429" w14:textId="799F8CEA" w:rsidR="00910687" w:rsidRDefault="00910687" w:rsidP="00910687">
            <w:pPr>
              <w:contextualSpacing/>
              <w:jc w:val="both"/>
              <w:rPr>
                <w:rFonts w:asciiTheme="majorHAnsi" w:hAnsiTheme="majorHAnsi" w:cstheme="majorHAnsi"/>
                <w:color w:val="000000" w:themeColor="text1"/>
                <w:sz w:val="17"/>
                <w:szCs w:val="17"/>
              </w:rPr>
            </w:pPr>
          </w:p>
        </w:tc>
        <w:tc>
          <w:tcPr>
            <w:tcW w:w="5400" w:type="dxa"/>
            <w:tcBorders>
              <w:top w:val="single" w:sz="4" w:space="0" w:color="auto"/>
              <w:bottom w:val="single" w:sz="4" w:space="0" w:color="auto"/>
            </w:tcBorders>
            <w:shd w:val="clear" w:color="auto" w:fill="auto"/>
          </w:tcPr>
          <w:p w14:paraId="29B4F1D6" w14:textId="77777777" w:rsidR="00910687" w:rsidRDefault="00910687" w:rsidP="00910687">
            <w:pPr>
              <w:contextualSpacing/>
              <w:jc w:val="both"/>
              <w:rPr>
                <w:rFonts w:asciiTheme="majorHAnsi" w:hAnsiTheme="majorHAnsi" w:cstheme="majorHAnsi"/>
                <w:color w:val="000000" w:themeColor="text1"/>
                <w:sz w:val="17"/>
                <w:szCs w:val="17"/>
              </w:rPr>
            </w:pPr>
          </w:p>
        </w:tc>
        <w:tc>
          <w:tcPr>
            <w:tcW w:w="1440" w:type="dxa"/>
            <w:tcBorders>
              <w:top w:val="single" w:sz="4" w:space="0" w:color="auto"/>
              <w:bottom w:val="single" w:sz="4" w:space="0" w:color="auto"/>
            </w:tcBorders>
          </w:tcPr>
          <w:p w14:paraId="4389A3C8" w14:textId="77777777" w:rsidR="00910687" w:rsidRDefault="00910687" w:rsidP="00910687">
            <w:pPr>
              <w:contextualSpacing/>
              <w:jc w:val="both"/>
              <w:rPr>
                <w:rFonts w:asciiTheme="majorHAnsi" w:hAnsiTheme="majorHAnsi" w:cstheme="majorHAnsi"/>
                <w:color w:val="000000" w:themeColor="text1"/>
                <w:sz w:val="17"/>
                <w:szCs w:val="17"/>
              </w:rPr>
            </w:pPr>
          </w:p>
        </w:tc>
        <w:tc>
          <w:tcPr>
            <w:tcW w:w="1980" w:type="dxa"/>
            <w:tcBorders>
              <w:top w:val="single" w:sz="4" w:space="0" w:color="auto"/>
              <w:bottom w:val="single" w:sz="4" w:space="0" w:color="auto"/>
            </w:tcBorders>
          </w:tcPr>
          <w:p w14:paraId="7B112252" w14:textId="656A8BFF" w:rsidR="00910687" w:rsidRDefault="00910687" w:rsidP="00910687">
            <w:pPr>
              <w:contextualSpacing/>
              <w:jc w:val="both"/>
              <w:rPr>
                <w:rFonts w:asciiTheme="majorHAnsi" w:hAnsiTheme="majorHAnsi" w:cstheme="majorHAnsi"/>
                <w:color w:val="000000" w:themeColor="text1"/>
                <w:sz w:val="17"/>
                <w:szCs w:val="17"/>
              </w:rPr>
            </w:pPr>
          </w:p>
        </w:tc>
        <w:tc>
          <w:tcPr>
            <w:tcW w:w="1260" w:type="dxa"/>
            <w:tcBorders>
              <w:top w:val="single" w:sz="4" w:space="0" w:color="auto"/>
              <w:bottom w:val="single" w:sz="4" w:space="0" w:color="auto"/>
            </w:tcBorders>
            <w:shd w:val="clear" w:color="auto" w:fill="auto"/>
          </w:tcPr>
          <w:p w14:paraId="71D3DCE3" w14:textId="0D93D2F8" w:rsidR="00910687" w:rsidRDefault="00910687" w:rsidP="00910687">
            <w:pPr>
              <w:contextualSpacing/>
              <w:jc w:val="both"/>
              <w:rPr>
                <w:rFonts w:asciiTheme="majorHAnsi" w:hAnsiTheme="majorHAnsi" w:cstheme="majorHAnsi"/>
                <w:color w:val="000000" w:themeColor="text1"/>
                <w:sz w:val="17"/>
                <w:szCs w:val="17"/>
              </w:rPr>
            </w:pPr>
          </w:p>
        </w:tc>
      </w:tr>
      <w:tr w:rsidR="00910687" w:rsidRPr="00D94E2D" w14:paraId="039766E6" w14:textId="77777777" w:rsidTr="005464CC">
        <w:tc>
          <w:tcPr>
            <w:tcW w:w="1603" w:type="dxa"/>
            <w:tcBorders>
              <w:top w:val="single" w:sz="4" w:space="0" w:color="auto"/>
            </w:tcBorders>
            <w:shd w:val="clear" w:color="auto" w:fill="auto"/>
          </w:tcPr>
          <w:p w14:paraId="2D00C39D" w14:textId="66ADF569" w:rsidR="00910687" w:rsidRPr="005464CC" w:rsidRDefault="00910687" w:rsidP="00910687">
            <w:pPr>
              <w:contextualSpacing/>
              <w:rPr>
                <w:rFonts w:asciiTheme="majorHAnsi" w:hAnsiTheme="majorHAnsi" w:cstheme="majorHAnsi"/>
                <w:color w:val="000000" w:themeColor="text1"/>
                <w:sz w:val="17"/>
                <w:szCs w:val="17"/>
              </w:rPr>
            </w:pPr>
            <w:r w:rsidRPr="005464CC">
              <w:rPr>
                <w:rFonts w:asciiTheme="majorHAnsi" w:hAnsiTheme="majorHAnsi" w:cstheme="majorHAnsi"/>
                <w:color w:val="000000" w:themeColor="text1"/>
                <w:sz w:val="17"/>
                <w:szCs w:val="17"/>
              </w:rPr>
              <w:t>Personal income</w:t>
            </w:r>
          </w:p>
        </w:tc>
        <w:tc>
          <w:tcPr>
            <w:tcW w:w="1277" w:type="dxa"/>
            <w:tcBorders>
              <w:top w:val="single" w:sz="4" w:space="0" w:color="auto"/>
            </w:tcBorders>
            <w:shd w:val="clear" w:color="auto" w:fill="auto"/>
          </w:tcPr>
          <w:p w14:paraId="115D310F" w14:textId="48AD32BE"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tcBorders>
              <w:top w:val="single" w:sz="4" w:space="0" w:color="auto"/>
            </w:tcBorders>
            <w:shd w:val="clear" w:color="auto" w:fill="auto"/>
          </w:tcPr>
          <w:p w14:paraId="3F2FC9D1" w14:textId="41225024" w:rsidR="00910687" w:rsidRPr="005464CC" w:rsidRDefault="00910687" w:rsidP="00910687">
            <w:pPr>
              <w:contextualSpacing/>
              <w:jc w:val="both"/>
              <w:rPr>
                <w:rFonts w:asciiTheme="majorHAnsi" w:hAnsiTheme="majorHAnsi" w:cstheme="majorHAnsi"/>
                <w:color w:val="000000" w:themeColor="text1"/>
                <w:sz w:val="17"/>
                <w:szCs w:val="17"/>
              </w:rPr>
            </w:pPr>
            <w:r w:rsidRPr="005464CC">
              <w:rPr>
                <w:rFonts w:asciiTheme="majorHAnsi" w:hAnsiTheme="majorHAnsi" w:cstheme="majorHAnsi"/>
                <w:color w:val="000000" w:themeColor="text1"/>
                <w:sz w:val="17"/>
                <w:szCs w:val="17"/>
              </w:rPr>
              <w:t>Consists of the income that persons receive in return for their provision of labor, land, and capital used in current production as well as other income, such as personal current transfer receipts. In the state and local personal income accounts the personal income of an area represents the income received by or on behalf of the persons residing in that area. It is calculated as the sum of wages and salaries, supplements to wages and salaries, proprietors' income with inventory valuation (IVA) and capital consumption adjustments (CCAdj), rental income of persons with capital consumption adjustment (CCAdj), personal dividend income, personal interest income, and personal current transfer receipts, less contributions for government social insurance plus the adjustment for residence.</w:t>
            </w:r>
          </w:p>
        </w:tc>
        <w:tc>
          <w:tcPr>
            <w:tcW w:w="1440" w:type="dxa"/>
            <w:tcBorders>
              <w:top w:val="single" w:sz="4" w:space="0" w:color="auto"/>
            </w:tcBorders>
          </w:tcPr>
          <w:p w14:paraId="275E27B3" w14:textId="0B4F8B8F"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1969-2019</w:t>
            </w:r>
          </w:p>
        </w:tc>
        <w:tc>
          <w:tcPr>
            <w:tcW w:w="1980" w:type="dxa"/>
            <w:tcBorders>
              <w:top w:val="single" w:sz="4" w:space="0" w:color="auto"/>
            </w:tcBorders>
          </w:tcPr>
          <w:p w14:paraId="6225D086"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tcBorders>
              <w:top w:val="single" w:sz="4" w:space="0" w:color="auto"/>
            </w:tcBorders>
            <w:shd w:val="clear" w:color="auto" w:fill="auto"/>
          </w:tcPr>
          <w:p w14:paraId="5FBD7DFE" w14:textId="16FDF964" w:rsidR="00910687" w:rsidRPr="005464CC" w:rsidRDefault="00910687" w:rsidP="00910687">
            <w:pPr>
              <w:contextualSpacing/>
              <w:jc w:val="both"/>
              <w:rPr>
                <w:rFonts w:asciiTheme="majorHAnsi" w:hAnsiTheme="majorHAnsi" w:cstheme="majorHAnsi"/>
                <w:color w:val="000000" w:themeColor="text1"/>
                <w:sz w:val="17"/>
                <w:szCs w:val="17"/>
              </w:rPr>
            </w:pPr>
            <w:r w:rsidRPr="005464CC">
              <w:rPr>
                <w:rFonts w:asciiTheme="majorHAnsi" w:hAnsiTheme="majorHAnsi" w:cstheme="majorHAnsi"/>
                <w:color w:val="000000" w:themeColor="text1"/>
                <w:sz w:val="17"/>
                <w:szCs w:val="17"/>
              </w:rPr>
              <w:t>pers_income</w:t>
            </w:r>
          </w:p>
        </w:tc>
      </w:tr>
      <w:tr w:rsidR="00910687" w:rsidRPr="00D94E2D" w14:paraId="450ECE68" w14:textId="77777777" w:rsidTr="005464CC">
        <w:tc>
          <w:tcPr>
            <w:tcW w:w="1603" w:type="dxa"/>
            <w:shd w:val="clear" w:color="auto" w:fill="auto"/>
          </w:tcPr>
          <w:p w14:paraId="20CE3650" w14:textId="6C2488F8" w:rsidR="00910687"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Population</w:t>
            </w:r>
          </w:p>
        </w:tc>
        <w:tc>
          <w:tcPr>
            <w:tcW w:w="1277" w:type="dxa"/>
            <w:shd w:val="clear" w:color="auto" w:fill="auto"/>
          </w:tcPr>
          <w:p w14:paraId="2206507D" w14:textId="03F798BE"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 of persons</w:t>
            </w:r>
          </w:p>
        </w:tc>
        <w:tc>
          <w:tcPr>
            <w:tcW w:w="5400" w:type="dxa"/>
            <w:shd w:val="clear" w:color="auto" w:fill="auto"/>
          </w:tcPr>
          <w:p w14:paraId="674A9271" w14:textId="60241E41" w:rsidR="00910687" w:rsidRDefault="006D006A" w:rsidP="00910687">
            <w:pPr>
              <w:contextualSpacing/>
              <w:jc w:val="both"/>
              <w:rPr>
                <w:rFonts w:asciiTheme="majorHAnsi" w:hAnsiTheme="majorHAnsi" w:cstheme="majorHAnsi"/>
                <w:color w:val="000000" w:themeColor="text1"/>
                <w:sz w:val="17"/>
                <w:szCs w:val="17"/>
              </w:rPr>
            </w:pPr>
            <w:r w:rsidRPr="006D006A">
              <w:rPr>
                <w:rFonts w:asciiTheme="majorHAnsi" w:hAnsiTheme="majorHAnsi" w:cstheme="majorHAnsi"/>
                <w:color w:val="000000" w:themeColor="text1"/>
                <w:sz w:val="17"/>
                <w:szCs w:val="17"/>
              </w:rPr>
              <w:t xml:space="preserve">The number of individuals (both civilian and military) who reside in a </w:t>
            </w:r>
            <w:r>
              <w:rPr>
                <w:rFonts w:asciiTheme="majorHAnsi" w:hAnsiTheme="majorHAnsi" w:cstheme="majorHAnsi"/>
                <w:color w:val="000000" w:themeColor="text1"/>
                <w:sz w:val="17"/>
                <w:szCs w:val="17"/>
              </w:rPr>
              <w:t>county.</w:t>
            </w:r>
          </w:p>
        </w:tc>
        <w:tc>
          <w:tcPr>
            <w:tcW w:w="1440" w:type="dxa"/>
          </w:tcPr>
          <w:p w14:paraId="32E0DA62" w14:textId="7E1D698B"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1969-2019</w:t>
            </w:r>
          </w:p>
        </w:tc>
        <w:tc>
          <w:tcPr>
            <w:tcW w:w="1980" w:type="dxa"/>
          </w:tcPr>
          <w:p w14:paraId="7726B990"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shd w:val="clear" w:color="auto" w:fill="auto"/>
          </w:tcPr>
          <w:p w14:paraId="23A9D2F5" w14:textId="274B9418"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pop</w:t>
            </w:r>
          </w:p>
        </w:tc>
      </w:tr>
      <w:tr w:rsidR="00910687" w:rsidRPr="00D94E2D" w14:paraId="4FB13C47" w14:textId="77777777" w:rsidTr="005464CC">
        <w:tc>
          <w:tcPr>
            <w:tcW w:w="1603" w:type="dxa"/>
            <w:shd w:val="clear" w:color="auto" w:fill="auto"/>
          </w:tcPr>
          <w:p w14:paraId="7186A7E3" w14:textId="7D6CF834" w:rsidR="00910687"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Per capita income</w:t>
            </w:r>
          </w:p>
        </w:tc>
        <w:tc>
          <w:tcPr>
            <w:tcW w:w="1277" w:type="dxa"/>
            <w:shd w:val="clear" w:color="auto" w:fill="auto"/>
          </w:tcPr>
          <w:p w14:paraId="55E3A3FA" w14:textId="30E03F9B"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USD$ / person</w:t>
            </w:r>
          </w:p>
        </w:tc>
        <w:tc>
          <w:tcPr>
            <w:tcW w:w="5400" w:type="dxa"/>
            <w:shd w:val="clear" w:color="auto" w:fill="auto"/>
          </w:tcPr>
          <w:p w14:paraId="1916990C" w14:textId="4FE5D31E" w:rsidR="00910687" w:rsidRDefault="006D006A" w:rsidP="00910687">
            <w:pPr>
              <w:contextualSpacing/>
              <w:jc w:val="both"/>
              <w:rPr>
                <w:rFonts w:asciiTheme="majorHAnsi" w:hAnsiTheme="majorHAnsi" w:cstheme="majorHAnsi"/>
                <w:color w:val="000000" w:themeColor="text1"/>
                <w:sz w:val="17"/>
                <w:szCs w:val="17"/>
              </w:rPr>
            </w:pPr>
            <w:r w:rsidRPr="006D006A">
              <w:rPr>
                <w:rFonts w:asciiTheme="majorHAnsi" w:hAnsiTheme="majorHAnsi" w:cstheme="majorHAnsi"/>
                <w:color w:val="000000" w:themeColor="text1"/>
                <w:sz w:val="17"/>
                <w:szCs w:val="17"/>
              </w:rPr>
              <w:t xml:space="preserve">The personal income of a </w:t>
            </w:r>
            <w:r>
              <w:rPr>
                <w:rFonts w:asciiTheme="majorHAnsi" w:hAnsiTheme="majorHAnsi" w:cstheme="majorHAnsi"/>
                <w:color w:val="000000" w:themeColor="text1"/>
                <w:sz w:val="17"/>
                <w:szCs w:val="17"/>
              </w:rPr>
              <w:t>county</w:t>
            </w:r>
            <w:r w:rsidRPr="006D006A">
              <w:rPr>
                <w:rFonts w:asciiTheme="majorHAnsi" w:hAnsiTheme="majorHAnsi" w:cstheme="majorHAnsi"/>
                <w:color w:val="000000" w:themeColor="text1"/>
                <w:sz w:val="17"/>
                <w:szCs w:val="17"/>
              </w:rPr>
              <w:t xml:space="preserve"> divided by the resident populatio</w:t>
            </w:r>
            <w:r>
              <w:rPr>
                <w:rFonts w:asciiTheme="majorHAnsi" w:hAnsiTheme="majorHAnsi" w:cstheme="majorHAnsi"/>
                <w:color w:val="000000" w:themeColor="text1"/>
                <w:sz w:val="17"/>
                <w:szCs w:val="17"/>
              </w:rPr>
              <w:t>n.</w:t>
            </w:r>
          </w:p>
        </w:tc>
        <w:tc>
          <w:tcPr>
            <w:tcW w:w="1440" w:type="dxa"/>
          </w:tcPr>
          <w:p w14:paraId="12FA1211" w14:textId="45FD2537"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1969-2019</w:t>
            </w:r>
          </w:p>
        </w:tc>
        <w:tc>
          <w:tcPr>
            <w:tcW w:w="1980" w:type="dxa"/>
          </w:tcPr>
          <w:p w14:paraId="1E93CC34"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shd w:val="clear" w:color="auto" w:fill="auto"/>
          </w:tcPr>
          <w:p w14:paraId="270D98F2" w14:textId="3443541B"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percap_income</w:t>
            </w:r>
          </w:p>
        </w:tc>
      </w:tr>
      <w:tr w:rsidR="00910687" w:rsidRPr="00D94E2D" w14:paraId="1672B3DE" w14:textId="77777777" w:rsidTr="005464CC">
        <w:tc>
          <w:tcPr>
            <w:tcW w:w="1603" w:type="dxa"/>
            <w:shd w:val="clear" w:color="auto" w:fill="auto"/>
          </w:tcPr>
          <w:p w14:paraId="73B00539" w14:textId="279D6587" w:rsidR="00910687" w:rsidRPr="005464CC"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Farm income</w:t>
            </w:r>
          </w:p>
        </w:tc>
        <w:tc>
          <w:tcPr>
            <w:tcW w:w="1277" w:type="dxa"/>
            <w:shd w:val="clear" w:color="auto" w:fill="auto"/>
          </w:tcPr>
          <w:p w14:paraId="42C55012" w14:textId="3C3F6728"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shd w:val="clear" w:color="auto" w:fill="auto"/>
          </w:tcPr>
          <w:p w14:paraId="269D9FD4" w14:textId="4CA4811E"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W</w:t>
            </w:r>
            <w:r w:rsidRPr="005464CC">
              <w:rPr>
                <w:rFonts w:asciiTheme="majorHAnsi" w:hAnsiTheme="majorHAnsi" w:cstheme="majorHAnsi"/>
                <w:color w:val="000000" w:themeColor="text1"/>
                <w:sz w:val="17"/>
                <w:szCs w:val="17"/>
              </w:rPr>
              <w:t>ages and salaries, employer contributions for employee pension and insurance funds, and proprietors' income in the farm industry (NAICS subsectors 111-Crop Production and 112-Animal Production). Farm personal income comprises the net personal income of sole proprietors, partners, and hired laborers arising directly from the current production of agricultural commodities, both livestock and crops. It excludes corporate farm income.</w:t>
            </w:r>
          </w:p>
        </w:tc>
        <w:tc>
          <w:tcPr>
            <w:tcW w:w="1440" w:type="dxa"/>
          </w:tcPr>
          <w:p w14:paraId="080940F7" w14:textId="0462EF08"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1969-2019</w:t>
            </w:r>
          </w:p>
        </w:tc>
        <w:tc>
          <w:tcPr>
            <w:tcW w:w="1980" w:type="dxa"/>
          </w:tcPr>
          <w:p w14:paraId="660DF901"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shd w:val="clear" w:color="auto" w:fill="auto"/>
          </w:tcPr>
          <w:p w14:paraId="41167AD2" w14:textId="5B85875D"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farm_income</w:t>
            </w:r>
          </w:p>
        </w:tc>
      </w:tr>
      <w:tr w:rsidR="00910687" w:rsidRPr="00D94E2D" w14:paraId="2A6E023F" w14:textId="77777777" w:rsidTr="005464CC">
        <w:tc>
          <w:tcPr>
            <w:tcW w:w="1603" w:type="dxa"/>
            <w:shd w:val="clear" w:color="auto" w:fill="auto"/>
          </w:tcPr>
          <w:p w14:paraId="7E59ACF6" w14:textId="1F6FD4BC" w:rsidR="00910687" w:rsidRPr="005464CC"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Farm proprietors’ income</w:t>
            </w:r>
          </w:p>
        </w:tc>
        <w:tc>
          <w:tcPr>
            <w:tcW w:w="1277" w:type="dxa"/>
            <w:shd w:val="clear" w:color="auto" w:fill="auto"/>
          </w:tcPr>
          <w:p w14:paraId="514D56B9" w14:textId="2640D82A"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shd w:val="clear" w:color="auto" w:fill="auto"/>
          </w:tcPr>
          <w:p w14:paraId="1F04CCB4" w14:textId="544A0EC7" w:rsidR="00910687" w:rsidRPr="005464CC" w:rsidRDefault="00910687" w:rsidP="00910687">
            <w:pPr>
              <w:contextualSpacing/>
              <w:jc w:val="both"/>
              <w:rPr>
                <w:rFonts w:asciiTheme="majorHAnsi" w:hAnsiTheme="majorHAnsi" w:cstheme="majorHAnsi"/>
                <w:color w:val="000000" w:themeColor="text1"/>
                <w:sz w:val="17"/>
                <w:szCs w:val="17"/>
              </w:rPr>
            </w:pPr>
            <w:r w:rsidRPr="005464CC">
              <w:rPr>
                <w:rFonts w:asciiTheme="majorHAnsi" w:hAnsiTheme="majorHAnsi" w:cstheme="majorHAnsi"/>
                <w:color w:val="000000" w:themeColor="text1"/>
                <w:sz w:val="17"/>
                <w:szCs w:val="17"/>
              </w:rPr>
              <w:t>Farm proprietors' income consists of the income that is received by the sole proprietorships and the partnerships that operate farms. It excludes the income that is received by corporate farms.</w:t>
            </w:r>
          </w:p>
        </w:tc>
        <w:tc>
          <w:tcPr>
            <w:tcW w:w="1440" w:type="dxa"/>
          </w:tcPr>
          <w:p w14:paraId="162DD289" w14:textId="3B36E893"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1969-2019</w:t>
            </w:r>
          </w:p>
        </w:tc>
        <w:tc>
          <w:tcPr>
            <w:tcW w:w="1980" w:type="dxa"/>
          </w:tcPr>
          <w:p w14:paraId="76F28DA2"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shd w:val="clear" w:color="auto" w:fill="auto"/>
          </w:tcPr>
          <w:p w14:paraId="52308513" w14:textId="046FE457" w:rsidR="00910687" w:rsidRPr="005464CC" w:rsidRDefault="00910687" w:rsidP="00910687">
            <w:pPr>
              <w:contextualSpacing/>
              <w:jc w:val="both"/>
              <w:rPr>
                <w:rFonts w:asciiTheme="majorHAnsi" w:hAnsiTheme="majorHAnsi" w:cstheme="majorHAnsi"/>
                <w:color w:val="000000" w:themeColor="text1"/>
                <w:sz w:val="17"/>
                <w:szCs w:val="17"/>
              </w:rPr>
            </w:pPr>
            <w:r w:rsidRPr="00884876">
              <w:rPr>
                <w:rFonts w:asciiTheme="majorHAnsi" w:hAnsiTheme="majorHAnsi" w:cstheme="majorHAnsi"/>
                <w:color w:val="000000" w:themeColor="text1"/>
                <w:sz w:val="17"/>
                <w:szCs w:val="17"/>
              </w:rPr>
              <w:t>farmprop_income</w:t>
            </w:r>
          </w:p>
        </w:tc>
      </w:tr>
      <w:tr w:rsidR="00910687" w:rsidRPr="00D94E2D" w14:paraId="7186E1B5" w14:textId="77777777" w:rsidTr="005464CC">
        <w:tc>
          <w:tcPr>
            <w:tcW w:w="1603" w:type="dxa"/>
            <w:shd w:val="clear" w:color="auto" w:fill="auto"/>
          </w:tcPr>
          <w:p w14:paraId="2B8F3476" w14:textId="23F889BB" w:rsidR="00910687"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Average farm proprietors’ income</w:t>
            </w:r>
          </w:p>
        </w:tc>
        <w:tc>
          <w:tcPr>
            <w:tcW w:w="1277" w:type="dxa"/>
            <w:shd w:val="clear" w:color="auto" w:fill="auto"/>
          </w:tcPr>
          <w:p w14:paraId="2FDC67B0" w14:textId="2DB68AF5"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USD$</w:t>
            </w:r>
          </w:p>
        </w:tc>
        <w:tc>
          <w:tcPr>
            <w:tcW w:w="5400" w:type="dxa"/>
            <w:shd w:val="clear" w:color="auto" w:fill="auto"/>
          </w:tcPr>
          <w:p w14:paraId="35829617" w14:textId="5F5EAFCF" w:rsidR="00910687" w:rsidRPr="005464CC" w:rsidRDefault="00116CFB"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Derived*</w:t>
            </w:r>
          </w:p>
        </w:tc>
        <w:tc>
          <w:tcPr>
            <w:tcW w:w="1440" w:type="dxa"/>
          </w:tcPr>
          <w:p w14:paraId="6DC4D14F" w14:textId="4D08D186"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1969-2019</w:t>
            </w:r>
          </w:p>
        </w:tc>
        <w:tc>
          <w:tcPr>
            <w:tcW w:w="1980" w:type="dxa"/>
          </w:tcPr>
          <w:p w14:paraId="329EC58D" w14:textId="4991CFBF"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farmprop_income*1000/farmprop_employ</w:t>
            </w:r>
          </w:p>
        </w:tc>
        <w:tc>
          <w:tcPr>
            <w:tcW w:w="1260" w:type="dxa"/>
            <w:shd w:val="clear" w:color="auto" w:fill="auto"/>
          </w:tcPr>
          <w:p w14:paraId="100D83D3" w14:textId="46ACEE9A" w:rsidR="00910687" w:rsidRDefault="00910687" w:rsidP="00910687">
            <w:pPr>
              <w:contextualSpacing/>
              <w:jc w:val="both"/>
              <w:rPr>
                <w:rFonts w:asciiTheme="majorHAnsi" w:hAnsiTheme="majorHAnsi" w:cstheme="majorHAnsi"/>
                <w:color w:val="000000" w:themeColor="text1"/>
                <w:sz w:val="17"/>
                <w:szCs w:val="17"/>
              </w:rPr>
            </w:pPr>
            <w:r w:rsidRPr="009D199F">
              <w:rPr>
                <w:rFonts w:asciiTheme="majorHAnsi" w:hAnsiTheme="majorHAnsi" w:cstheme="majorHAnsi"/>
                <w:color w:val="000000" w:themeColor="text1"/>
                <w:sz w:val="17"/>
                <w:szCs w:val="17"/>
              </w:rPr>
              <w:t>ave_farminc</w:t>
            </w:r>
          </w:p>
        </w:tc>
      </w:tr>
      <w:tr w:rsidR="00910687" w:rsidRPr="00D94E2D" w14:paraId="46045ECF" w14:textId="77777777" w:rsidTr="005464CC">
        <w:tc>
          <w:tcPr>
            <w:tcW w:w="1603" w:type="dxa"/>
            <w:shd w:val="clear" w:color="auto" w:fill="auto"/>
          </w:tcPr>
          <w:p w14:paraId="7981D64F" w14:textId="20AA9F81" w:rsidR="00910687"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Nonfarm proprietors’ income</w:t>
            </w:r>
          </w:p>
        </w:tc>
        <w:tc>
          <w:tcPr>
            <w:tcW w:w="1277" w:type="dxa"/>
            <w:shd w:val="clear" w:color="auto" w:fill="auto"/>
          </w:tcPr>
          <w:p w14:paraId="05079189" w14:textId="29D1D57E"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shd w:val="clear" w:color="auto" w:fill="auto"/>
          </w:tcPr>
          <w:p w14:paraId="0E66D990" w14:textId="7A8B7A6B" w:rsidR="00910687" w:rsidRPr="005464CC" w:rsidRDefault="00D57C6D"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C</w:t>
            </w:r>
            <w:r w:rsidRPr="00D57C6D">
              <w:rPr>
                <w:rFonts w:asciiTheme="majorHAnsi" w:hAnsiTheme="majorHAnsi" w:cstheme="majorHAnsi"/>
                <w:color w:val="000000" w:themeColor="text1"/>
                <w:sz w:val="17"/>
                <w:szCs w:val="17"/>
              </w:rPr>
              <w:t>onsists of the income that is received by nonfarm sole proprietorships and partnerships and the income that is received by tax-exempt cooperatives.</w:t>
            </w:r>
          </w:p>
        </w:tc>
        <w:tc>
          <w:tcPr>
            <w:tcW w:w="1440" w:type="dxa"/>
          </w:tcPr>
          <w:p w14:paraId="1AB523E9" w14:textId="1ACFFB46"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1969-2019</w:t>
            </w:r>
          </w:p>
        </w:tc>
        <w:tc>
          <w:tcPr>
            <w:tcW w:w="1980" w:type="dxa"/>
          </w:tcPr>
          <w:p w14:paraId="322F56C5" w14:textId="77777777" w:rsidR="00910687" w:rsidRDefault="00910687" w:rsidP="00910687">
            <w:pPr>
              <w:contextualSpacing/>
              <w:jc w:val="both"/>
              <w:rPr>
                <w:rFonts w:asciiTheme="majorHAnsi" w:hAnsiTheme="majorHAnsi" w:cstheme="majorHAnsi"/>
                <w:color w:val="000000" w:themeColor="text1"/>
                <w:sz w:val="17"/>
                <w:szCs w:val="17"/>
              </w:rPr>
            </w:pPr>
          </w:p>
        </w:tc>
        <w:tc>
          <w:tcPr>
            <w:tcW w:w="1260" w:type="dxa"/>
            <w:shd w:val="clear" w:color="auto" w:fill="auto"/>
          </w:tcPr>
          <w:p w14:paraId="5D209516" w14:textId="29011298" w:rsidR="00910687" w:rsidRPr="009D199F"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nonfarmprop_income</w:t>
            </w:r>
          </w:p>
        </w:tc>
      </w:tr>
      <w:tr w:rsidR="00910687" w:rsidRPr="00D94E2D" w14:paraId="61E357E5" w14:textId="77777777" w:rsidTr="005464CC">
        <w:tc>
          <w:tcPr>
            <w:tcW w:w="1603" w:type="dxa"/>
            <w:shd w:val="clear" w:color="auto" w:fill="auto"/>
          </w:tcPr>
          <w:p w14:paraId="350167C5" w14:textId="5CEA0BF6" w:rsidR="00910687"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Average nonfarm proprietors’ income</w:t>
            </w:r>
          </w:p>
        </w:tc>
        <w:tc>
          <w:tcPr>
            <w:tcW w:w="1277" w:type="dxa"/>
            <w:shd w:val="clear" w:color="auto" w:fill="auto"/>
          </w:tcPr>
          <w:p w14:paraId="11F6B91A" w14:textId="19CBD99B"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USD$</w:t>
            </w:r>
          </w:p>
        </w:tc>
        <w:tc>
          <w:tcPr>
            <w:tcW w:w="5400" w:type="dxa"/>
            <w:shd w:val="clear" w:color="auto" w:fill="auto"/>
          </w:tcPr>
          <w:p w14:paraId="4127C754" w14:textId="7E910942" w:rsidR="00910687" w:rsidRPr="005464CC" w:rsidRDefault="00116CFB"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Derived*</w:t>
            </w:r>
          </w:p>
        </w:tc>
        <w:tc>
          <w:tcPr>
            <w:tcW w:w="1440" w:type="dxa"/>
          </w:tcPr>
          <w:p w14:paraId="2E16B3CA" w14:textId="4AD32179"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1969-2019</w:t>
            </w:r>
          </w:p>
        </w:tc>
        <w:tc>
          <w:tcPr>
            <w:tcW w:w="1980" w:type="dxa"/>
          </w:tcPr>
          <w:p w14:paraId="37FC10CB" w14:textId="0027B55C"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nonfarmprop_income*1000/nonfarmprop_employ</w:t>
            </w:r>
          </w:p>
        </w:tc>
        <w:tc>
          <w:tcPr>
            <w:tcW w:w="1260" w:type="dxa"/>
            <w:shd w:val="clear" w:color="auto" w:fill="auto"/>
          </w:tcPr>
          <w:p w14:paraId="5C1D0F5D" w14:textId="3539D913" w:rsidR="00910687" w:rsidRDefault="00910687" w:rsidP="00910687">
            <w:pPr>
              <w:contextualSpacing/>
              <w:jc w:val="both"/>
              <w:rPr>
                <w:rFonts w:asciiTheme="majorHAnsi" w:hAnsiTheme="majorHAnsi" w:cstheme="majorHAnsi"/>
                <w:color w:val="000000" w:themeColor="text1"/>
                <w:sz w:val="17"/>
                <w:szCs w:val="17"/>
              </w:rPr>
            </w:pPr>
            <w:r w:rsidRPr="009D199F">
              <w:rPr>
                <w:rFonts w:asciiTheme="majorHAnsi" w:hAnsiTheme="majorHAnsi" w:cstheme="majorHAnsi"/>
                <w:color w:val="000000" w:themeColor="text1"/>
                <w:sz w:val="17"/>
                <w:szCs w:val="17"/>
              </w:rPr>
              <w:t>ave_nonfarminc</w:t>
            </w:r>
          </w:p>
        </w:tc>
      </w:tr>
      <w:tr w:rsidR="00910687" w:rsidRPr="00D94E2D" w14:paraId="5382BBE5" w14:textId="77777777" w:rsidTr="005464CC">
        <w:tc>
          <w:tcPr>
            <w:tcW w:w="1603" w:type="dxa"/>
            <w:shd w:val="clear" w:color="auto" w:fill="auto"/>
          </w:tcPr>
          <w:p w14:paraId="2F42DEF0" w14:textId="44E72960" w:rsidR="00910687"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Farm earnings, SIC</w:t>
            </w:r>
          </w:p>
        </w:tc>
        <w:tc>
          <w:tcPr>
            <w:tcW w:w="1277" w:type="dxa"/>
            <w:shd w:val="clear" w:color="auto" w:fill="auto"/>
          </w:tcPr>
          <w:p w14:paraId="336F784D" w14:textId="70EB3D30"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shd w:val="clear" w:color="auto" w:fill="auto"/>
          </w:tcPr>
          <w:p w14:paraId="5666F704" w14:textId="0C81B7F7" w:rsidR="00910687" w:rsidRPr="005464CC" w:rsidRDefault="00116CFB" w:rsidP="00910687">
            <w:pPr>
              <w:contextualSpacing/>
              <w:jc w:val="both"/>
              <w:rPr>
                <w:rFonts w:asciiTheme="majorHAnsi" w:hAnsiTheme="majorHAnsi" w:cstheme="majorHAnsi"/>
                <w:color w:val="000000" w:themeColor="text1"/>
                <w:sz w:val="17"/>
                <w:szCs w:val="17"/>
              </w:rPr>
            </w:pPr>
            <w:r w:rsidRPr="00116CFB">
              <w:rPr>
                <w:rFonts w:asciiTheme="majorHAnsi" w:hAnsiTheme="majorHAnsi" w:cstheme="majorHAnsi"/>
                <w:color w:val="000000" w:themeColor="text1"/>
                <w:sz w:val="17"/>
                <w:szCs w:val="17"/>
              </w:rPr>
              <w:t>Farm labor and proprietors' income is comprised of the net income of sole proprietors, partners, and hired laborers arising directly from the current production of agricultural commodities, either livestock or crops. It includes net farm proprietors' income and the wages and salaries, pay-in-kind, and other labor income of hired farm laborers; but specifically excludes the income of farm corporations</w:t>
            </w:r>
            <w:r>
              <w:rPr>
                <w:rFonts w:asciiTheme="majorHAnsi" w:hAnsiTheme="majorHAnsi" w:cstheme="majorHAnsi"/>
                <w:color w:val="000000" w:themeColor="text1"/>
                <w:sz w:val="17"/>
                <w:szCs w:val="17"/>
              </w:rPr>
              <w:t>, by SIC industry.</w:t>
            </w:r>
          </w:p>
        </w:tc>
        <w:tc>
          <w:tcPr>
            <w:tcW w:w="1440" w:type="dxa"/>
          </w:tcPr>
          <w:p w14:paraId="471F3483" w14:textId="216682F6"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1969-2000</w:t>
            </w:r>
          </w:p>
        </w:tc>
        <w:tc>
          <w:tcPr>
            <w:tcW w:w="1980" w:type="dxa"/>
          </w:tcPr>
          <w:p w14:paraId="132E5A30"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shd w:val="clear" w:color="auto" w:fill="auto"/>
          </w:tcPr>
          <w:p w14:paraId="744699AF" w14:textId="7F57AAE3" w:rsidR="00910687" w:rsidRDefault="00910687" w:rsidP="00910687">
            <w:pPr>
              <w:contextualSpacing/>
              <w:jc w:val="both"/>
              <w:rPr>
                <w:rFonts w:asciiTheme="majorHAnsi" w:hAnsiTheme="majorHAnsi" w:cstheme="majorHAnsi"/>
                <w:color w:val="000000" w:themeColor="text1"/>
                <w:sz w:val="17"/>
                <w:szCs w:val="17"/>
              </w:rPr>
            </w:pPr>
            <w:r w:rsidRPr="00337F71">
              <w:rPr>
                <w:rFonts w:asciiTheme="majorHAnsi" w:hAnsiTheme="majorHAnsi" w:cstheme="majorHAnsi"/>
                <w:color w:val="000000" w:themeColor="text1"/>
                <w:sz w:val="17"/>
                <w:szCs w:val="17"/>
              </w:rPr>
              <w:t>farm_earn_sic</w:t>
            </w:r>
          </w:p>
        </w:tc>
      </w:tr>
      <w:tr w:rsidR="00910687" w:rsidRPr="00D94E2D" w14:paraId="2F39E47E" w14:textId="77777777" w:rsidTr="005464CC">
        <w:tc>
          <w:tcPr>
            <w:tcW w:w="1603" w:type="dxa"/>
            <w:shd w:val="clear" w:color="auto" w:fill="auto"/>
          </w:tcPr>
          <w:p w14:paraId="37E49B88" w14:textId="671CEC46" w:rsidR="00910687" w:rsidRPr="005464CC"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Farm earnings, NAICS</w:t>
            </w:r>
          </w:p>
        </w:tc>
        <w:tc>
          <w:tcPr>
            <w:tcW w:w="1277" w:type="dxa"/>
            <w:shd w:val="clear" w:color="auto" w:fill="auto"/>
          </w:tcPr>
          <w:p w14:paraId="582F7AF5" w14:textId="1BAFB5C4"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shd w:val="clear" w:color="auto" w:fill="auto"/>
          </w:tcPr>
          <w:p w14:paraId="308CFEF1" w14:textId="2B8B4054" w:rsidR="00910687" w:rsidRPr="005464CC" w:rsidRDefault="00116CFB"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 by NAICS industry.</w:t>
            </w:r>
          </w:p>
        </w:tc>
        <w:tc>
          <w:tcPr>
            <w:tcW w:w="1440" w:type="dxa"/>
          </w:tcPr>
          <w:p w14:paraId="2C1D39A5" w14:textId="2AB4011E"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2001-2019</w:t>
            </w:r>
          </w:p>
        </w:tc>
        <w:tc>
          <w:tcPr>
            <w:tcW w:w="1980" w:type="dxa"/>
          </w:tcPr>
          <w:p w14:paraId="78393D77"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shd w:val="clear" w:color="auto" w:fill="auto"/>
          </w:tcPr>
          <w:p w14:paraId="46F7E5DB" w14:textId="2B3F25DE" w:rsidR="00910687" w:rsidRPr="005464CC" w:rsidRDefault="00910687" w:rsidP="00910687">
            <w:pPr>
              <w:contextualSpacing/>
              <w:jc w:val="both"/>
              <w:rPr>
                <w:rFonts w:asciiTheme="majorHAnsi" w:hAnsiTheme="majorHAnsi" w:cstheme="majorHAnsi"/>
                <w:color w:val="000000" w:themeColor="text1"/>
                <w:sz w:val="17"/>
                <w:szCs w:val="17"/>
              </w:rPr>
            </w:pPr>
            <w:r w:rsidRPr="00A05A52">
              <w:rPr>
                <w:rFonts w:asciiTheme="majorHAnsi" w:hAnsiTheme="majorHAnsi" w:cstheme="majorHAnsi"/>
                <w:color w:val="000000" w:themeColor="text1"/>
                <w:sz w:val="17"/>
                <w:szCs w:val="17"/>
              </w:rPr>
              <w:t>farm_earn_naics</w:t>
            </w:r>
          </w:p>
        </w:tc>
      </w:tr>
      <w:tr w:rsidR="00910687" w:rsidRPr="00D94E2D" w14:paraId="6D7590DB" w14:textId="77777777" w:rsidTr="005464CC">
        <w:tc>
          <w:tcPr>
            <w:tcW w:w="1603" w:type="dxa"/>
            <w:shd w:val="clear" w:color="auto" w:fill="auto"/>
          </w:tcPr>
          <w:p w14:paraId="5313D4CC" w14:textId="6F928E35" w:rsidR="00910687"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Nonfarm earnings, SIC</w:t>
            </w:r>
          </w:p>
        </w:tc>
        <w:tc>
          <w:tcPr>
            <w:tcW w:w="1277" w:type="dxa"/>
            <w:shd w:val="clear" w:color="auto" w:fill="auto"/>
          </w:tcPr>
          <w:p w14:paraId="3AD77173" w14:textId="70C807E8"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shd w:val="clear" w:color="auto" w:fill="auto"/>
          </w:tcPr>
          <w:p w14:paraId="76280C5C" w14:textId="4E05A651" w:rsidR="00910687" w:rsidRDefault="00116CFB" w:rsidP="00910687">
            <w:pPr>
              <w:contextualSpacing/>
              <w:jc w:val="both"/>
              <w:rPr>
                <w:rFonts w:asciiTheme="majorHAnsi" w:hAnsiTheme="majorHAnsi" w:cstheme="majorHAnsi"/>
                <w:color w:val="000000" w:themeColor="text1"/>
                <w:sz w:val="17"/>
                <w:szCs w:val="17"/>
              </w:rPr>
            </w:pPr>
            <w:r w:rsidRPr="00116CFB">
              <w:rPr>
                <w:rFonts w:asciiTheme="majorHAnsi" w:hAnsiTheme="majorHAnsi" w:cstheme="majorHAnsi"/>
                <w:color w:val="000000" w:themeColor="text1"/>
                <w:sz w:val="17"/>
                <w:szCs w:val="17"/>
              </w:rPr>
              <w:t>Nonfarm Earnings is the sum of wages and salaries, supplements to wages and salaries, and proprietors' income for all industries, excluding farm.</w:t>
            </w:r>
          </w:p>
        </w:tc>
        <w:tc>
          <w:tcPr>
            <w:tcW w:w="1440" w:type="dxa"/>
          </w:tcPr>
          <w:p w14:paraId="796F1F7A" w14:textId="673E41D9"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1969-2000</w:t>
            </w:r>
          </w:p>
        </w:tc>
        <w:tc>
          <w:tcPr>
            <w:tcW w:w="1980" w:type="dxa"/>
          </w:tcPr>
          <w:p w14:paraId="3717877A"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shd w:val="clear" w:color="auto" w:fill="auto"/>
          </w:tcPr>
          <w:p w14:paraId="1CB52C6A" w14:textId="44C4225A" w:rsidR="00910687" w:rsidRPr="00A05A52" w:rsidRDefault="00910687" w:rsidP="00910687">
            <w:pPr>
              <w:contextualSpacing/>
              <w:jc w:val="both"/>
              <w:rPr>
                <w:rFonts w:asciiTheme="majorHAnsi" w:hAnsiTheme="majorHAnsi" w:cstheme="majorHAnsi"/>
                <w:color w:val="000000" w:themeColor="text1"/>
                <w:sz w:val="17"/>
                <w:szCs w:val="17"/>
              </w:rPr>
            </w:pPr>
            <w:r w:rsidRPr="00337F71">
              <w:rPr>
                <w:rFonts w:asciiTheme="majorHAnsi" w:hAnsiTheme="majorHAnsi" w:cstheme="majorHAnsi"/>
                <w:color w:val="000000" w:themeColor="text1"/>
                <w:sz w:val="17"/>
                <w:szCs w:val="17"/>
              </w:rPr>
              <w:t>nonfarm_earn_sic</w:t>
            </w:r>
          </w:p>
        </w:tc>
      </w:tr>
      <w:tr w:rsidR="00910687" w:rsidRPr="00D94E2D" w14:paraId="4E68F416" w14:textId="77777777" w:rsidTr="00910687">
        <w:tc>
          <w:tcPr>
            <w:tcW w:w="1603" w:type="dxa"/>
            <w:shd w:val="clear" w:color="auto" w:fill="auto"/>
          </w:tcPr>
          <w:p w14:paraId="4645E1A7" w14:textId="21D6AC43" w:rsidR="00910687" w:rsidRPr="005464CC"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Nonfarm earnings, NAICS</w:t>
            </w:r>
          </w:p>
        </w:tc>
        <w:tc>
          <w:tcPr>
            <w:tcW w:w="1277" w:type="dxa"/>
            <w:shd w:val="clear" w:color="auto" w:fill="auto"/>
          </w:tcPr>
          <w:p w14:paraId="01EEAEE5" w14:textId="0FED674E"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shd w:val="clear" w:color="auto" w:fill="auto"/>
          </w:tcPr>
          <w:p w14:paraId="3CB837E5" w14:textId="4FDF66A9"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T</w:t>
            </w:r>
            <w:r w:rsidRPr="00A05A52">
              <w:rPr>
                <w:rFonts w:asciiTheme="majorHAnsi" w:hAnsiTheme="majorHAnsi" w:cstheme="majorHAnsi"/>
                <w:color w:val="000000" w:themeColor="text1"/>
                <w:sz w:val="17"/>
                <w:szCs w:val="17"/>
              </w:rPr>
              <w:t>he sum of wages and salaries, supplements to wages and salaries, and proprietors' income for all industries, excluding farm.</w:t>
            </w:r>
          </w:p>
        </w:tc>
        <w:tc>
          <w:tcPr>
            <w:tcW w:w="1440" w:type="dxa"/>
          </w:tcPr>
          <w:p w14:paraId="02452896" w14:textId="0F2B8A7B"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2001-2019</w:t>
            </w:r>
          </w:p>
        </w:tc>
        <w:tc>
          <w:tcPr>
            <w:tcW w:w="1980" w:type="dxa"/>
          </w:tcPr>
          <w:p w14:paraId="3232A52F"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shd w:val="clear" w:color="auto" w:fill="auto"/>
          </w:tcPr>
          <w:p w14:paraId="5BF7D9BC" w14:textId="2499FBA5" w:rsidR="00910687" w:rsidRPr="005464CC" w:rsidRDefault="00910687" w:rsidP="00910687">
            <w:pPr>
              <w:contextualSpacing/>
              <w:jc w:val="both"/>
              <w:rPr>
                <w:rFonts w:asciiTheme="majorHAnsi" w:hAnsiTheme="majorHAnsi" w:cstheme="majorHAnsi"/>
                <w:color w:val="000000" w:themeColor="text1"/>
                <w:sz w:val="17"/>
                <w:szCs w:val="17"/>
              </w:rPr>
            </w:pPr>
            <w:r w:rsidRPr="00A05A52">
              <w:rPr>
                <w:rFonts w:asciiTheme="majorHAnsi" w:hAnsiTheme="majorHAnsi" w:cstheme="majorHAnsi"/>
                <w:color w:val="000000" w:themeColor="text1"/>
                <w:sz w:val="17"/>
                <w:szCs w:val="17"/>
              </w:rPr>
              <w:t>nonfarm_earn_naics</w:t>
            </w:r>
          </w:p>
        </w:tc>
      </w:tr>
      <w:tr w:rsidR="00910687" w:rsidRPr="00D94E2D" w14:paraId="392BAE35" w14:textId="77777777" w:rsidTr="00910687">
        <w:tc>
          <w:tcPr>
            <w:tcW w:w="1603" w:type="dxa"/>
            <w:shd w:val="clear" w:color="auto" w:fill="auto"/>
          </w:tcPr>
          <w:p w14:paraId="775A33F2" w14:textId="346591C1" w:rsidR="00910687" w:rsidRPr="005464CC"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lastRenderedPageBreak/>
              <w:t>Agricultural services earnings, SIC</w:t>
            </w:r>
          </w:p>
        </w:tc>
        <w:tc>
          <w:tcPr>
            <w:tcW w:w="1277" w:type="dxa"/>
            <w:shd w:val="clear" w:color="auto" w:fill="auto"/>
          </w:tcPr>
          <w:p w14:paraId="5A87BF5A" w14:textId="54E91A8A"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shd w:val="clear" w:color="auto" w:fill="auto"/>
          </w:tcPr>
          <w:p w14:paraId="24C4C407" w14:textId="1A30A4E1" w:rsidR="00910687" w:rsidRPr="005464CC" w:rsidRDefault="00910687" w:rsidP="00910687">
            <w:pPr>
              <w:contextualSpacing/>
              <w:jc w:val="both"/>
              <w:rPr>
                <w:rFonts w:asciiTheme="majorHAnsi" w:hAnsiTheme="majorHAnsi" w:cstheme="majorHAnsi"/>
                <w:color w:val="000000" w:themeColor="text1"/>
                <w:sz w:val="17"/>
                <w:szCs w:val="17"/>
              </w:rPr>
            </w:pPr>
            <w:r w:rsidRPr="004F50C8">
              <w:rPr>
                <w:rFonts w:asciiTheme="majorHAnsi" w:hAnsiTheme="majorHAnsi" w:cstheme="majorHAnsi"/>
                <w:color w:val="000000" w:themeColor="text1"/>
                <w:sz w:val="17"/>
                <w:szCs w:val="17"/>
              </w:rPr>
              <w:t>Agricultural Services (SIC) includes establishments primarily engaged in performing soil preparation services, crop services, veterinary services, other animal services, farm labor and management services, and landscape and horticultural services, for others on a contract or fee basis</w:t>
            </w:r>
            <w:r>
              <w:rPr>
                <w:rFonts w:asciiTheme="majorHAnsi" w:hAnsiTheme="majorHAnsi" w:cstheme="majorHAnsi"/>
                <w:color w:val="000000" w:themeColor="text1"/>
                <w:sz w:val="17"/>
                <w:szCs w:val="17"/>
              </w:rPr>
              <w:t>, earnings by SIC industry.</w:t>
            </w:r>
          </w:p>
        </w:tc>
        <w:tc>
          <w:tcPr>
            <w:tcW w:w="1440" w:type="dxa"/>
          </w:tcPr>
          <w:p w14:paraId="2BA0FC56" w14:textId="12961C19"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1969-2000</w:t>
            </w:r>
          </w:p>
        </w:tc>
        <w:tc>
          <w:tcPr>
            <w:tcW w:w="1980" w:type="dxa"/>
          </w:tcPr>
          <w:p w14:paraId="59FD4722"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shd w:val="clear" w:color="auto" w:fill="auto"/>
          </w:tcPr>
          <w:p w14:paraId="649EBFA9" w14:textId="735FB7DB" w:rsidR="00910687" w:rsidRPr="005464CC" w:rsidRDefault="00910687" w:rsidP="00910687">
            <w:pPr>
              <w:contextualSpacing/>
              <w:jc w:val="both"/>
              <w:rPr>
                <w:rFonts w:asciiTheme="majorHAnsi" w:hAnsiTheme="majorHAnsi" w:cstheme="majorHAnsi"/>
                <w:color w:val="000000" w:themeColor="text1"/>
                <w:sz w:val="17"/>
                <w:szCs w:val="17"/>
              </w:rPr>
            </w:pPr>
            <w:r w:rsidRPr="00337F71">
              <w:rPr>
                <w:rFonts w:asciiTheme="majorHAnsi" w:hAnsiTheme="majorHAnsi" w:cstheme="majorHAnsi"/>
                <w:color w:val="000000" w:themeColor="text1"/>
                <w:sz w:val="17"/>
                <w:szCs w:val="17"/>
              </w:rPr>
              <w:t>agserv_earn_sic</w:t>
            </w:r>
          </w:p>
        </w:tc>
      </w:tr>
      <w:tr w:rsidR="00910687" w:rsidRPr="00D94E2D" w14:paraId="0CFF09DC" w14:textId="77777777" w:rsidTr="00910687">
        <w:tc>
          <w:tcPr>
            <w:tcW w:w="1603" w:type="dxa"/>
            <w:tcBorders>
              <w:bottom w:val="single" w:sz="4" w:space="0" w:color="auto"/>
            </w:tcBorders>
            <w:shd w:val="clear" w:color="auto" w:fill="auto"/>
          </w:tcPr>
          <w:p w14:paraId="4D23F903" w14:textId="725C60C7" w:rsidR="00910687" w:rsidRDefault="00E95C84"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Snap benefits</w:t>
            </w:r>
          </w:p>
        </w:tc>
        <w:tc>
          <w:tcPr>
            <w:tcW w:w="1277" w:type="dxa"/>
            <w:tcBorders>
              <w:bottom w:val="single" w:sz="4" w:space="0" w:color="auto"/>
            </w:tcBorders>
            <w:shd w:val="clear" w:color="auto" w:fill="auto"/>
          </w:tcPr>
          <w:p w14:paraId="7814BC3B" w14:textId="41133802" w:rsidR="00910687" w:rsidRDefault="00E95C84"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tcBorders>
              <w:bottom w:val="single" w:sz="4" w:space="0" w:color="auto"/>
            </w:tcBorders>
            <w:shd w:val="clear" w:color="auto" w:fill="auto"/>
          </w:tcPr>
          <w:p w14:paraId="4E8622F6" w14:textId="3BEE0C19" w:rsidR="00910687" w:rsidRPr="004F50C8" w:rsidRDefault="00116CFB" w:rsidP="00116CFB">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 xml:space="preserve">Benefits </w:t>
            </w:r>
            <w:r w:rsidRPr="00116CFB">
              <w:rPr>
                <w:rFonts w:asciiTheme="majorHAnsi" w:hAnsiTheme="majorHAnsi" w:cstheme="majorHAnsi"/>
                <w:color w:val="000000" w:themeColor="text1"/>
                <w:sz w:val="17"/>
                <w:szCs w:val="17"/>
              </w:rPr>
              <w:t>issued to qualifying low-income individuals in order to supplement their ability to purchase food. The state estimates are based on tabulations of the value of the distributed benefits from the Department of Agriculture. The state estimates are allocated to counties based on payments data from the various state departments of social services. When payment data are not available, data on the number of SNAP recipients from Census Bureau's Small Area Income and Poverty Estimates program are used to extrapolate or interpolate.</w:t>
            </w:r>
          </w:p>
        </w:tc>
        <w:tc>
          <w:tcPr>
            <w:tcW w:w="1440" w:type="dxa"/>
            <w:tcBorders>
              <w:bottom w:val="single" w:sz="4" w:space="0" w:color="auto"/>
            </w:tcBorders>
          </w:tcPr>
          <w:p w14:paraId="0AF81734" w14:textId="6C1ABA56" w:rsidR="00910687" w:rsidRDefault="00E95C84"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1969-2019</w:t>
            </w:r>
          </w:p>
        </w:tc>
        <w:tc>
          <w:tcPr>
            <w:tcW w:w="1980" w:type="dxa"/>
            <w:tcBorders>
              <w:bottom w:val="single" w:sz="4" w:space="0" w:color="auto"/>
            </w:tcBorders>
          </w:tcPr>
          <w:p w14:paraId="6A9EE594"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tcBorders>
              <w:bottom w:val="single" w:sz="4" w:space="0" w:color="auto"/>
            </w:tcBorders>
            <w:shd w:val="clear" w:color="auto" w:fill="auto"/>
          </w:tcPr>
          <w:p w14:paraId="6CDA47BD" w14:textId="3975357D" w:rsidR="00910687" w:rsidRPr="00337F71" w:rsidRDefault="00E95C84"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snap</w:t>
            </w:r>
          </w:p>
        </w:tc>
      </w:tr>
      <w:tr w:rsidR="00910687" w:rsidRPr="00D94E2D" w14:paraId="0ED6E248" w14:textId="77777777" w:rsidTr="00910687">
        <w:tc>
          <w:tcPr>
            <w:tcW w:w="1603" w:type="dxa"/>
            <w:tcBorders>
              <w:top w:val="single" w:sz="4" w:space="0" w:color="auto"/>
              <w:bottom w:val="single" w:sz="4" w:space="0" w:color="auto"/>
            </w:tcBorders>
            <w:shd w:val="clear" w:color="auto" w:fill="auto"/>
          </w:tcPr>
          <w:p w14:paraId="484FAF78" w14:textId="6E984912" w:rsidR="00910687" w:rsidRPr="004F50C8" w:rsidRDefault="00910687" w:rsidP="00910687">
            <w:pPr>
              <w:contextualSpacing/>
              <w:rPr>
                <w:rFonts w:asciiTheme="majorHAnsi" w:hAnsiTheme="majorHAnsi" w:cstheme="majorHAnsi"/>
                <w:b/>
                <w:bCs/>
                <w:color w:val="000000" w:themeColor="text1"/>
                <w:sz w:val="17"/>
                <w:szCs w:val="17"/>
              </w:rPr>
            </w:pPr>
            <w:r>
              <w:rPr>
                <w:rFonts w:asciiTheme="majorHAnsi" w:hAnsiTheme="majorHAnsi" w:cstheme="majorHAnsi"/>
                <w:b/>
                <w:bCs/>
                <w:color w:val="000000" w:themeColor="text1"/>
                <w:sz w:val="17"/>
                <w:szCs w:val="17"/>
              </w:rPr>
              <w:t>Compensation of employees</w:t>
            </w:r>
          </w:p>
        </w:tc>
        <w:tc>
          <w:tcPr>
            <w:tcW w:w="1277" w:type="dxa"/>
            <w:tcBorders>
              <w:top w:val="single" w:sz="4" w:space="0" w:color="auto"/>
              <w:bottom w:val="single" w:sz="4" w:space="0" w:color="auto"/>
            </w:tcBorders>
            <w:shd w:val="clear" w:color="auto" w:fill="auto"/>
          </w:tcPr>
          <w:p w14:paraId="340B62BE"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5400" w:type="dxa"/>
            <w:tcBorders>
              <w:top w:val="single" w:sz="4" w:space="0" w:color="auto"/>
              <w:bottom w:val="single" w:sz="4" w:space="0" w:color="auto"/>
            </w:tcBorders>
            <w:shd w:val="clear" w:color="auto" w:fill="auto"/>
          </w:tcPr>
          <w:p w14:paraId="33D7D14A"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440" w:type="dxa"/>
            <w:tcBorders>
              <w:top w:val="single" w:sz="4" w:space="0" w:color="auto"/>
              <w:bottom w:val="single" w:sz="4" w:space="0" w:color="auto"/>
            </w:tcBorders>
          </w:tcPr>
          <w:p w14:paraId="7984DB8C"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980" w:type="dxa"/>
            <w:tcBorders>
              <w:top w:val="single" w:sz="4" w:space="0" w:color="auto"/>
              <w:bottom w:val="single" w:sz="4" w:space="0" w:color="auto"/>
            </w:tcBorders>
          </w:tcPr>
          <w:p w14:paraId="78E777A0"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tcBorders>
              <w:top w:val="single" w:sz="4" w:space="0" w:color="auto"/>
              <w:bottom w:val="single" w:sz="4" w:space="0" w:color="auto"/>
            </w:tcBorders>
            <w:shd w:val="clear" w:color="auto" w:fill="auto"/>
          </w:tcPr>
          <w:p w14:paraId="62E5395F" w14:textId="77777777" w:rsidR="00910687" w:rsidRPr="005464CC" w:rsidRDefault="00910687" w:rsidP="00910687">
            <w:pPr>
              <w:contextualSpacing/>
              <w:jc w:val="both"/>
              <w:rPr>
                <w:rFonts w:asciiTheme="majorHAnsi" w:hAnsiTheme="majorHAnsi" w:cstheme="majorHAnsi"/>
                <w:color w:val="000000" w:themeColor="text1"/>
                <w:sz w:val="17"/>
                <w:szCs w:val="17"/>
              </w:rPr>
            </w:pPr>
          </w:p>
        </w:tc>
      </w:tr>
      <w:tr w:rsidR="00910687" w:rsidRPr="00D94E2D" w14:paraId="3C2A35FA" w14:textId="77777777" w:rsidTr="004F50C8">
        <w:tc>
          <w:tcPr>
            <w:tcW w:w="1603" w:type="dxa"/>
            <w:tcBorders>
              <w:top w:val="single" w:sz="4" w:space="0" w:color="auto"/>
            </w:tcBorders>
            <w:shd w:val="clear" w:color="auto" w:fill="auto"/>
          </w:tcPr>
          <w:p w14:paraId="39B5E81C" w14:textId="46EE44A1" w:rsidR="00910687"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Compensation of employees, SIC</w:t>
            </w:r>
          </w:p>
        </w:tc>
        <w:tc>
          <w:tcPr>
            <w:tcW w:w="1277" w:type="dxa"/>
            <w:tcBorders>
              <w:top w:val="single" w:sz="4" w:space="0" w:color="auto"/>
            </w:tcBorders>
            <w:shd w:val="clear" w:color="auto" w:fill="auto"/>
          </w:tcPr>
          <w:p w14:paraId="129647CD" w14:textId="33CAF91C"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tcBorders>
              <w:top w:val="single" w:sz="4" w:space="0" w:color="auto"/>
            </w:tcBorders>
            <w:shd w:val="clear" w:color="auto" w:fill="auto"/>
          </w:tcPr>
          <w:p w14:paraId="2A4D3DD8" w14:textId="4AC178B0" w:rsidR="00910687" w:rsidRPr="004F50C8" w:rsidRDefault="00910687" w:rsidP="00910687">
            <w:pPr>
              <w:contextualSpacing/>
              <w:jc w:val="both"/>
              <w:rPr>
                <w:rFonts w:asciiTheme="majorHAnsi" w:hAnsiTheme="majorHAnsi" w:cstheme="majorHAnsi"/>
                <w:color w:val="000000" w:themeColor="text1"/>
                <w:sz w:val="17"/>
                <w:szCs w:val="17"/>
              </w:rPr>
            </w:pPr>
            <w:r w:rsidRPr="004F50C8">
              <w:rPr>
                <w:rFonts w:asciiTheme="majorHAnsi" w:hAnsiTheme="majorHAnsi" w:cstheme="majorHAnsi"/>
                <w:color w:val="000000" w:themeColor="text1"/>
                <w:sz w:val="17"/>
                <w:szCs w:val="17"/>
              </w:rPr>
              <w:t>The total remuneration, both monetary and in kind, payable by employers to employees in return for their work during the period. It consists of wages and salaries and of supplements to wages and salaries. Compensation is presented on an accrual basis--that is, it reflects compensation liabilities incurred by the employer in a given period regardless of when the compensation is actually received by the employee</w:t>
            </w:r>
            <w:r>
              <w:rPr>
                <w:rFonts w:asciiTheme="majorHAnsi" w:hAnsiTheme="majorHAnsi" w:cstheme="majorHAnsi"/>
                <w:color w:val="000000" w:themeColor="text1"/>
                <w:sz w:val="17"/>
                <w:szCs w:val="17"/>
              </w:rPr>
              <w:t>, by SIC industry.</w:t>
            </w:r>
          </w:p>
        </w:tc>
        <w:tc>
          <w:tcPr>
            <w:tcW w:w="1440" w:type="dxa"/>
            <w:tcBorders>
              <w:top w:val="single" w:sz="4" w:space="0" w:color="auto"/>
            </w:tcBorders>
          </w:tcPr>
          <w:p w14:paraId="704A4E0C" w14:textId="1C018E04"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w:t>
            </w:r>
            <w:r w:rsidR="00884876">
              <w:rPr>
                <w:rFonts w:asciiTheme="majorHAnsi" w:hAnsiTheme="majorHAnsi" w:cstheme="majorHAnsi"/>
                <w:color w:val="000000" w:themeColor="text1"/>
                <w:sz w:val="17"/>
                <w:szCs w:val="17"/>
              </w:rPr>
              <w:t>98</w:t>
            </w:r>
            <w:r>
              <w:rPr>
                <w:rFonts w:asciiTheme="majorHAnsi" w:hAnsiTheme="majorHAnsi" w:cstheme="majorHAnsi"/>
                <w:color w:val="000000" w:themeColor="text1"/>
                <w:sz w:val="17"/>
                <w:szCs w:val="17"/>
              </w:rPr>
              <w:t>-2000</w:t>
            </w:r>
          </w:p>
        </w:tc>
        <w:tc>
          <w:tcPr>
            <w:tcW w:w="1980" w:type="dxa"/>
            <w:tcBorders>
              <w:top w:val="single" w:sz="4" w:space="0" w:color="auto"/>
            </w:tcBorders>
          </w:tcPr>
          <w:p w14:paraId="6DA1269B"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tcBorders>
              <w:top w:val="single" w:sz="4" w:space="0" w:color="auto"/>
            </w:tcBorders>
            <w:shd w:val="clear" w:color="auto" w:fill="auto"/>
          </w:tcPr>
          <w:p w14:paraId="5A52F913" w14:textId="0C7B5C4F" w:rsidR="00910687" w:rsidRPr="004F50C8"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comp_sic</w:t>
            </w:r>
          </w:p>
        </w:tc>
      </w:tr>
      <w:tr w:rsidR="00910687" w:rsidRPr="00D94E2D" w14:paraId="31FB7A05" w14:textId="77777777" w:rsidTr="004F50C8">
        <w:tc>
          <w:tcPr>
            <w:tcW w:w="1603" w:type="dxa"/>
            <w:shd w:val="clear" w:color="auto" w:fill="auto"/>
          </w:tcPr>
          <w:p w14:paraId="39E1BFE1" w14:textId="79FA409E" w:rsidR="00910687" w:rsidRPr="005464CC"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Compensation of employees, NAICS</w:t>
            </w:r>
          </w:p>
        </w:tc>
        <w:tc>
          <w:tcPr>
            <w:tcW w:w="1277" w:type="dxa"/>
            <w:shd w:val="clear" w:color="auto" w:fill="auto"/>
          </w:tcPr>
          <w:p w14:paraId="248AED76" w14:textId="0C885138"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shd w:val="clear" w:color="auto" w:fill="auto"/>
          </w:tcPr>
          <w:p w14:paraId="00C48FBA" w14:textId="661A53E4"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 by NAICS industry.</w:t>
            </w:r>
          </w:p>
        </w:tc>
        <w:tc>
          <w:tcPr>
            <w:tcW w:w="1440" w:type="dxa"/>
          </w:tcPr>
          <w:p w14:paraId="0FCA8D78" w14:textId="7D6158F8"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2001-2019</w:t>
            </w:r>
          </w:p>
        </w:tc>
        <w:tc>
          <w:tcPr>
            <w:tcW w:w="1980" w:type="dxa"/>
          </w:tcPr>
          <w:p w14:paraId="68A1DF3A"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shd w:val="clear" w:color="auto" w:fill="auto"/>
          </w:tcPr>
          <w:p w14:paraId="24FDA6FA" w14:textId="0A94FD8C" w:rsidR="00910687" w:rsidRPr="005464CC" w:rsidRDefault="00910687" w:rsidP="00910687">
            <w:pPr>
              <w:contextualSpacing/>
              <w:jc w:val="both"/>
              <w:rPr>
                <w:rFonts w:asciiTheme="majorHAnsi" w:hAnsiTheme="majorHAnsi" w:cstheme="majorHAnsi"/>
                <w:color w:val="000000" w:themeColor="text1"/>
                <w:sz w:val="17"/>
                <w:szCs w:val="17"/>
              </w:rPr>
            </w:pPr>
            <w:r w:rsidRPr="004F50C8">
              <w:rPr>
                <w:rFonts w:asciiTheme="majorHAnsi" w:hAnsiTheme="majorHAnsi" w:cstheme="majorHAnsi"/>
                <w:color w:val="000000" w:themeColor="text1"/>
                <w:sz w:val="17"/>
                <w:szCs w:val="17"/>
              </w:rPr>
              <w:t>comp_naics</w:t>
            </w:r>
          </w:p>
        </w:tc>
      </w:tr>
      <w:tr w:rsidR="00910687" w:rsidRPr="00D94E2D" w14:paraId="68A65A47" w14:textId="77777777" w:rsidTr="004F50C8">
        <w:tc>
          <w:tcPr>
            <w:tcW w:w="1603" w:type="dxa"/>
            <w:shd w:val="clear" w:color="auto" w:fill="auto"/>
          </w:tcPr>
          <w:p w14:paraId="196A2302" w14:textId="36D855A3" w:rsidR="00910687"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Farm compensation, SIC</w:t>
            </w:r>
          </w:p>
        </w:tc>
        <w:tc>
          <w:tcPr>
            <w:tcW w:w="1277" w:type="dxa"/>
            <w:shd w:val="clear" w:color="auto" w:fill="auto"/>
          </w:tcPr>
          <w:p w14:paraId="17CDBCD3" w14:textId="48919B51"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shd w:val="clear" w:color="auto" w:fill="auto"/>
          </w:tcPr>
          <w:p w14:paraId="4AD1ADDD" w14:textId="3D9FB46A" w:rsidR="00910687" w:rsidRPr="004F50C8" w:rsidRDefault="00910687" w:rsidP="00910687">
            <w:pPr>
              <w:contextualSpacing/>
              <w:jc w:val="both"/>
              <w:rPr>
                <w:rFonts w:asciiTheme="majorHAnsi" w:hAnsiTheme="majorHAnsi" w:cstheme="majorHAnsi"/>
                <w:color w:val="000000" w:themeColor="text1"/>
                <w:sz w:val="17"/>
                <w:szCs w:val="17"/>
              </w:rPr>
            </w:pPr>
            <w:r w:rsidRPr="004F50C8">
              <w:rPr>
                <w:rFonts w:asciiTheme="majorHAnsi" w:hAnsiTheme="majorHAnsi" w:cstheme="majorHAnsi"/>
                <w:color w:val="000000" w:themeColor="text1"/>
                <w:sz w:val="17"/>
                <w:szCs w:val="17"/>
              </w:rPr>
              <w:t>Farm compensation is the sum of farm wages and salaries and farm supplements to wages and salaries</w:t>
            </w:r>
            <w:r>
              <w:rPr>
                <w:rFonts w:asciiTheme="majorHAnsi" w:hAnsiTheme="majorHAnsi" w:cstheme="majorHAnsi"/>
                <w:color w:val="000000" w:themeColor="text1"/>
                <w:sz w:val="17"/>
                <w:szCs w:val="17"/>
              </w:rPr>
              <w:t>, by SIC industry.</w:t>
            </w:r>
          </w:p>
        </w:tc>
        <w:tc>
          <w:tcPr>
            <w:tcW w:w="1440" w:type="dxa"/>
          </w:tcPr>
          <w:p w14:paraId="6907CE80" w14:textId="1BF00A7C" w:rsidR="00910687"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w:t>
            </w:r>
            <w:r w:rsidR="00884876">
              <w:rPr>
                <w:rFonts w:asciiTheme="majorHAnsi" w:hAnsiTheme="majorHAnsi" w:cstheme="majorHAnsi"/>
                <w:color w:val="000000" w:themeColor="text1"/>
                <w:sz w:val="17"/>
                <w:szCs w:val="17"/>
              </w:rPr>
              <w:t>98</w:t>
            </w:r>
            <w:r>
              <w:rPr>
                <w:rFonts w:asciiTheme="majorHAnsi" w:hAnsiTheme="majorHAnsi" w:cstheme="majorHAnsi"/>
                <w:color w:val="000000" w:themeColor="text1"/>
                <w:sz w:val="17"/>
                <w:szCs w:val="17"/>
              </w:rPr>
              <w:t>-2000</w:t>
            </w:r>
          </w:p>
        </w:tc>
        <w:tc>
          <w:tcPr>
            <w:tcW w:w="1980" w:type="dxa"/>
          </w:tcPr>
          <w:p w14:paraId="6B89EED2"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shd w:val="clear" w:color="auto" w:fill="auto"/>
          </w:tcPr>
          <w:p w14:paraId="259BE4D4" w14:textId="075C4A95" w:rsidR="00910687" w:rsidRPr="004F50C8"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farm_comp_sic</w:t>
            </w:r>
          </w:p>
        </w:tc>
      </w:tr>
      <w:tr w:rsidR="00910687" w:rsidRPr="00D94E2D" w14:paraId="1EB6B6BB" w14:textId="77777777" w:rsidTr="004F50C8">
        <w:tc>
          <w:tcPr>
            <w:tcW w:w="1603" w:type="dxa"/>
            <w:shd w:val="clear" w:color="auto" w:fill="auto"/>
          </w:tcPr>
          <w:p w14:paraId="1E1908E0" w14:textId="79890C96" w:rsidR="00910687" w:rsidRPr="005464CC"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Farm compensation, NAICS</w:t>
            </w:r>
          </w:p>
        </w:tc>
        <w:tc>
          <w:tcPr>
            <w:tcW w:w="1277" w:type="dxa"/>
            <w:shd w:val="clear" w:color="auto" w:fill="auto"/>
          </w:tcPr>
          <w:p w14:paraId="417631A5" w14:textId="08A97138"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shd w:val="clear" w:color="auto" w:fill="auto"/>
          </w:tcPr>
          <w:p w14:paraId="6E5B7096" w14:textId="440F55CF"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 by NAICS industry.</w:t>
            </w:r>
          </w:p>
        </w:tc>
        <w:tc>
          <w:tcPr>
            <w:tcW w:w="1440" w:type="dxa"/>
          </w:tcPr>
          <w:p w14:paraId="44FB2F0A" w14:textId="19B4D8A5"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2001-2019</w:t>
            </w:r>
          </w:p>
        </w:tc>
        <w:tc>
          <w:tcPr>
            <w:tcW w:w="1980" w:type="dxa"/>
          </w:tcPr>
          <w:p w14:paraId="734878E8"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shd w:val="clear" w:color="auto" w:fill="auto"/>
          </w:tcPr>
          <w:p w14:paraId="3E535A29" w14:textId="196D2C79" w:rsidR="00910687" w:rsidRPr="005464CC" w:rsidRDefault="00910687" w:rsidP="00910687">
            <w:pPr>
              <w:contextualSpacing/>
              <w:jc w:val="both"/>
              <w:rPr>
                <w:rFonts w:asciiTheme="majorHAnsi" w:hAnsiTheme="majorHAnsi" w:cstheme="majorHAnsi"/>
                <w:color w:val="000000" w:themeColor="text1"/>
                <w:sz w:val="17"/>
                <w:szCs w:val="17"/>
              </w:rPr>
            </w:pPr>
            <w:r w:rsidRPr="004F50C8">
              <w:rPr>
                <w:rFonts w:asciiTheme="majorHAnsi" w:hAnsiTheme="majorHAnsi" w:cstheme="majorHAnsi"/>
                <w:color w:val="000000" w:themeColor="text1"/>
                <w:sz w:val="17"/>
                <w:szCs w:val="17"/>
              </w:rPr>
              <w:t>farm_comp_naics</w:t>
            </w:r>
          </w:p>
        </w:tc>
      </w:tr>
      <w:tr w:rsidR="00910687" w:rsidRPr="00D94E2D" w14:paraId="7AA735B8" w14:textId="77777777" w:rsidTr="001D7FFC">
        <w:tc>
          <w:tcPr>
            <w:tcW w:w="1603" w:type="dxa"/>
            <w:tcBorders>
              <w:bottom w:val="single" w:sz="4" w:space="0" w:color="auto"/>
            </w:tcBorders>
            <w:shd w:val="clear" w:color="auto" w:fill="auto"/>
          </w:tcPr>
          <w:p w14:paraId="2E5CBAC1" w14:textId="6F8E09B0" w:rsidR="00910687" w:rsidRPr="005464CC"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Agricultural services, SIC</w:t>
            </w:r>
          </w:p>
        </w:tc>
        <w:tc>
          <w:tcPr>
            <w:tcW w:w="1277" w:type="dxa"/>
            <w:tcBorders>
              <w:bottom w:val="single" w:sz="4" w:space="0" w:color="auto"/>
            </w:tcBorders>
            <w:shd w:val="clear" w:color="auto" w:fill="auto"/>
          </w:tcPr>
          <w:p w14:paraId="36753A5B" w14:textId="1099C229"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tcBorders>
              <w:bottom w:val="single" w:sz="4" w:space="0" w:color="auto"/>
            </w:tcBorders>
            <w:shd w:val="clear" w:color="auto" w:fill="auto"/>
          </w:tcPr>
          <w:p w14:paraId="4A4C9065" w14:textId="1C4019F3" w:rsidR="00910687" w:rsidRPr="005464CC" w:rsidRDefault="00910687" w:rsidP="00910687">
            <w:pPr>
              <w:contextualSpacing/>
              <w:jc w:val="both"/>
              <w:rPr>
                <w:rFonts w:asciiTheme="majorHAnsi" w:hAnsiTheme="majorHAnsi" w:cstheme="majorHAnsi"/>
                <w:color w:val="000000" w:themeColor="text1"/>
                <w:sz w:val="17"/>
                <w:szCs w:val="17"/>
              </w:rPr>
            </w:pPr>
            <w:r w:rsidRPr="004F50C8">
              <w:rPr>
                <w:rFonts w:asciiTheme="majorHAnsi" w:hAnsiTheme="majorHAnsi" w:cstheme="majorHAnsi"/>
                <w:color w:val="000000" w:themeColor="text1"/>
                <w:sz w:val="17"/>
                <w:szCs w:val="17"/>
              </w:rPr>
              <w:t>Agricultural Services (SIC) includes establishments primarily engaged in performing soil preparation services, crop services, veterinary services, other animal services, farm labor and management services, and landscape and horticultural services, for others on a contract or fee basis</w:t>
            </w:r>
            <w:r>
              <w:rPr>
                <w:rFonts w:asciiTheme="majorHAnsi" w:hAnsiTheme="majorHAnsi" w:cstheme="majorHAnsi"/>
                <w:color w:val="000000" w:themeColor="text1"/>
                <w:sz w:val="17"/>
                <w:szCs w:val="17"/>
              </w:rPr>
              <w:t>, compensation of employees by SIC industry.</w:t>
            </w:r>
          </w:p>
        </w:tc>
        <w:tc>
          <w:tcPr>
            <w:tcW w:w="1440" w:type="dxa"/>
            <w:tcBorders>
              <w:bottom w:val="single" w:sz="4" w:space="0" w:color="auto"/>
            </w:tcBorders>
          </w:tcPr>
          <w:p w14:paraId="764C5CA3"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980" w:type="dxa"/>
            <w:tcBorders>
              <w:bottom w:val="single" w:sz="4" w:space="0" w:color="auto"/>
            </w:tcBorders>
          </w:tcPr>
          <w:p w14:paraId="6A8AD345"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tcBorders>
              <w:bottom w:val="single" w:sz="4" w:space="0" w:color="auto"/>
            </w:tcBorders>
            <w:shd w:val="clear" w:color="auto" w:fill="auto"/>
          </w:tcPr>
          <w:p w14:paraId="6AD7FA38" w14:textId="0EFAA8DB"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agserv_comp_sic</w:t>
            </w:r>
          </w:p>
        </w:tc>
      </w:tr>
      <w:tr w:rsidR="00910687" w:rsidRPr="00D94E2D" w14:paraId="4488085A" w14:textId="77777777" w:rsidTr="001D7FFC">
        <w:tc>
          <w:tcPr>
            <w:tcW w:w="1603" w:type="dxa"/>
            <w:tcBorders>
              <w:top w:val="single" w:sz="4" w:space="0" w:color="auto"/>
              <w:bottom w:val="single" w:sz="4" w:space="0" w:color="auto"/>
            </w:tcBorders>
            <w:shd w:val="clear" w:color="auto" w:fill="auto"/>
          </w:tcPr>
          <w:p w14:paraId="4AD78703" w14:textId="63762526" w:rsidR="00910687" w:rsidRPr="001D7FFC" w:rsidRDefault="00910687" w:rsidP="00910687">
            <w:pPr>
              <w:contextualSpacing/>
              <w:rPr>
                <w:rFonts w:asciiTheme="majorHAnsi" w:hAnsiTheme="majorHAnsi" w:cstheme="majorHAnsi"/>
                <w:b/>
                <w:bCs/>
                <w:color w:val="000000" w:themeColor="text1"/>
                <w:sz w:val="17"/>
                <w:szCs w:val="17"/>
              </w:rPr>
            </w:pPr>
            <w:commentRangeStart w:id="3"/>
            <w:r w:rsidRPr="001D7FFC">
              <w:rPr>
                <w:rFonts w:asciiTheme="majorHAnsi" w:hAnsiTheme="majorHAnsi" w:cstheme="majorHAnsi"/>
                <w:b/>
                <w:bCs/>
                <w:color w:val="000000" w:themeColor="text1"/>
                <w:sz w:val="17"/>
                <w:szCs w:val="17"/>
              </w:rPr>
              <w:t>Flow of earnings</w:t>
            </w:r>
            <w:commentRangeEnd w:id="3"/>
            <w:r>
              <w:rPr>
                <w:rStyle w:val="CommentReference"/>
              </w:rPr>
              <w:commentReference w:id="3"/>
            </w:r>
          </w:p>
        </w:tc>
        <w:tc>
          <w:tcPr>
            <w:tcW w:w="1277" w:type="dxa"/>
            <w:tcBorders>
              <w:top w:val="single" w:sz="4" w:space="0" w:color="auto"/>
              <w:bottom w:val="single" w:sz="4" w:space="0" w:color="auto"/>
            </w:tcBorders>
            <w:shd w:val="clear" w:color="auto" w:fill="auto"/>
          </w:tcPr>
          <w:p w14:paraId="496355C1"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5400" w:type="dxa"/>
            <w:tcBorders>
              <w:top w:val="single" w:sz="4" w:space="0" w:color="auto"/>
              <w:bottom w:val="single" w:sz="4" w:space="0" w:color="auto"/>
            </w:tcBorders>
            <w:shd w:val="clear" w:color="auto" w:fill="auto"/>
          </w:tcPr>
          <w:p w14:paraId="02DDBAE3"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440" w:type="dxa"/>
            <w:tcBorders>
              <w:top w:val="single" w:sz="4" w:space="0" w:color="auto"/>
              <w:bottom w:val="single" w:sz="4" w:space="0" w:color="auto"/>
            </w:tcBorders>
          </w:tcPr>
          <w:p w14:paraId="0F574DEA"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980" w:type="dxa"/>
            <w:tcBorders>
              <w:top w:val="single" w:sz="4" w:space="0" w:color="auto"/>
              <w:bottom w:val="single" w:sz="4" w:space="0" w:color="auto"/>
            </w:tcBorders>
          </w:tcPr>
          <w:p w14:paraId="2354CD5F"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tcBorders>
              <w:top w:val="single" w:sz="4" w:space="0" w:color="auto"/>
              <w:bottom w:val="single" w:sz="4" w:space="0" w:color="auto"/>
            </w:tcBorders>
            <w:shd w:val="clear" w:color="auto" w:fill="auto"/>
          </w:tcPr>
          <w:p w14:paraId="07578B4F" w14:textId="77777777" w:rsidR="00910687" w:rsidRPr="005464CC" w:rsidRDefault="00910687" w:rsidP="00910687">
            <w:pPr>
              <w:contextualSpacing/>
              <w:jc w:val="both"/>
              <w:rPr>
                <w:rFonts w:asciiTheme="majorHAnsi" w:hAnsiTheme="majorHAnsi" w:cstheme="majorHAnsi"/>
                <w:color w:val="000000" w:themeColor="text1"/>
                <w:sz w:val="17"/>
                <w:szCs w:val="17"/>
              </w:rPr>
            </w:pPr>
          </w:p>
        </w:tc>
      </w:tr>
      <w:tr w:rsidR="00910687" w:rsidRPr="00D94E2D" w14:paraId="33B06E9F" w14:textId="77777777" w:rsidTr="001D7FFC">
        <w:tc>
          <w:tcPr>
            <w:tcW w:w="1603" w:type="dxa"/>
            <w:tcBorders>
              <w:top w:val="single" w:sz="4" w:space="0" w:color="auto"/>
            </w:tcBorders>
            <w:shd w:val="clear" w:color="auto" w:fill="auto"/>
          </w:tcPr>
          <w:p w14:paraId="3BB10373" w14:textId="2A1AF441" w:rsidR="00910687" w:rsidRPr="005464CC"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Inflows of earnings</w:t>
            </w:r>
          </w:p>
        </w:tc>
        <w:tc>
          <w:tcPr>
            <w:tcW w:w="1277" w:type="dxa"/>
            <w:tcBorders>
              <w:top w:val="single" w:sz="4" w:space="0" w:color="auto"/>
            </w:tcBorders>
            <w:shd w:val="clear" w:color="auto" w:fill="auto"/>
          </w:tcPr>
          <w:p w14:paraId="10DE2055" w14:textId="4269FC19"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tcBorders>
              <w:top w:val="single" w:sz="4" w:space="0" w:color="auto"/>
            </w:tcBorders>
            <w:shd w:val="clear" w:color="auto" w:fill="auto"/>
          </w:tcPr>
          <w:p w14:paraId="348B1048"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440" w:type="dxa"/>
            <w:tcBorders>
              <w:top w:val="single" w:sz="4" w:space="0" w:color="auto"/>
            </w:tcBorders>
          </w:tcPr>
          <w:p w14:paraId="55FC64DC" w14:textId="4ABDCB89"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1990-2019</w:t>
            </w:r>
          </w:p>
        </w:tc>
        <w:tc>
          <w:tcPr>
            <w:tcW w:w="1980" w:type="dxa"/>
            <w:tcBorders>
              <w:top w:val="single" w:sz="4" w:space="0" w:color="auto"/>
            </w:tcBorders>
          </w:tcPr>
          <w:p w14:paraId="4EB6296F"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tcBorders>
              <w:top w:val="single" w:sz="4" w:space="0" w:color="auto"/>
            </w:tcBorders>
            <w:shd w:val="clear" w:color="auto" w:fill="auto"/>
          </w:tcPr>
          <w:p w14:paraId="3D60552D" w14:textId="53F3461E"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inflow_earn</w:t>
            </w:r>
          </w:p>
        </w:tc>
      </w:tr>
      <w:tr w:rsidR="00910687" w:rsidRPr="00D94E2D" w14:paraId="23954D3D" w14:textId="77777777" w:rsidTr="005464CC">
        <w:tc>
          <w:tcPr>
            <w:tcW w:w="1603" w:type="dxa"/>
            <w:shd w:val="clear" w:color="auto" w:fill="auto"/>
          </w:tcPr>
          <w:p w14:paraId="7D309021" w14:textId="7AC74187" w:rsidR="00910687" w:rsidRPr="005464CC"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Outflows of earnings</w:t>
            </w:r>
          </w:p>
        </w:tc>
        <w:tc>
          <w:tcPr>
            <w:tcW w:w="1277" w:type="dxa"/>
            <w:shd w:val="clear" w:color="auto" w:fill="auto"/>
          </w:tcPr>
          <w:p w14:paraId="4B1633E1" w14:textId="1DC0001D"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shd w:val="clear" w:color="auto" w:fill="auto"/>
          </w:tcPr>
          <w:p w14:paraId="2DD11C2D"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440" w:type="dxa"/>
          </w:tcPr>
          <w:p w14:paraId="4A32B13B" w14:textId="7521AA97"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1990-2019</w:t>
            </w:r>
          </w:p>
        </w:tc>
        <w:tc>
          <w:tcPr>
            <w:tcW w:w="1980" w:type="dxa"/>
          </w:tcPr>
          <w:p w14:paraId="15C5F7D5"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shd w:val="clear" w:color="auto" w:fill="auto"/>
          </w:tcPr>
          <w:p w14:paraId="66C16039" w14:textId="251834F3"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outflow_earn</w:t>
            </w:r>
          </w:p>
        </w:tc>
      </w:tr>
      <w:tr w:rsidR="00910687" w:rsidRPr="00D94E2D" w14:paraId="2298E651" w14:textId="77777777" w:rsidTr="005464CC">
        <w:tc>
          <w:tcPr>
            <w:tcW w:w="1603" w:type="dxa"/>
            <w:tcBorders>
              <w:bottom w:val="single" w:sz="4" w:space="0" w:color="auto"/>
            </w:tcBorders>
            <w:shd w:val="clear" w:color="auto" w:fill="auto"/>
          </w:tcPr>
          <w:p w14:paraId="02DE5354" w14:textId="0D37F72E" w:rsidR="00910687" w:rsidRPr="005464CC" w:rsidRDefault="00910687" w:rsidP="00910687">
            <w:pPr>
              <w:contextualSpacing/>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Adjustments for residence</w:t>
            </w:r>
          </w:p>
        </w:tc>
        <w:tc>
          <w:tcPr>
            <w:tcW w:w="1277" w:type="dxa"/>
            <w:tcBorders>
              <w:bottom w:val="single" w:sz="4" w:space="0" w:color="auto"/>
            </w:tcBorders>
            <w:shd w:val="clear" w:color="auto" w:fill="auto"/>
          </w:tcPr>
          <w:p w14:paraId="262F7377" w14:textId="5A44FA9A"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1000s of USD$</w:t>
            </w:r>
          </w:p>
        </w:tc>
        <w:tc>
          <w:tcPr>
            <w:tcW w:w="5400" w:type="dxa"/>
            <w:tcBorders>
              <w:bottom w:val="single" w:sz="4" w:space="0" w:color="auto"/>
            </w:tcBorders>
            <w:shd w:val="clear" w:color="auto" w:fill="auto"/>
          </w:tcPr>
          <w:p w14:paraId="056D6DAF"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440" w:type="dxa"/>
            <w:tcBorders>
              <w:bottom w:val="single" w:sz="4" w:space="0" w:color="auto"/>
            </w:tcBorders>
          </w:tcPr>
          <w:p w14:paraId="521587B3" w14:textId="4B415A94"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1990-2019</w:t>
            </w:r>
          </w:p>
        </w:tc>
        <w:tc>
          <w:tcPr>
            <w:tcW w:w="1980" w:type="dxa"/>
            <w:tcBorders>
              <w:bottom w:val="single" w:sz="4" w:space="0" w:color="auto"/>
            </w:tcBorders>
          </w:tcPr>
          <w:p w14:paraId="1F03AF8D" w14:textId="77777777" w:rsidR="00910687" w:rsidRPr="005464CC" w:rsidRDefault="00910687" w:rsidP="00910687">
            <w:pPr>
              <w:contextualSpacing/>
              <w:jc w:val="both"/>
              <w:rPr>
                <w:rFonts w:asciiTheme="majorHAnsi" w:hAnsiTheme="majorHAnsi" w:cstheme="majorHAnsi"/>
                <w:color w:val="000000" w:themeColor="text1"/>
                <w:sz w:val="17"/>
                <w:szCs w:val="17"/>
              </w:rPr>
            </w:pPr>
          </w:p>
        </w:tc>
        <w:tc>
          <w:tcPr>
            <w:tcW w:w="1260" w:type="dxa"/>
            <w:tcBorders>
              <w:bottom w:val="single" w:sz="4" w:space="0" w:color="auto"/>
            </w:tcBorders>
            <w:shd w:val="clear" w:color="auto" w:fill="auto"/>
          </w:tcPr>
          <w:p w14:paraId="6B727FAC" w14:textId="332D6D82" w:rsidR="00910687" w:rsidRPr="005464CC" w:rsidRDefault="00910687" w:rsidP="00910687">
            <w:pPr>
              <w:contextualSpacing/>
              <w:jc w:val="both"/>
              <w:rPr>
                <w:rFonts w:asciiTheme="majorHAnsi" w:hAnsiTheme="majorHAnsi" w:cstheme="majorHAnsi"/>
                <w:color w:val="000000" w:themeColor="text1"/>
                <w:sz w:val="17"/>
                <w:szCs w:val="17"/>
              </w:rPr>
            </w:pPr>
            <w:r>
              <w:rPr>
                <w:rFonts w:asciiTheme="majorHAnsi" w:hAnsiTheme="majorHAnsi" w:cstheme="majorHAnsi"/>
                <w:color w:val="000000" w:themeColor="text1"/>
                <w:sz w:val="17"/>
                <w:szCs w:val="17"/>
              </w:rPr>
              <w:t>resid_adj</w:t>
            </w:r>
          </w:p>
        </w:tc>
      </w:tr>
    </w:tbl>
    <w:p w14:paraId="2783F55D" w14:textId="77777777" w:rsidR="0026576A" w:rsidRDefault="0026576A"/>
    <w:sectPr w:rsidR="0026576A" w:rsidSect="00E64D19">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itta Schumacher" w:date="2021-02-19T15:45:00Z" w:initials="BS">
    <w:p w14:paraId="74EF33BD" w14:textId="08CE63E9" w:rsidR="00BF021D" w:rsidRDefault="00BF021D">
      <w:pPr>
        <w:pStyle w:val="CommentText"/>
      </w:pPr>
      <w:r>
        <w:rPr>
          <w:rStyle w:val="CommentReference"/>
        </w:rPr>
        <w:annotationRef/>
      </w:r>
      <w:r>
        <w:t>@EB – these descriptions are verbatim from BEA for now! We’ll have to change the language for any publications with these data!</w:t>
      </w:r>
    </w:p>
  </w:comment>
  <w:comment w:id="1" w:author="Britta Schumacher" w:date="2021-02-19T15:50:00Z" w:initials="BS">
    <w:p w14:paraId="0553B46B" w14:textId="22EEA653" w:rsidR="00BF021D" w:rsidRDefault="00BF021D">
      <w:pPr>
        <w:pStyle w:val="CommentText"/>
      </w:pPr>
      <w:r>
        <w:rPr>
          <w:rStyle w:val="CommentReference"/>
        </w:rPr>
        <w:annotationRef/>
      </w:r>
      <w:r>
        <w:t>Definition incorrect on website!</w:t>
      </w:r>
    </w:p>
  </w:comment>
  <w:comment w:id="2" w:author="Britta Schumacher" w:date="2021-02-22T18:14:00Z" w:initials="BS">
    <w:p w14:paraId="68CF2BE0" w14:textId="3A248A74" w:rsidR="00482C33" w:rsidRDefault="00482C33">
      <w:pPr>
        <w:pStyle w:val="CommentText"/>
      </w:pPr>
      <w:r>
        <w:rPr>
          <w:rStyle w:val="CommentReference"/>
        </w:rPr>
        <w:annotationRef/>
      </w:r>
      <w:r>
        <w:t>@EB - From CAINC30; unsure why these #’s do not match SIC/NAICS employment numbers… need to think more about this…</w:t>
      </w:r>
    </w:p>
  </w:comment>
  <w:comment w:id="3" w:author="Britta Schumacher" w:date="2021-02-22T16:36:00Z" w:initials="BS">
    <w:p w14:paraId="253CC9DE" w14:textId="74683F50" w:rsidR="00910687" w:rsidRDefault="00910687">
      <w:pPr>
        <w:pStyle w:val="CommentText"/>
      </w:pPr>
      <w:r>
        <w:rPr>
          <w:rStyle w:val="CommentReference"/>
        </w:rPr>
        <w:annotationRef/>
      </w:r>
      <w:r>
        <w:t>@BS</w:t>
      </w:r>
      <w:r w:rsidR="00D57C6D">
        <w:t>/EB</w:t>
      </w:r>
      <w:r>
        <w:t xml:space="preserve"> – need to get more clear on these definitions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EF33BD" w15:done="0"/>
  <w15:commentEx w15:paraId="0553B46B" w15:done="0"/>
  <w15:commentEx w15:paraId="68CF2BE0" w15:done="0"/>
  <w15:commentEx w15:paraId="253CC9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A5B82" w16cex:dateUtc="2021-02-19T22:45:00Z"/>
  <w16cex:commentExtensible w16cex:durableId="23DA5CDC" w16cex:dateUtc="2021-02-19T22:50:00Z"/>
  <w16cex:commentExtensible w16cex:durableId="23DE731F" w16cex:dateUtc="2021-02-23T01:14:00Z"/>
  <w16cex:commentExtensible w16cex:durableId="23DE5C01" w16cex:dateUtc="2021-02-22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EF33BD" w16cid:durableId="23DA5B82"/>
  <w16cid:commentId w16cid:paraId="0553B46B" w16cid:durableId="23DA5CDC"/>
  <w16cid:commentId w16cid:paraId="68CF2BE0" w16cid:durableId="23DE731F"/>
  <w16cid:commentId w16cid:paraId="253CC9DE" w16cid:durableId="23DE5C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tta Schumacher">
    <w15:presenceInfo w15:providerId="Windows Live" w15:userId="49b25dd6f4fc96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914"/>
    <w:rsid w:val="00031E88"/>
    <w:rsid w:val="00070AA6"/>
    <w:rsid w:val="000D177B"/>
    <w:rsid w:val="00116CFB"/>
    <w:rsid w:val="001D7FFC"/>
    <w:rsid w:val="0026576A"/>
    <w:rsid w:val="002E2659"/>
    <w:rsid w:val="00337F71"/>
    <w:rsid w:val="00391A4A"/>
    <w:rsid w:val="003F582D"/>
    <w:rsid w:val="00404486"/>
    <w:rsid w:val="00471BE2"/>
    <w:rsid w:val="00482C33"/>
    <w:rsid w:val="004D6076"/>
    <w:rsid w:val="004F50C8"/>
    <w:rsid w:val="005464CC"/>
    <w:rsid w:val="00577D48"/>
    <w:rsid w:val="00604A6F"/>
    <w:rsid w:val="00637A8F"/>
    <w:rsid w:val="006D006A"/>
    <w:rsid w:val="00777B11"/>
    <w:rsid w:val="007D542F"/>
    <w:rsid w:val="00837EF8"/>
    <w:rsid w:val="00853D10"/>
    <w:rsid w:val="00884876"/>
    <w:rsid w:val="008910D7"/>
    <w:rsid w:val="00910687"/>
    <w:rsid w:val="009125F5"/>
    <w:rsid w:val="00914845"/>
    <w:rsid w:val="00920D5D"/>
    <w:rsid w:val="00937118"/>
    <w:rsid w:val="0093764A"/>
    <w:rsid w:val="0097171D"/>
    <w:rsid w:val="009B0914"/>
    <w:rsid w:val="009D199F"/>
    <w:rsid w:val="00A05A52"/>
    <w:rsid w:val="00AB372A"/>
    <w:rsid w:val="00B36A28"/>
    <w:rsid w:val="00B54EB6"/>
    <w:rsid w:val="00BB3750"/>
    <w:rsid w:val="00BD3840"/>
    <w:rsid w:val="00BF021D"/>
    <w:rsid w:val="00CB0D59"/>
    <w:rsid w:val="00D35336"/>
    <w:rsid w:val="00D57C6D"/>
    <w:rsid w:val="00E64D19"/>
    <w:rsid w:val="00E67265"/>
    <w:rsid w:val="00E943EC"/>
    <w:rsid w:val="00E95C84"/>
    <w:rsid w:val="00E96BAC"/>
    <w:rsid w:val="00F62EEC"/>
    <w:rsid w:val="00FC6F1D"/>
    <w:rsid w:val="00FD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A5FC"/>
  <w15:chartTrackingRefBased/>
  <w15:docId w15:val="{7BD5130D-CD17-403D-8E4B-FDFFE64A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9B091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B0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A8F"/>
    <w:rPr>
      <w:sz w:val="16"/>
      <w:szCs w:val="16"/>
    </w:rPr>
  </w:style>
  <w:style w:type="paragraph" w:styleId="CommentText">
    <w:name w:val="annotation text"/>
    <w:basedOn w:val="Normal"/>
    <w:link w:val="CommentTextChar"/>
    <w:uiPriority w:val="99"/>
    <w:semiHidden/>
    <w:unhideWhenUsed/>
    <w:rsid w:val="00637A8F"/>
    <w:pPr>
      <w:spacing w:line="240" w:lineRule="auto"/>
    </w:pPr>
    <w:rPr>
      <w:sz w:val="20"/>
      <w:szCs w:val="20"/>
    </w:rPr>
  </w:style>
  <w:style w:type="character" w:customStyle="1" w:styleId="CommentTextChar">
    <w:name w:val="Comment Text Char"/>
    <w:basedOn w:val="DefaultParagraphFont"/>
    <w:link w:val="CommentText"/>
    <w:uiPriority w:val="99"/>
    <w:semiHidden/>
    <w:rsid w:val="00637A8F"/>
    <w:rPr>
      <w:sz w:val="20"/>
      <w:szCs w:val="20"/>
    </w:rPr>
  </w:style>
  <w:style w:type="paragraph" w:styleId="CommentSubject">
    <w:name w:val="annotation subject"/>
    <w:basedOn w:val="CommentText"/>
    <w:next w:val="CommentText"/>
    <w:link w:val="CommentSubjectChar"/>
    <w:uiPriority w:val="99"/>
    <w:semiHidden/>
    <w:unhideWhenUsed/>
    <w:rsid w:val="00637A8F"/>
    <w:rPr>
      <w:b/>
      <w:bCs/>
    </w:rPr>
  </w:style>
  <w:style w:type="character" w:customStyle="1" w:styleId="CommentSubjectChar">
    <w:name w:val="Comment Subject Char"/>
    <w:basedOn w:val="CommentTextChar"/>
    <w:link w:val="CommentSubject"/>
    <w:uiPriority w:val="99"/>
    <w:semiHidden/>
    <w:rsid w:val="00637A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841135">
      <w:bodyDiv w:val="1"/>
      <w:marLeft w:val="0"/>
      <w:marRight w:val="0"/>
      <w:marTop w:val="0"/>
      <w:marBottom w:val="0"/>
      <w:divBdr>
        <w:top w:val="none" w:sz="0" w:space="0" w:color="auto"/>
        <w:left w:val="none" w:sz="0" w:space="0" w:color="auto"/>
        <w:bottom w:val="none" w:sz="0" w:space="0" w:color="auto"/>
        <w:right w:val="none" w:sz="0" w:space="0" w:color="auto"/>
      </w:divBdr>
    </w:div>
    <w:div w:id="212835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5</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 Schumacher</dc:creator>
  <cp:keywords/>
  <dc:description/>
  <cp:lastModifiedBy>Britta Schumacher</cp:lastModifiedBy>
  <cp:revision>39</cp:revision>
  <dcterms:created xsi:type="dcterms:W3CDTF">2021-02-19T22:19:00Z</dcterms:created>
  <dcterms:modified xsi:type="dcterms:W3CDTF">2021-03-24T18:47:00Z</dcterms:modified>
</cp:coreProperties>
</file>