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Banking Domain Requirements</w:t>
      </w:r>
    </w:p>
    <w:p>
      <w:r>
        <w:rPr>
          <w:b/>
        </w:rPr>
        <w:t>Generic product and servicing requirements | Version 1.0</w:t>
      </w:r>
    </w:p>
    <w:p>
      <w:r>
        <w:t>This sample specification covers ten common retail banking subdomains and provides linked acceptance criteria for test design. Product names, limits, eligibility, time windows, and calculations are configurable examples, not client-specific requirements or legal interpretations.</w:t>
      </w:r>
    </w:p>
    <w:p>
      <w:pPr>
        <w:pStyle w:val="Heading1"/>
      </w:pPr>
      <w:r>
        <w:t>Scope and assumptions</w:t>
      </w:r>
    </w:p>
    <w:p>
      <w:pPr>
        <w:pStyle w:val="ListBullet"/>
      </w:pPr>
      <w:r>
        <w:t>Subdomains include KYC, deposits, transfers, consumer lending, cards, digital access, statements, fees and interest, disputes, and closure.</w:t>
      </w:r>
    </w:p>
    <w:p>
      <w:pPr>
        <w:pStyle w:val="ListBullet"/>
      </w:pPr>
      <w:r>
        <w:t>The assumed test environment provides synthetic customers, catalog products, region and validation codes, configurable limits, ledger services, and controllable dates.</w:t>
      </w:r>
    </w:p>
    <w:p>
      <w:pPr>
        <w:pStyle w:val="ListBullet"/>
      </w:pPr>
      <w:r>
        <w:t>Market-specific legal duties, limits, rates, retention periods, and approved product decisions must be supplied by the adopting product owner.</w:t>
      </w:r>
    </w:p>
    <w:p>
      <w:pPr>
        <w:pStyle w:val="ListBullet"/>
      </w:pPr>
      <w:r>
        <w:t>Companion workbook provides 30 detailed test cases: positive, negative, and boundary coverage for each requirement, plus data setup and execution fields.</w:t>
      </w:r>
    </w:p>
    <w:p>
      <w:pPr>
        <w:pStyle w:val="Heading1"/>
      </w:pPr>
      <w:r>
        <w:t>Requirement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6324F"/>
          </w:tcPr>
          <w:p>
            <w:pPr>
              <w:spacing w:after="40"/>
            </w:pPr>
            <w:r>
              <w:rPr>
                <w:b/>
                <w:color w:val="FFFFFF"/>
                <w:sz w:val="16"/>
              </w:rPr>
              <w:t>ID</w:t>
            </w:r>
          </w:p>
        </w:tc>
        <w:tc>
          <w:tcPr>
            <w:tcW w:type="dxa" w:w="2484"/>
            <w:shd w:fill="16324F"/>
          </w:tcPr>
          <w:p>
            <w:pPr>
              <w:spacing w:after="40"/>
            </w:pPr>
            <w:r>
              <w:rPr>
                <w:b/>
                <w:color w:val="FFFFFF"/>
                <w:sz w:val="16"/>
              </w:rPr>
              <w:t>Subdomain</w:t>
            </w:r>
          </w:p>
        </w:tc>
        <w:tc>
          <w:tcPr>
            <w:tcW w:type="dxa" w:w="2484"/>
            <w:shd w:fill="16324F"/>
          </w:tcPr>
          <w:p>
            <w:pPr>
              <w:spacing w:after="40"/>
            </w:pPr>
            <w:r>
              <w:rPr>
                <w:b/>
                <w:color w:val="FFFFFF"/>
                <w:sz w:val="16"/>
              </w:rPr>
              <w:t>Requirement</w:t>
            </w:r>
          </w:p>
        </w:tc>
        <w:tc>
          <w:tcPr>
            <w:tcW w:type="dxa" w:w="2484"/>
            <w:shd w:fill="16324F"/>
          </w:tcPr>
          <w:p>
            <w:pPr>
              <w:spacing w:after="40"/>
            </w:pPr>
            <w:r>
              <w:rPr>
                <w:b/>
                <w:color w:val="FFFFFF"/>
                <w:sz w:val="16"/>
              </w:rPr>
              <w:t>Priority</w:t>
            </w:r>
          </w:p>
        </w:tc>
      </w:tr>
      <w:tr>
        <w:tc>
          <w:tcPr>
            <w:tcW w:type="dxa" w:w="2484"/>
          </w:tcPr>
          <w:p>
            <w:pPr>
              <w:spacing w:after="40"/>
            </w:pPr>
            <w:r>
              <w:rPr>
                <w:sz w:val="16"/>
              </w:rPr>
              <w:t>BR-001</w:t>
            </w:r>
          </w:p>
        </w:tc>
        <w:tc>
          <w:tcPr>
            <w:tcW w:type="dxa" w:w="2484"/>
          </w:tcPr>
          <w:p>
            <w:pPr>
              <w:spacing w:after="40"/>
            </w:pPr>
            <w:r>
              <w:rPr>
                <w:sz w:val="16"/>
              </w:rPr>
              <w:t>Customer onboarding and KYC</w:t>
            </w:r>
          </w:p>
        </w:tc>
        <w:tc>
          <w:tcPr>
            <w:tcW w:type="dxa" w:w="2484"/>
          </w:tcPr>
          <w:p>
            <w:pPr>
              <w:spacing w:after="40"/>
            </w:pPr>
            <w:r>
              <w:rPr>
                <w:sz w:val="16"/>
              </w:rPr>
              <w:t>Capture and validate individual customer profile</w:t>
            </w:r>
          </w:p>
        </w:tc>
        <w:tc>
          <w:tcPr>
            <w:tcW w:type="dxa" w:w="2484"/>
          </w:tcPr>
          <w:p>
            <w:pPr>
              <w:spacing w:after="40"/>
            </w:pPr>
            <w:r>
              <w:rPr>
                <w:sz w:val="16"/>
              </w:rPr>
              <w:t>High</w:t>
            </w:r>
          </w:p>
        </w:tc>
      </w:tr>
      <w:tr>
        <w:tc>
          <w:tcPr>
            <w:tcW w:type="dxa" w:w="2484"/>
          </w:tcPr>
          <w:p>
            <w:pPr>
              <w:spacing w:after="40"/>
            </w:pPr>
            <w:r>
              <w:rPr>
                <w:sz w:val="16"/>
              </w:rPr>
              <w:t>BR-002</w:t>
            </w:r>
          </w:p>
        </w:tc>
        <w:tc>
          <w:tcPr>
            <w:tcW w:type="dxa" w:w="2484"/>
          </w:tcPr>
          <w:p>
            <w:pPr>
              <w:spacing w:after="40"/>
            </w:pPr>
            <w:r>
              <w:rPr>
                <w:sz w:val="16"/>
              </w:rPr>
              <w:t>Deposit accounts</w:t>
            </w:r>
          </w:p>
        </w:tc>
        <w:tc>
          <w:tcPr>
            <w:tcW w:type="dxa" w:w="2484"/>
          </w:tcPr>
          <w:p>
            <w:pPr>
              <w:spacing w:after="40"/>
            </w:pPr>
            <w:r>
              <w:rPr>
                <w:sz w:val="16"/>
              </w:rPr>
              <w:t>Open a consumer deposit account</w:t>
            </w:r>
          </w:p>
        </w:tc>
        <w:tc>
          <w:tcPr>
            <w:tcW w:type="dxa" w:w="2484"/>
          </w:tcPr>
          <w:p>
            <w:pPr>
              <w:spacing w:after="40"/>
            </w:pPr>
            <w:r>
              <w:rPr>
                <w:sz w:val="16"/>
              </w:rPr>
              <w:t>High</w:t>
            </w:r>
          </w:p>
        </w:tc>
      </w:tr>
      <w:tr>
        <w:tc>
          <w:tcPr>
            <w:tcW w:type="dxa" w:w="2484"/>
          </w:tcPr>
          <w:p>
            <w:pPr>
              <w:spacing w:after="40"/>
            </w:pPr>
            <w:r>
              <w:rPr>
                <w:sz w:val="16"/>
              </w:rPr>
              <w:t>BR-003</w:t>
            </w:r>
          </w:p>
        </w:tc>
        <w:tc>
          <w:tcPr>
            <w:tcW w:type="dxa" w:w="2484"/>
          </w:tcPr>
          <w:p>
            <w:pPr>
              <w:spacing w:after="40"/>
            </w:pPr>
            <w:r>
              <w:rPr>
                <w:sz w:val="16"/>
              </w:rPr>
              <w:t>Payments and transfers</w:t>
            </w:r>
          </w:p>
        </w:tc>
        <w:tc>
          <w:tcPr>
            <w:tcW w:type="dxa" w:w="2484"/>
          </w:tcPr>
          <w:p>
            <w:pPr>
              <w:spacing w:after="40"/>
            </w:pPr>
            <w:r>
              <w:rPr>
                <w:sz w:val="16"/>
              </w:rPr>
              <w:t>Submit and post an internal transfer</w:t>
            </w:r>
          </w:p>
        </w:tc>
        <w:tc>
          <w:tcPr>
            <w:tcW w:type="dxa" w:w="2484"/>
          </w:tcPr>
          <w:p>
            <w:pPr>
              <w:spacing w:after="40"/>
            </w:pPr>
            <w:r>
              <w:rPr>
                <w:sz w:val="16"/>
              </w:rPr>
              <w:t>High</w:t>
            </w:r>
          </w:p>
        </w:tc>
      </w:tr>
      <w:tr>
        <w:tc>
          <w:tcPr>
            <w:tcW w:type="dxa" w:w="2484"/>
          </w:tcPr>
          <w:p>
            <w:pPr>
              <w:spacing w:after="40"/>
            </w:pPr>
            <w:r>
              <w:rPr>
                <w:sz w:val="16"/>
              </w:rPr>
              <w:t>BR-004</w:t>
            </w:r>
          </w:p>
        </w:tc>
        <w:tc>
          <w:tcPr>
            <w:tcW w:type="dxa" w:w="2484"/>
          </w:tcPr>
          <w:p>
            <w:pPr>
              <w:spacing w:after="40"/>
            </w:pPr>
            <w:r>
              <w:rPr>
                <w:sz w:val="16"/>
              </w:rPr>
              <w:t>Consumer lending</w:t>
            </w:r>
          </w:p>
        </w:tc>
        <w:tc>
          <w:tcPr>
            <w:tcW w:type="dxa" w:w="2484"/>
          </w:tcPr>
          <w:p>
            <w:pPr>
              <w:spacing w:after="40"/>
            </w:pPr>
            <w:r>
              <w:rPr>
                <w:sz w:val="16"/>
              </w:rPr>
              <w:t>Originate and fund an installment loan</w:t>
            </w:r>
          </w:p>
        </w:tc>
        <w:tc>
          <w:tcPr>
            <w:tcW w:type="dxa" w:w="2484"/>
          </w:tcPr>
          <w:p>
            <w:pPr>
              <w:spacing w:after="40"/>
            </w:pPr>
            <w:r>
              <w:rPr>
                <w:sz w:val="16"/>
              </w:rPr>
              <w:t>High</w:t>
            </w:r>
          </w:p>
        </w:tc>
      </w:tr>
      <w:tr>
        <w:tc>
          <w:tcPr>
            <w:tcW w:type="dxa" w:w="2484"/>
          </w:tcPr>
          <w:p>
            <w:pPr>
              <w:spacing w:after="40"/>
            </w:pPr>
            <w:r>
              <w:rPr>
                <w:sz w:val="16"/>
              </w:rPr>
              <w:t>BR-005</w:t>
            </w:r>
          </w:p>
        </w:tc>
        <w:tc>
          <w:tcPr>
            <w:tcW w:type="dxa" w:w="2484"/>
          </w:tcPr>
          <w:p>
            <w:pPr>
              <w:spacing w:after="40"/>
            </w:pPr>
            <w:r>
              <w:rPr>
                <w:sz w:val="16"/>
              </w:rPr>
              <w:t>Cards</w:t>
            </w:r>
          </w:p>
        </w:tc>
        <w:tc>
          <w:tcPr>
            <w:tcW w:type="dxa" w:w="2484"/>
          </w:tcPr>
          <w:p>
            <w:pPr>
              <w:spacing w:after="40"/>
            </w:pPr>
            <w:r>
              <w:rPr>
                <w:sz w:val="16"/>
              </w:rPr>
              <w:t>Issue and manage debit card</w:t>
            </w:r>
          </w:p>
        </w:tc>
        <w:tc>
          <w:tcPr>
            <w:tcW w:type="dxa" w:w="2484"/>
          </w:tcPr>
          <w:p>
            <w:pPr>
              <w:spacing w:after="40"/>
            </w:pPr>
            <w:r>
              <w:rPr>
                <w:sz w:val="16"/>
              </w:rPr>
              <w:t>High</w:t>
            </w:r>
          </w:p>
        </w:tc>
      </w:tr>
      <w:tr>
        <w:tc>
          <w:tcPr>
            <w:tcW w:type="dxa" w:w="2484"/>
          </w:tcPr>
          <w:p>
            <w:pPr>
              <w:spacing w:after="40"/>
            </w:pPr>
            <w:r>
              <w:rPr>
                <w:sz w:val="16"/>
              </w:rPr>
              <w:t>BR-006</w:t>
            </w:r>
          </w:p>
        </w:tc>
        <w:tc>
          <w:tcPr>
            <w:tcW w:type="dxa" w:w="2484"/>
          </w:tcPr>
          <w:p>
            <w:pPr>
              <w:spacing w:after="40"/>
            </w:pPr>
            <w:r>
              <w:rPr>
                <w:sz w:val="16"/>
              </w:rPr>
              <w:t>Digital banking access</w:t>
            </w:r>
          </w:p>
        </w:tc>
        <w:tc>
          <w:tcPr>
            <w:tcW w:type="dxa" w:w="2484"/>
          </w:tcPr>
          <w:p>
            <w:pPr>
              <w:spacing w:after="40"/>
            </w:pPr>
            <w:r>
              <w:rPr>
                <w:sz w:val="16"/>
              </w:rPr>
              <w:t>Authenticate and protect digital sessions</w:t>
            </w:r>
          </w:p>
        </w:tc>
        <w:tc>
          <w:tcPr>
            <w:tcW w:type="dxa" w:w="2484"/>
          </w:tcPr>
          <w:p>
            <w:pPr>
              <w:spacing w:after="40"/>
            </w:pPr>
            <w:r>
              <w:rPr>
                <w:sz w:val="16"/>
              </w:rPr>
              <w:t>High</w:t>
            </w:r>
          </w:p>
        </w:tc>
      </w:tr>
      <w:tr>
        <w:tc>
          <w:tcPr>
            <w:tcW w:type="dxa" w:w="2484"/>
          </w:tcPr>
          <w:p>
            <w:pPr>
              <w:spacing w:after="40"/>
            </w:pPr>
            <w:r>
              <w:rPr>
                <w:sz w:val="16"/>
              </w:rPr>
              <w:t>BR-007</w:t>
            </w:r>
          </w:p>
        </w:tc>
        <w:tc>
          <w:tcPr>
            <w:tcW w:type="dxa" w:w="2484"/>
          </w:tcPr>
          <w:p>
            <w:pPr>
              <w:spacing w:after="40"/>
            </w:pPr>
            <w:r>
              <w:rPr>
                <w:sz w:val="16"/>
              </w:rPr>
              <w:t>Statements and history</w:t>
            </w:r>
          </w:p>
        </w:tc>
        <w:tc>
          <w:tcPr>
            <w:tcW w:type="dxa" w:w="2484"/>
          </w:tcPr>
          <w:p>
            <w:pPr>
              <w:spacing w:after="40"/>
            </w:pPr>
            <w:r>
              <w:rPr>
                <w:sz w:val="16"/>
              </w:rPr>
              <w:t>Generate a period statement</w:t>
            </w:r>
          </w:p>
        </w:tc>
        <w:tc>
          <w:tcPr>
            <w:tcW w:type="dxa" w:w="2484"/>
          </w:tcPr>
          <w:p>
            <w:pPr>
              <w:spacing w:after="40"/>
            </w:pPr>
            <w:r>
              <w:rPr>
                <w:sz w:val="16"/>
              </w:rPr>
              <w:t>Medium</w:t>
            </w:r>
          </w:p>
        </w:tc>
      </w:tr>
      <w:tr>
        <w:tc>
          <w:tcPr>
            <w:tcW w:type="dxa" w:w="2484"/>
          </w:tcPr>
          <w:p>
            <w:pPr>
              <w:spacing w:after="40"/>
            </w:pPr>
            <w:r>
              <w:rPr>
                <w:sz w:val="16"/>
              </w:rPr>
              <w:t>BR-008</w:t>
            </w:r>
          </w:p>
        </w:tc>
        <w:tc>
          <w:tcPr>
            <w:tcW w:type="dxa" w:w="2484"/>
          </w:tcPr>
          <w:p>
            <w:pPr>
              <w:spacing w:after="40"/>
            </w:pPr>
            <w:r>
              <w:rPr>
                <w:sz w:val="16"/>
              </w:rPr>
              <w:t>Fees and interest</w:t>
            </w:r>
          </w:p>
        </w:tc>
        <w:tc>
          <w:tcPr>
            <w:tcW w:type="dxa" w:w="2484"/>
          </w:tcPr>
          <w:p>
            <w:pPr>
              <w:spacing w:after="40"/>
            </w:pPr>
            <w:r>
              <w:rPr>
                <w:sz w:val="16"/>
              </w:rPr>
              <w:t>Apply configured account fees and interest</w:t>
            </w:r>
          </w:p>
        </w:tc>
        <w:tc>
          <w:tcPr>
            <w:tcW w:type="dxa" w:w="2484"/>
          </w:tcPr>
          <w:p>
            <w:pPr>
              <w:spacing w:after="40"/>
            </w:pPr>
            <w:r>
              <w:rPr>
                <w:sz w:val="16"/>
              </w:rPr>
              <w:t>High</w:t>
            </w:r>
          </w:p>
        </w:tc>
      </w:tr>
      <w:tr>
        <w:tc>
          <w:tcPr>
            <w:tcW w:type="dxa" w:w="2484"/>
          </w:tcPr>
          <w:p>
            <w:pPr>
              <w:spacing w:after="40"/>
            </w:pPr>
            <w:r>
              <w:rPr>
                <w:sz w:val="16"/>
              </w:rPr>
              <w:t>BR-009</w:t>
            </w:r>
          </w:p>
        </w:tc>
        <w:tc>
          <w:tcPr>
            <w:tcW w:type="dxa" w:w="2484"/>
          </w:tcPr>
          <w:p>
            <w:pPr>
              <w:spacing w:after="40"/>
            </w:pPr>
            <w:r>
              <w:rPr>
                <w:sz w:val="16"/>
              </w:rPr>
              <w:t>Fraud and disputes</w:t>
            </w:r>
          </w:p>
        </w:tc>
        <w:tc>
          <w:tcPr>
            <w:tcW w:type="dxa" w:w="2484"/>
          </w:tcPr>
          <w:p>
            <w:pPr>
              <w:spacing w:after="40"/>
            </w:pPr>
            <w:r>
              <w:rPr>
                <w:sz w:val="16"/>
              </w:rPr>
              <w:t>Record and track transaction dispute</w:t>
            </w:r>
          </w:p>
        </w:tc>
        <w:tc>
          <w:tcPr>
            <w:tcW w:type="dxa" w:w="2484"/>
          </w:tcPr>
          <w:p>
            <w:pPr>
              <w:spacing w:after="40"/>
            </w:pPr>
            <w:r>
              <w:rPr>
                <w:sz w:val="16"/>
              </w:rPr>
              <w:t>Medium</w:t>
            </w:r>
          </w:p>
        </w:tc>
      </w:tr>
      <w:tr>
        <w:tc>
          <w:tcPr>
            <w:tcW w:type="dxa" w:w="2484"/>
          </w:tcPr>
          <w:p>
            <w:pPr>
              <w:spacing w:after="40"/>
            </w:pPr>
            <w:r>
              <w:rPr>
                <w:sz w:val="16"/>
              </w:rPr>
              <w:t>BR-010</w:t>
            </w:r>
          </w:p>
        </w:tc>
        <w:tc>
          <w:tcPr>
            <w:tcW w:type="dxa" w:w="2484"/>
          </w:tcPr>
          <w:p>
            <w:pPr>
              <w:spacing w:after="40"/>
            </w:pPr>
            <w:r>
              <w:rPr>
                <w:sz w:val="16"/>
              </w:rPr>
              <w:t>Customer servicing and closure</w:t>
            </w:r>
          </w:p>
        </w:tc>
        <w:tc>
          <w:tcPr>
            <w:tcW w:type="dxa" w:w="2484"/>
          </w:tcPr>
          <w:p>
            <w:pPr>
              <w:spacing w:after="40"/>
            </w:pPr>
            <w:r>
              <w:rPr>
                <w:sz w:val="16"/>
              </w:rPr>
              <w:t>Close an eligible deposit account</w:t>
            </w:r>
          </w:p>
        </w:tc>
        <w:tc>
          <w:tcPr>
            <w:tcW w:type="dxa" w:w="2484"/>
          </w:tcPr>
          <w:p>
            <w:pPr>
              <w:spacing w:after="40"/>
            </w:pPr>
            <w:r>
              <w:rPr>
                <w:sz w:val="16"/>
              </w:rPr>
              <w:t>High</w:t>
            </w:r>
          </w:p>
        </w:tc>
      </w:tr>
    </w:tbl>
    <w:p>
      <w:r>
        <w:br w:type="page"/>
      </w:r>
    </w:p>
    <w:p>
      <w:pPr>
        <w:pStyle w:val="Heading1"/>
      </w:pPr>
      <w:r>
        <w:t>Detailed requirements</w:t>
      </w:r>
    </w:p>
    <w:p>
      <w:pPr>
        <w:pStyle w:val="Heading2"/>
      </w:pPr>
      <w:r>
        <w:t>BR-001  Capture and validate individual customer profile</w:t>
      </w:r>
    </w:p>
    <w:p>
      <w:r>
        <w:rPr>
          <w:b/>
        </w:rPr>
        <w:t xml:space="preserve">Subdomain: </w:t>
      </w:r>
      <w:r>
        <w:t>Customer onboarding and KYC</w:t>
      </w:r>
      <w:r>
        <w:rPr>
          <w:b/>
        </w:rPr>
        <w:t xml:space="preserve">   Priority: </w:t>
      </w:r>
      <w:r>
        <w:t>High</w:t>
      </w:r>
    </w:p>
    <w:p>
      <w:r>
        <w:t>Capture required identity, contact, tax-residency, and consent fields; validate mandatory fields and configured formats; retain reviewable submission status.</w:t>
      </w:r>
    </w:p>
    <w:p>
      <w:r>
        <w:rPr>
          <w:b/>
        </w:rPr>
        <w:t xml:space="preserve">Acceptance criteria. </w:t>
      </w:r>
      <w:r>
        <w:t>Valid submission returns a unique customer reference and Pending Review status. Invalid or incomplete fields block submission and identify the field. Consent stores version and timestamp.</w:t>
      </w:r>
    </w:p>
    <w:p>
      <w:r>
        <w:rPr>
          <w:b/>
        </w:rPr>
        <w:t xml:space="preserve">Traceability. </w:t>
      </w:r>
      <w:r>
        <w:t>TC-001-01, TC-001-02, TC-001-03</w:t>
      </w:r>
    </w:p>
    <w:p>
      <w:pPr>
        <w:pStyle w:val="Heading2"/>
      </w:pPr>
      <w:r>
        <w:t>BR-002  Open a consumer deposit account</w:t>
      </w:r>
    </w:p>
    <w:p>
      <w:r>
        <w:rPr>
          <w:b/>
        </w:rPr>
        <w:t xml:space="preserve">Subdomain: </w:t>
      </w:r>
      <w:r>
        <w:t>Deposit accounts</w:t>
      </w:r>
      <w:r>
        <w:rPr>
          <w:b/>
        </w:rPr>
        <w:t xml:space="preserve">   Priority: </w:t>
      </w:r>
      <w:r>
        <w:t>High</w:t>
      </w:r>
    </w:p>
    <w:p>
      <w:r>
        <w:t>Validate eligibility, product, ownership, disclosures, and funding before creating checking or savings account.</w:t>
      </w:r>
    </w:p>
    <w:p>
      <w:r>
        <w:rPr>
          <w:b/>
        </w:rPr>
        <w:t xml:space="preserve">Acceptance criteria. </w:t>
      </w:r>
      <w:r>
        <w:t>Eligible application creates one uniquely numbered Open account with selected ownership and product. Ineligible applicants or unavailable products create no account. Same idempotency key cannot create duplicates.</w:t>
      </w:r>
    </w:p>
    <w:p>
      <w:r>
        <w:rPr>
          <w:b/>
        </w:rPr>
        <w:t xml:space="preserve">Traceability. </w:t>
      </w:r>
      <w:r>
        <w:t>TC-002-01, TC-002-02, TC-002-03</w:t>
      </w:r>
    </w:p>
    <w:p>
      <w:pPr>
        <w:pStyle w:val="Heading2"/>
      </w:pPr>
      <w:r>
        <w:t>BR-003  Submit and post an internal transfer</w:t>
      </w:r>
    </w:p>
    <w:p>
      <w:r>
        <w:rPr>
          <w:b/>
        </w:rPr>
        <w:t xml:space="preserve">Subdomain: </w:t>
      </w:r>
      <w:r>
        <w:t>Payments and transfers</w:t>
      </w:r>
      <w:r>
        <w:rPr>
          <w:b/>
        </w:rPr>
        <w:t xml:space="preserve">   Priority: </w:t>
      </w:r>
      <w:r>
        <w:t>High</w:t>
      </w:r>
    </w:p>
    <w:p>
      <w:r>
        <w:t>Validate source/destination status, ownership, available balance, amount, configured limits, and duplicate request identifiers.</w:t>
      </w:r>
    </w:p>
    <w:p>
      <w:r>
        <w:rPr>
          <w:b/>
        </w:rPr>
        <w:t xml:space="preserve">Acceptance criteria. </w:t>
      </w:r>
      <w:r>
        <w:t>Valid transfer debits and credits equal amounts once. Invalid amount, insufficient funds, closed account, exceeded limit, or duplicate key causes no extra ledger movement.</w:t>
      </w:r>
    </w:p>
    <w:p>
      <w:r>
        <w:rPr>
          <w:b/>
        </w:rPr>
        <w:t xml:space="preserve">Traceability. </w:t>
      </w:r>
      <w:r>
        <w:t>TC-003-01, TC-003-02, TC-003-03</w:t>
      </w:r>
    </w:p>
    <w:p>
      <w:pPr>
        <w:pStyle w:val="Heading2"/>
      </w:pPr>
      <w:r>
        <w:t>BR-004  Originate and fund an installment loan</w:t>
      </w:r>
    </w:p>
    <w:p>
      <w:r>
        <w:rPr>
          <w:b/>
        </w:rPr>
        <w:t xml:space="preserve">Subdomain: </w:t>
      </w:r>
      <w:r>
        <w:t>Consumer lending</w:t>
      </w:r>
      <w:r>
        <w:rPr>
          <w:b/>
        </w:rPr>
        <w:t xml:space="preserve">   Priority: </w:t>
      </w:r>
      <w:r>
        <w:t>High</w:t>
      </w:r>
    </w:p>
    <w:p>
      <w:r>
        <w:t>Collect amount, term, income, and consent; calculate disclosed illustrative payment from configured terms; decision and offer acceptance precede funding.</w:t>
      </w:r>
    </w:p>
    <w:p>
      <w:r>
        <w:rPr>
          <w:b/>
        </w:rPr>
        <w:t xml:space="preserve">Acceptance criteria. </w:t>
      </w:r>
      <w:r>
        <w:t>Valid application receives ID and decision. Estimate uses configured APR, term, and rounding. Declined or out-of-range applications cannot fund; accepted approved offer creates one loan and funding transaction.</w:t>
      </w:r>
    </w:p>
    <w:p>
      <w:r>
        <w:rPr>
          <w:b/>
        </w:rPr>
        <w:t xml:space="preserve">Traceability. </w:t>
      </w:r>
      <w:r>
        <w:t>TC-004-01, TC-004-02, TC-004-03</w:t>
      </w:r>
    </w:p>
    <w:p>
      <w:pPr>
        <w:pStyle w:val="Heading2"/>
      </w:pPr>
      <w:r>
        <w:t>BR-005  Issue and manage debit card</w:t>
      </w:r>
    </w:p>
    <w:p>
      <w:r>
        <w:rPr>
          <w:b/>
        </w:rPr>
        <w:t xml:space="preserve">Subdomain: </w:t>
      </w:r>
      <w:r>
        <w:t>Cards</w:t>
      </w:r>
      <w:r>
        <w:rPr>
          <w:b/>
        </w:rPr>
        <w:t xml:space="preserve">   Priority: </w:t>
      </w:r>
      <w:r>
        <w:t>High</w:t>
      </w:r>
    </w:p>
    <w:p>
      <w:r>
        <w:t>Issue only for eligible open deposit account; maintain card status; enforce activation, expiry, and freeze controls at authorization.</w:t>
      </w:r>
    </w:p>
    <w:p>
      <w:r>
        <w:rPr>
          <w:b/>
        </w:rPr>
        <w:t xml:space="preserve">Acceptance criteria. </w:t>
      </w:r>
      <w:r>
        <w:t>Only active, unfrozen, unexpired card on eligible account may authorize. Declined attempts include reason and create no debit or hold.</w:t>
      </w:r>
    </w:p>
    <w:p>
      <w:r>
        <w:rPr>
          <w:b/>
        </w:rPr>
        <w:t xml:space="preserve">Traceability. </w:t>
      </w:r>
      <w:r>
        <w:t>TC-005-01, TC-005-02, TC-005-03</w:t>
      </w:r>
    </w:p>
    <w:p>
      <w:pPr>
        <w:pStyle w:val="Heading2"/>
      </w:pPr>
      <w:r>
        <w:t>BR-006  Authenticate and protect digital sessions</w:t>
      </w:r>
    </w:p>
    <w:p>
      <w:r>
        <w:rPr>
          <w:b/>
        </w:rPr>
        <w:t xml:space="preserve">Subdomain: </w:t>
      </w:r>
      <w:r>
        <w:t>Digital banking access</w:t>
      </w:r>
      <w:r>
        <w:rPr>
          <w:b/>
        </w:rPr>
        <w:t xml:space="preserve">   Priority: </w:t>
      </w:r>
      <w:r>
        <w:t>High</w:t>
      </w:r>
    </w:p>
    <w:p>
      <w:r>
        <w:t>Authenticate registered users, apply configured MFA and lockout, and enforce session expiry and logout.</w:t>
      </w:r>
    </w:p>
    <w:p>
      <w:r>
        <w:rPr>
          <w:b/>
        </w:rPr>
        <w:t xml:space="preserve">Acceptance criteria. </w:t>
      </w:r>
      <w:r>
        <w:t>Correct credentials plus required factor create session. Generic failures avoid account enumeration. Locked, expired, or logged-out sessions cannot access protected data.</w:t>
      </w:r>
    </w:p>
    <w:p>
      <w:r>
        <w:rPr>
          <w:b/>
        </w:rPr>
        <w:t xml:space="preserve">Traceability. </w:t>
      </w:r>
      <w:r>
        <w:t>TC-006-01, TC-006-02, TC-006-03</w:t>
      </w:r>
    </w:p>
    <w:p>
      <w:pPr>
        <w:pStyle w:val="Heading2"/>
      </w:pPr>
      <w:r>
        <w:t>BR-007  Generate a period statement</w:t>
      </w:r>
    </w:p>
    <w:p>
      <w:r>
        <w:rPr>
          <w:b/>
        </w:rPr>
        <w:t xml:space="preserve">Subdomain: </w:t>
      </w:r>
      <w:r>
        <w:t>Statements and history</w:t>
      </w:r>
      <w:r>
        <w:rPr>
          <w:b/>
        </w:rPr>
        <w:t xml:space="preserve">   Priority: </w:t>
      </w:r>
      <w:r>
        <w:t>Medium</w:t>
      </w:r>
    </w:p>
    <w:p>
      <w:r>
        <w:t>Generate statement for eligible account and period with opening balance, posted activity, fees/interest, and closing balance.</w:t>
      </w:r>
    </w:p>
    <w:p>
      <w:r>
        <w:rPr>
          <w:b/>
        </w:rPr>
        <w:t xml:space="preserve">Acceptance criteria. </w:t>
      </w:r>
      <w:r>
        <w:t>Opening + credits - debits = closing. Pending items excluded unless configured. Invalid requests rejected; repeat generation returns same logical version.</w:t>
      </w:r>
    </w:p>
    <w:p>
      <w:r>
        <w:rPr>
          <w:b/>
        </w:rPr>
        <w:t xml:space="preserve">Traceability. </w:t>
      </w:r>
      <w:r>
        <w:t>TC-007-01, TC-007-02, TC-007-03</w:t>
      </w:r>
    </w:p>
    <w:p>
      <w:pPr>
        <w:pStyle w:val="Heading2"/>
      </w:pPr>
      <w:r>
        <w:t>BR-008  Apply configured account fees and interest</w:t>
      </w:r>
    </w:p>
    <w:p>
      <w:r>
        <w:rPr>
          <w:b/>
        </w:rPr>
        <w:t xml:space="preserve">Subdomain: </w:t>
      </w:r>
      <w:r>
        <w:t>Fees and interest</w:t>
      </w:r>
      <w:r>
        <w:rPr>
          <w:b/>
        </w:rPr>
        <w:t xml:space="preserve">   Priority: </w:t>
      </w:r>
      <w:r>
        <w:t>High</w:t>
      </w:r>
    </w:p>
    <w:p>
      <w:r>
        <w:t>Apply effective-dated configured rules using eligible balance and product terms; trace each posting to rule and cycle.</w:t>
      </w:r>
    </w:p>
    <w:p>
      <w:r>
        <w:rPr>
          <w:b/>
        </w:rPr>
        <w:t xml:space="preserve">Acceptance criteria. </w:t>
      </w:r>
      <w:r>
        <w:t>Eligible account posts configured amount once per cycle; waivers/ineligible balances follow rule; rerun is idempotent.</w:t>
      </w:r>
    </w:p>
    <w:p>
      <w:r>
        <w:rPr>
          <w:b/>
        </w:rPr>
        <w:t xml:space="preserve">Traceability. </w:t>
      </w:r>
      <w:r>
        <w:t>TC-008-01, TC-008-02, TC-008-03</w:t>
      </w:r>
    </w:p>
    <w:p>
      <w:pPr>
        <w:pStyle w:val="Heading2"/>
      </w:pPr>
      <w:r>
        <w:t>BR-009  Record and track transaction dispute</w:t>
      </w:r>
    </w:p>
    <w:p>
      <w:r>
        <w:rPr>
          <w:b/>
        </w:rPr>
        <w:t xml:space="preserve">Subdomain: </w:t>
      </w:r>
      <w:r>
        <w:t>Fraud and disputes</w:t>
      </w:r>
      <w:r>
        <w:rPr>
          <w:b/>
        </w:rPr>
        <w:t xml:space="preserve">   Priority: </w:t>
      </w:r>
      <w:r>
        <w:t>Medium</w:t>
      </w:r>
    </w:p>
    <w:p>
      <w:r>
        <w:t>Accept dispute for eligible posted transaction; capture reason/evidence reference, case ID/status; prevent duplicate case by submission key.</w:t>
      </w:r>
    </w:p>
    <w:p>
      <w:r>
        <w:rPr>
          <w:b/>
        </w:rPr>
        <w:t xml:space="preserve">Acceptance criteria. </w:t>
      </w:r>
      <w:r>
        <w:t>Case links to transaction/account and enters Open. Ineligible or pending transactions are rejected per configured policy. Duplicate key returns existing case.</w:t>
      </w:r>
    </w:p>
    <w:p>
      <w:r>
        <w:rPr>
          <w:b/>
        </w:rPr>
        <w:t xml:space="preserve">Traceability. </w:t>
      </w:r>
      <w:r>
        <w:t>TC-009-01, TC-009-02, TC-009-03</w:t>
      </w:r>
    </w:p>
    <w:p>
      <w:pPr>
        <w:pStyle w:val="Heading2"/>
      </w:pPr>
      <w:r>
        <w:t>BR-010  Close an eligible deposit account</w:t>
      </w:r>
    </w:p>
    <w:p>
      <w:r>
        <w:rPr>
          <w:b/>
        </w:rPr>
        <w:t xml:space="preserve">Subdomain: </w:t>
      </w:r>
      <w:r>
        <w:t>Customer servicing and closure</w:t>
      </w:r>
      <w:r>
        <w:rPr>
          <w:b/>
        </w:rPr>
        <w:t xml:space="preserve">   Priority: </w:t>
      </w:r>
      <w:r>
        <w:t>High</w:t>
      </w:r>
    </w:p>
    <w:p>
      <w:r>
        <w:t>Check status, balances, pending transactions, linked instruments, and configured closure rules before recording closure reason.</w:t>
      </w:r>
    </w:p>
    <w:p>
      <w:r>
        <w:rPr>
          <w:b/>
        </w:rPr>
        <w:t xml:space="preserve">Acceptance criteria. </w:t>
      </w:r>
      <w:r>
        <w:t>Eligible zero-balance account closes once and rejects new transactions. Nonzero balance or blocking pending item prevents closure with reason. Repeat close is idempotent.</w:t>
      </w:r>
    </w:p>
    <w:p>
      <w:r>
        <w:rPr>
          <w:b/>
        </w:rPr>
        <w:t xml:space="preserve">Traceability. </w:t>
      </w:r>
      <w:r>
        <w:t>TC-010-01, TC-010-02, TC-010-03</w:t>
      </w:r>
    </w:p>
    <w:p>
      <w:pPr>
        <w:pStyle w:val="Heading1"/>
      </w:pPr>
      <w:r>
        <w:t>Traceability and use</w:t>
      </w:r>
    </w:p>
    <w:p>
      <w:r>
        <w:t>Requirement IDs use the BR prefix and test IDs carry the corresponding numeric suffix. Each requirement maps to positive, negative, and boundary cases. Use the workbook execution fields to record results. Replace illustrative configurations with approved product decisions before using these examples as acceptance criteria.</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6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