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rFonts w:ascii="Arial" w:cs="Arial" w:eastAsia="Arial" w:hAnsi="Arial"/>
          <w:b/>
          <w:bCs/>
          <w:color w:val="0A0A0A"/>
          <w:sz w:val="72"/>
          <w:szCs w:val="72"/>
        </w:rPr>
        <w:t xml:space="preserve">BLStudio</w:t>
      </w:r>
    </w:p>
    <w:p>
      <w:pPr>
        <w:spacing w:after="40"/>
      </w:pPr>
      <w:r>
        <w:rPr>
          <w:rFonts w:ascii="Arial" w:cs="Arial" w:eastAsia="Arial" w:hAnsi="Arial"/>
          <w:b/>
          <w:bCs/>
          <w:color w:val="5C8A00"/>
          <w:sz w:val="40"/>
          <w:szCs w:val="40"/>
        </w:rPr>
        <w:t xml:space="preserve">ECOSISTEMA DE ADQUISICIÓN</w:t>
      </w:r>
    </w:p>
    <w:p>
      <w:pPr>
        <w:spacing w:after="400"/>
      </w:pPr>
      <w:r>
        <w:rPr>
          <w:rFonts w:ascii="Arial" w:cs="Arial" w:eastAsia="Arial" w:hAnsi="Arial"/>
          <w:color w:val="555555"/>
          <w:sz w:val="26"/>
          <w:szCs w:val="26"/>
        </w:rPr>
        <w:t xml:space="preserve">Plan estratégico para adquirir de 10 a 50 clientes gastronómicos por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4"/>
                <w:szCs w:val="24"/>
              </w:rPr>
              <w:t xml:space="preserve">De agencia que espera a máquina que prospecta.</w:t>
            </w:r>
          </w:p>
          <w:p>
            <w:pPr>
              <w:spacing w:after="0"/>
            </w:pPr>
            <w:r>
              <w:rPr>
                <w:rFonts w:ascii="Arial" w:cs="Arial" w:eastAsia="Arial" w:hAnsi="Arial"/>
                <w:b w:val="false"/>
                <w:bCs w:val="false"/>
                <w:i/>
                <w:iCs/>
                <w:color w:val="555555"/>
                <w:sz w:val="22"/>
                <w:szCs w:val="22"/>
              </w:rPr>
              <w:t xml:space="preserve">La narrativa de Instagram genera confianza. Este sistema genera volumen. Juntos cierran clientes.</w:t>
            </w:r>
          </w:p>
        </w:tc>
      </w:tr>
    </w:tbl>
    <w:p>
      <w:pPr>
        <w:spacing w:before="500"/>
      </w:pPr>
      <w:r>
        <w:rPr>
          <w:rFonts w:ascii="Arial" w:cs="Arial" w:eastAsia="Arial" w:hAnsi="Arial"/>
          <w:color w:val="555555"/>
          <w:sz w:val="20"/>
          <w:szCs w:val="20"/>
        </w:rPr>
        <w:t xml:space="preserve">Documento estratégico · Junio 2026</w:t>
      </w:r>
    </w:p>
    <w:p>
      <w:r>
        <w:rPr>
          <w:rFonts w:ascii="Arial" w:cs="Arial" w:eastAsia="Arial" w:hAnsi="Arial"/>
          <w:color w:val="555555"/>
          <w:sz w:val="20"/>
          <w:szCs w:val="20"/>
        </w:rPr>
        <w:t xml:space="preserve">Servicio: digitalización de operación gastronómica · USD 150 setup + USD 35/mes</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Diagnóstico estratégico</w:t>
      </w:r>
    </w:p>
    <w:p>
      <w:pPr>
        <w:spacing w:after="120" w:before="0"/>
      </w:pPr>
      <w:r>
        <w:rPr>
          <w:rFonts w:ascii="Arial" w:cs="Arial" w:eastAsia="Arial" w:hAnsi="Arial"/>
          <w:color w:val="222222"/>
          <w:sz w:val="22"/>
          <w:szCs w:val="22"/>
        </w:rPr>
        <w:t xml:space="preserve">BLStudio tiene los activos más difíciles de conseguir en este mercado: casos reales, resultados medibles y un producto que ya funciona. Tcocina maneja 150 pedidos un domingo sin errores. Doña Clara, una rotisería con 20 años de operación manual, quedó digitalizada en 2 semanas. aceitelaventera.com aparece primero en Google para su búsqueda. Esa prueba es el cimiento de todo el ecosistema.</w:t>
      </w:r>
    </w:p>
    <w:p>
      <w:pPr>
        <w:spacing w:after="120" w:before="0"/>
      </w:pPr>
      <w:r>
        <w:rPr>
          <w:rFonts w:ascii="Arial" w:cs="Arial" w:eastAsia="Arial" w:hAnsi="Arial"/>
          <w:color w:val="222222"/>
          <w:sz w:val="22"/>
          <w:szCs w:val="22"/>
        </w:rPr>
        <w:t xml:space="preserve">El plan actual descansa sobre dos piezas sólidas: el hilo narrativo de 30 días en Instagram y el panel de gestión CRM. Pero ninguna de las dos resuelve el problema central de la meta planteada.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3"/>
                <w:szCs w:val="23"/>
              </w:rPr>
              <w:t xml:space="preserve">El problema de fondo:</w:t>
            </w:r>
          </w:p>
          <w:p>
            <w:pPr>
              <w:spacing w:after="0"/>
            </w:pPr>
            <w:r>
              <w:rPr>
                <w:rFonts w:ascii="Arial" w:cs="Arial" w:eastAsia="Arial" w:hAnsi="Arial"/>
                <w:b w:val="false"/>
                <w:bCs w:val="false"/>
                <w:color w:val="555555"/>
                <w:sz w:val="21"/>
                <w:szCs w:val="21"/>
              </w:rPr>
              <w:t xml:space="preserve">La narrativa de Instagram es el motor de CONFIANZA, no el motor de VOLUMEN. Una cuenta nueva a 1 post/día genera quizás 5 a 20 conversaciones en todo el mes. Para llegar a 10-50 clientes mensuales falta el brazo que lleve gente nueva, todos los días, a ver esa prueba.</w:t>
            </w:r>
          </w:p>
        </w:tc>
      </w:tr>
    </w:tbl>
    <w:p>
      <w:pPr>
        <w:pStyle w:val="Heading2"/>
      </w:pPr>
      <w:r>
        <w:t xml:space="preserve">Lo que falta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Estación del embudo</w:t>
            </w:r>
          </w:p>
        </w:tc>
        <w:tc>
          <w:tcPr>
            <w:tcW w:type="dxa" w:w="338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Estado actual</w:t>
            </w:r>
          </w:p>
        </w:tc>
        <w:tc>
          <w:tcPr>
            <w:tcW w:type="dxa" w:w="338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Hueco</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Atraer</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Orgánico IG en marcha</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Motor outbound a escala (hueco crítico)</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Capturar</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Lead magnet / oferta de entrada irresistible</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Nutrir</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Hilo narrativo 30 días (excelente)</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Secuencia de seguimiento automatizada</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Convertir</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Objeciones escritas en el hilo</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Landing propia + script de cierre hablado</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Retener</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CRM con health score</w:t>
            </w:r>
          </w:p>
        </w:tc>
        <w:tc>
          <w:tcPr>
            <w:tcW w:type="dxa" w:w="33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Sistema de upsell (escalera de valor)</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Referir</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w:t>
            </w:r>
          </w:p>
        </w:tc>
        <w:tc>
          <w:tcPr>
            <w:tcW w:type="dxa" w:w="33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Lazo de referidos incentivado</w:t>
            </w:r>
          </w:p>
        </w:tc>
      </w:tr>
    </w:tbl>
    <w:p>
      <w:pPr>
        <w:spacing w:after="120"/>
      </w:pPr>
    </w:p>
    <w:p>
      <w:pPr>
        <w:pStyle w:val="Heading1"/>
      </w:pPr>
      <w:r>
        <w:t xml:space="preserve">2. La economía del negocio</w:t>
      </w:r>
    </w:p>
    <w:p>
      <w:pPr>
        <w:spacing w:after="120" w:before="0"/>
      </w:pPr>
      <w:r>
        <w:rPr>
          <w:rFonts w:ascii="Arial" w:cs="Arial" w:eastAsia="Arial" w:hAnsi="Arial"/>
          <w:color w:val="222222"/>
          <w:sz w:val="22"/>
          <w:szCs w:val="22"/>
        </w:rPr>
        <w:t xml:space="preserve">Con USD 35 de mensualidad y USD 150 de setup, la unidad económica solo cierra si el costo de adquisición es bajo. Esto descarta depender de publicidad cara y obliga a un canal outbound barato y de alto volumen como motor principal. Dos consecuencias estratégicas:</w:t>
      </w:r>
    </w:p>
    <w:p>
      <w:pPr>
        <w:pStyle w:val="ListParagraph"/>
        <w:numPr>
          <w:ilvl w:val="0"/>
          <w:numId w:val="2"/>
        </w:numPr>
        <w:spacing w:after="80"/>
      </w:pPr>
      <w:r>
        <w:rPr>
          <w:rFonts w:ascii="Arial" w:cs="Arial" w:eastAsia="Arial" w:hAnsi="Arial"/>
          <w:color w:val="222222"/>
          <w:sz w:val="22"/>
          <w:szCs w:val="22"/>
        </w:rPr>
        <w:t xml:space="preserve">El canal de adquisición primario debe ser outbound manual personalizado (costo casi cero, solo tiempo), no ads como motor principal. Los ads entran después, como amplificador y retargeting.</w:t>
      </w:r>
    </w:p>
    <w:p>
      <w:pPr>
        <w:pStyle w:val="ListParagraph"/>
        <w:numPr>
          <w:ilvl w:val="0"/>
          <w:numId w:val="2"/>
        </w:numPr>
        <w:spacing w:after="80"/>
      </w:pPr>
      <w:r>
        <w:rPr>
          <w:rFonts w:ascii="Arial" w:cs="Arial" w:eastAsia="Arial" w:hAnsi="Arial"/>
          <w:color w:val="222222"/>
          <w:sz w:val="22"/>
          <w:szCs w:val="22"/>
        </w:rPr>
        <w:t xml:space="preserve">La rentabilidad real no está en la mensualidad de entrada, sino en la escalera de valor (upsells) y en el bajísimo costo de los referidos. El plan de USD 35 es la puerta, no el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2"/>
                <w:szCs w:val="22"/>
              </w:rPr>
              <w:t xml:space="preserve">Meta de expansión de ingreso:</w:t>
            </w:r>
          </w:p>
          <w:p>
            <w:pPr>
              <w:spacing w:after="0"/>
            </w:pPr>
            <w:r>
              <w:rPr>
                <w:rFonts w:ascii="Arial" w:cs="Arial" w:eastAsia="Arial" w:hAnsi="Arial"/>
                <w:b w:val="false"/>
                <w:bCs w:val="false"/>
                <w:color w:val="555555"/>
                <w:sz w:val="21"/>
                <w:szCs w:val="21"/>
              </w:rPr>
              <w:t xml:space="preserve">Subir el MRR promedio por cliente de USD 35 a USD 60-100 en los primeros 90 días vía upsell (gestión de Meta Ads, fotografía, SEO agresivo). Eso transforma la economía sin necesidad de cerrar más clientes.</w:t>
            </w:r>
          </w:p>
        </w:tc>
      </w:tr>
    </w:tbl>
    <w:p>
      <w:pPr>
        <w:pStyle w:val="Heading1"/>
      </w:pPr>
      <w:r>
        <w:t xml:space="preserve">3. El modelo de embudo (con números)</w:t>
      </w:r>
    </w:p>
    <w:p>
      <w:pPr>
        <w:spacing w:after="120" w:before="0"/>
      </w:pPr>
      <w:r>
        <w:rPr>
          <w:rFonts w:ascii="Arial" w:cs="Arial" w:eastAsia="Arial" w:hAnsi="Arial"/>
          <w:color w:val="222222"/>
          <w:sz w:val="22"/>
          <w:szCs w:val="22"/>
        </w:rPr>
        <w:t xml:space="preserve">Trabajando hacia atrás desde la meta, con tasas de conversión realistas para un servicio B2B local que llega con prueba fuerte y una demo gratis. Estas tasas son conservadoras; la demo viva pre-armada las mejora.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60"/>
        <w:gridCol w:w="2450"/>
        <w:gridCol w:w="2450"/>
      </w:tblGrid>
      <w:tr>
        <w:trPr>
          <w:tblHeader/>
        </w:trPr>
        <w:tc>
          <w:tcPr>
            <w:tcW w:type="dxa" w:w="300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Etapa</w:t>
            </w:r>
          </w:p>
        </w:tc>
        <w:tc>
          <w:tcPr>
            <w:tcW w:type="dxa" w:w="146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Tasa</w:t>
            </w:r>
          </w:p>
        </w:tc>
        <w:tc>
          <w:tcPr>
            <w:tcW w:type="dxa" w:w="245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Para 10 clientes/mes</w:t>
            </w:r>
          </w:p>
        </w:tc>
        <w:tc>
          <w:tcPr>
            <w:tcW w:type="dxa" w:w="245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Para 30 clientes/mes</w:t>
            </w:r>
          </w:p>
        </w:tc>
      </w:tr>
      <w:tr>
        <w:tc>
          <w:tcPr>
            <w:tcW w:type="dxa" w:w="30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Primer contacto (touch)</w:t>
            </w:r>
          </w:p>
        </w:tc>
        <w:tc>
          <w:tcPr>
            <w:tcW w:type="dxa" w:w="146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w:t>
            </w:r>
          </w:p>
        </w:tc>
        <w:tc>
          <w:tcPr>
            <w:tcW w:type="dxa" w:w="245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800</w:t>
            </w:r>
          </w:p>
        </w:tc>
        <w:tc>
          <w:tcPr>
            <w:tcW w:type="dxa" w:w="245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2.400</w:t>
            </w:r>
          </w:p>
        </w:tc>
      </w:tr>
      <w:tr>
        <w:tc>
          <w:tcPr>
            <w:tcW w:type="dxa" w:w="30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Responde</w:t>
            </w:r>
          </w:p>
        </w:tc>
        <w:tc>
          <w:tcPr>
            <w:tcW w:type="dxa" w:w="146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12%</w:t>
            </w:r>
          </w:p>
        </w:tc>
        <w:tc>
          <w:tcPr>
            <w:tcW w:type="dxa" w:w="245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96</w:t>
            </w:r>
          </w:p>
        </w:tc>
        <w:tc>
          <w:tcPr>
            <w:tcW w:type="dxa" w:w="245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288</w:t>
            </w:r>
          </w:p>
        </w:tc>
      </w:tr>
      <w:tr>
        <w:tc>
          <w:tcPr>
            <w:tcW w:type="dxa" w:w="30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Demo / discovery agendada</w:t>
            </w:r>
          </w:p>
        </w:tc>
        <w:tc>
          <w:tcPr>
            <w:tcW w:type="dxa" w:w="146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35%</w:t>
            </w:r>
          </w:p>
        </w:tc>
        <w:tc>
          <w:tcPr>
            <w:tcW w:type="dxa" w:w="245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34</w:t>
            </w:r>
          </w:p>
        </w:tc>
        <w:tc>
          <w:tcPr>
            <w:tcW w:type="dxa" w:w="245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100</w:t>
            </w:r>
          </w:p>
        </w:tc>
      </w:tr>
      <w:tr>
        <w:tc>
          <w:tcPr>
            <w:tcW w:type="dxa" w:w="30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Cierra</w:t>
            </w:r>
          </w:p>
        </w:tc>
        <w:tc>
          <w:tcPr>
            <w:tcW w:type="dxa" w:w="146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30%</w:t>
            </w:r>
          </w:p>
        </w:tc>
        <w:tc>
          <w:tcPr>
            <w:tcW w:type="dxa" w:w="245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10</w:t>
            </w:r>
          </w:p>
        </w:tc>
        <w:tc>
          <w:tcPr>
            <w:tcW w:type="dxa" w:w="245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30</w:t>
            </w:r>
          </w:p>
        </w:tc>
      </w:tr>
    </w:tbl>
    <w:p>
      <w:pPr>
        <w:spacing w:after="80"/>
      </w:pPr>
    </w:p>
    <w:p>
      <w:pPr>
        <w:spacing w:after="120" w:before="0"/>
      </w:pPr>
      <w:r>
        <w:rPr>
          <w:rFonts w:ascii="Arial" w:cs="Arial" w:eastAsia="Arial" w:hAnsi="Arial"/>
          <w:b/>
          <w:bCs/>
          <w:color w:val="222222"/>
          <w:sz w:val="22"/>
          <w:szCs w:val="22"/>
        </w:rPr>
        <w:t xml:space="preserve">Lo que significa en la operación diaria:</w:t>
      </w:r>
    </w:p>
    <w:p>
      <w:pPr>
        <w:pStyle w:val="ListParagraph"/>
        <w:numPr>
          <w:ilvl w:val="0"/>
          <w:numId w:val="3"/>
        </w:numPr>
        <w:spacing w:after="80"/>
      </w:pPr>
      <w:r>
        <w:rPr>
          <w:rFonts w:ascii="Arial" w:cs="Arial" w:eastAsia="Arial" w:hAnsi="Arial"/>
          <w:color w:val="222222"/>
          <w:sz w:val="22"/>
          <w:szCs w:val="22"/>
        </w:rPr>
        <w:t xml:space="preserve">10 clientes/mes ≈ 40 contactos por día hábil (20 por socio). ~60-90 min diarios. Alcanzable solo con outbound.</w:t>
      </w:r>
    </w:p>
    <w:p>
      <w:pPr>
        <w:pStyle w:val="ListParagraph"/>
        <w:numPr>
          <w:ilvl w:val="0"/>
          <w:numId w:val="3"/>
        </w:numPr>
        <w:spacing w:after="80"/>
      </w:pPr>
      <w:r>
        <w:rPr>
          <w:rFonts w:ascii="Arial" w:cs="Arial" w:eastAsia="Arial" w:hAnsi="Arial"/>
          <w:color w:val="222222"/>
          <w:sz w:val="22"/>
          <w:szCs w:val="22"/>
        </w:rPr>
        <w:t xml:space="preserve">30-50 clientes/mes exige sumar el ecosistema completo: outbound + referidos + retargeting de ads + el orgánico compuesto. Outbound solo no llega a ese piso.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2"/>
                <w:szCs w:val="22"/>
              </w:rPr>
              <w:t xml:space="preserve">Regla maestra del sistema:</w:t>
            </w:r>
          </w:p>
          <w:p>
            <w:pPr>
              <w:spacing w:after="0"/>
            </w:pPr>
            <w:r>
              <w:rPr>
                <w:rFonts w:ascii="Arial" w:cs="Arial" w:eastAsia="Arial" w:hAnsi="Arial"/>
                <w:b w:val="false"/>
                <w:bCs w:val="false"/>
                <w:i/>
                <w:iCs/>
                <w:color w:val="0A0A0A"/>
                <w:sz w:val="21"/>
                <w:szCs w:val="21"/>
              </w:rPr>
              <w:t xml:space="preserve">El outbound lleva al prospecto frío a ver la prueba. La narrativa lo convence. El script lo cierra. Ninguna pieza vende sola: el ecosistema vende.</w:t>
            </w:r>
          </w:p>
        </w:tc>
      </w:tr>
    </w:tbl>
    <w:p>
      <w:r>
        <w:br w:type="page"/>
      </w:r>
    </w:p>
    <w:p>
      <w:pPr>
        <w:pStyle w:val="Heading1"/>
      </w:pPr>
      <w:r>
        <w:t xml:space="preserve">4. El ecosistema de 6 estaciones</w:t>
      </w:r>
    </w:p>
    <w:p>
      <w:pPr>
        <w:spacing w:after="120" w:before="0"/>
      </w:pPr>
      <w:r>
        <w:rPr>
          <w:rFonts w:ascii="Arial" w:cs="Arial" w:eastAsia="Arial" w:hAnsi="Arial"/>
          <w:color w:val="222222"/>
          <w:sz w:val="22"/>
          <w:szCs w:val="22"/>
        </w:rPr>
        <w:t xml:space="preserve">Cada estación tiene un único trabajo. El cliente avanza de una a la siguiente. Lo marcado como NUEVO es lo que construimos ahora; el resto ya existe y se integra.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Estación</w:t>
            </w:r>
          </w:p>
        </w:tc>
        <w:tc>
          <w:tcPr>
            <w:tcW w:type="dxa" w:w="240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Trabajo</w:t>
            </w:r>
          </w:p>
        </w:tc>
        <w:tc>
          <w:tcPr>
            <w:tcW w:type="dxa" w:w="456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Cómo se ejecuta</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1 · Atraer</w:t>
            </w:r>
          </w:p>
        </w:tc>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Llenar el tope del embudo con prospectos correctos.</w:t>
            </w:r>
          </w:p>
        </w:tc>
        <w:tc>
          <w:tcPr>
            <w:tcW w:type="dxa" w:w="456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Orgánico IG (existe) + Motor outbound NUEVO: prospección local ciudad por ciudad, DM→WhatsApp.</w:t>
            </w:r>
          </w:p>
        </w:tc>
      </w:tr>
      <w:tr>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2 · Capturar</w:t>
            </w:r>
          </w:p>
        </w:tc>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Convertir contacto frío en conversación.</w:t>
            </w:r>
          </w:p>
        </w:tc>
        <w:tc>
          <w:tcPr>
            <w:tcW w:type="dxa" w:w="456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Lead magnet NUEVO: demo viva pre-armada del propio local del prospecto + auditoría express como gancho.</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3 · Nutrir</w:t>
            </w:r>
          </w:p>
        </w:tc>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Construir confianza en quien aún no compra.</w:t>
            </w:r>
          </w:p>
        </w:tc>
        <w:tc>
          <w:tcPr>
            <w:tcW w:type="dxa" w:w="456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Hilo narrativo 30 días (existe) + secuencia de seguimiento. El prospecto ve la prueba mientras decide.</w:t>
            </w:r>
          </w:p>
        </w:tc>
      </w:tr>
      <w:tr>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4 · Convertir</w:t>
            </w:r>
          </w:p>
        </w:tc>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Transformar interés en cliente que paga.</w:t>
            </w:r>
          </w:p>
        </w:tc>
        <w:tc>
          <w:tcPr>
            <w:tcW w:type="dxa" w:w="456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Script de cierre NUEVO: discovery, objeciones, cierre + landing de venta con casos reales.</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5 · Retener / Expandir</w:t>
            </w:r>
          </w:p>
        </w:tc>
        <w:tc>
          <w:tcPr>
            <w:tcW w:type="dxa" w:w="24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Aumentar el valor de cada cliente.</w:t>
            </w:r>
          </w:p>
        </w:tc>
        <w:tc>
          <w:tcPr>
            <w:tcW w:type="dxa" w:w="456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CRM con health score (existe) + escalera de valor NUEVA: upsell a USD 60-100 MRR.</w:t>
            </w:r>
          </w:p>
        </w:tc>
      </w:tr>
      <w:tr>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6 · Referir</w:t>
            </w:r>
          </w:p>
        </w:tc>
        <w:tc>
          <w:tcPr>
            <w:tcW w:type="dxa" w:w="24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Multiplicar sin subir el gasto.</w:t>
            </w:r>
          </w:p>
        </w:tc>
        <w:tc>
          <w:tcPr>
            <w:tcW w:type="dxa" w:w="456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Lazo de referidos NUEVO: 1 mes gratis por cada referido que cierra. El boca a boca gastronómico local.</w:t>
            </w:r>
          </w:p>
        </w:tc>
      </w:tr>
    </w:tbl>
    <w:p>
      <w:pPr>
        <w:spacing w:after="80"/>
      </w:pPr>
    </w:p>
    <w:p>
      <w:pPr>
        <w:spacing w:after="120" w:before="0"/>
      </w:pPr>
      <w:r>
        <w:rPr>
          <w:rFonts w:ascii="Arial" w:cs="Arial" w:eastAsia="Arial" w:hAnsi="Arial"/>
          <w:b/>
          <w:bCs/>
          <w:color w:val="222222"/>
          <w:sz w:val="22"/>
          <w:szCs w:val="22"/>
        </w:rPr>
        <w:t xml:space="preserve">El recorrido completo, de extremo a extremo: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F4F4F4" w:val="clear"/>
            <w:tcMar>
              <w:top w:type="dxa" w:w="140"/>
              <w:left w:type="dxa" w:w="200"/>
              <w:bottom w:type="dxa" w:w="140"/>
              <w:right w:type="dxa" w:w="160"/>
            </w:tcMar>
          </w:tcPr>
          <w:p>
            <w:pPr>
              <w:spacing w:after="80"/>
            </w:pPr>
            <w:r>
              <w:rPr>
                <w:rFonts w:ascii="Arial" w:cs="Arial" w:eastAsia="Arial" w:hAnsi="Arial"/>
                <w:b/>
                <w:bCs/>
                <w:color w:val="0A0A0A"/>
                <w:sz w:val="20"/>
                <w:szCs w:val="20"/>
              </w:rPr>
              <w:t xml:space="preserve">Outbound frío  →  Auditoría / Demo viva  →  Demo entregada  →  Oferta 150+35  →  Resultado mes 1  →  Upsell  +  Referido</w:t>
            </w:r>
          </w:p>
          <w:p>
            <w:pPr>
              <w:spacing w:after="0"/>
            </w:pPr>
            <w:r>
              <w:rPr>
                <w:rFonts w:ascii="Arial" w:cs="Arial" w:eastAsia="Arial" w:hAnsi="Arial"/>
                <w:b w:val="false"/>
                <w:bCs w:val="false"/>
                <w:i/>
                <w:iCs/>
                <w:color w:val="555555"/>
                <w:sz w:val="19"/>
                <w:szCs w:val="19"/>
              </w:rPr>
              <w:t xml:space="preserve">Cada flecha es un punto donde el CRM registra el avance del prospecto y dispara la siguiente acción.</w:t>
            </w:r>
          </w:p>
        </w:tc>
      </w:tr>
    </w:tbl>
    <w:p>
      <w:pPr>
        <w:pStyle w:val="Heading1"/>
      </w:pPr>
      <w:r>
        <w:t xml:space="preserve">5. Las piezas que se construyen ahora</w:t>
      </w:r>
    </w:p>
    <w:p>
      <w:pPr>
        <w:spacing w:after="120" w:before="0"/>
      </w:pPr>
      <w:r>
        <w:rPr>
          <w:rFonts w:ascii="Arial" w:cs="Arial" w:eastAsia="Arial" w:hAnsi="Arial"/>
          <w:color w:val="222222"/>
          <w:sz w:val="22"/>
          <w:szCs w:val="22"/>
        </w:rPr>
        <w:t xml:space="preserve">Cada una tiene su playbook operativo en la bóveda (archivos .md), listo para ejecutar. Resumen de qué hace cada uno:</w:t>
      </w:r>
    </w:p>
    <w:p>
      <w:pPr>
        <w:pStyle w:val="Heading2"/>
      </w:pPr>
      <w:r>
        <w:t xml:space="preserve">Motor outbound</w:t>
      </w:r>
    </w:p>
    <w:p>
      <w:pPr>
        <w:spacing w:after="120" w:before="0"/>
      </w:pPr>
      <w:r>
        <w:rPr>
          <w:rFonts w:ascii="Arial" w:cs="Arial" w:eastAsia="Arial" w:hAnsi="Arial"/>
          <w:color w:val="222222"/>
          <w:sz w:val="22"/>
          <w:szCs w:val="22"/>
        </w:rPr>
        <w:t xml:space="preserve">El brazo de volumen. Targeting por rubro caliente (hamburgueserías, parrillas, rotiserías, pizzerías) y por ciudad secundaria donde ya hay prueba local. Plantillas de DM, WhatsApp y email con personalización real. Secuencia de 3 toques + reactivación a 30 días. Meta: 40 contactos nuevos por día hábil. Estrategia geográfica: dominar una ciudad a la vez para que el boca a boca y los referidos se compongan.</w:t>
      </w:r>
    </w:p>
    <w:p>
      <w:pPr>
        <w:pStyle w:val="Heading2"/>
      </w:pPr>
      <w:r>
        <w:t xml:space="preserve">Oferta y lead magnet</w:t>
      </w:r>
    </w:p>
    <w:p>
      <w:pPr>
        <w:spacing w:after="120" w:before="0"/>
      </w:pPr>
      <w:r>
        <w:rPr>
          <w:rFonts w:ascii="Arial" w:cs="Arial" w:eastAsia="Arial" w:hAnsi="Arial"/>
          <w:color w:val="222222"/>
          <w:sz w:val="22"/>
          <w:szCs w:val="22"/>
        </w:rPr>
        <w:t xml:space="preserve">El reductor de fricción. El lead magnet primario es la demo viva: una versión real del menú digital y la ficha de Google del local del prospecto, armada con su info pública y mostrada en una llamada de 10 minutos. Costo marginal casi cero porque el sistema ya está construido; impacto altísimo porque pasa de 'me vendés algo abstracto' a 'esto ya existe, solo falta activarlo'. Encima viaja la escalera de valor que lleva el MRR de 35 a 60-100.</w:t>
      </w:r>
    </w:p>
    <w:p>
      <w:pPr>
        <w:pStyle w:val="Heading2"/>
      </w:pPr>
      <w:r>
        <w:t xml:space="preserve">Script de cierre</w:t>
      </w:r>
    </w:p>
    <w:p>
      <w:pPr>
        <w:spacing w:after="120" w:before="0"/>
      </w:pPr>
      <w:r>
        <w:rPr>
          <w:rFonts w:ascii="Arial" w:cs="Arial" w:eastAsia="Arial" w:hAnsi="Arial"/>
          <w:color w:val="222222"/>
          <w:sz w:val="22"/>
          <w:szCs w:val="22"/>
        </w:rPr>
        <w:t xml:space="preserve">El convertidor. Discovery para que el dueño nombre su propio dolor, presentación conectando la demo con ese dolor, manejo de las objeciones más comunes (precio, tecnología, 'ya tengo Instagram', 'lo tengo que pensar') y cierre por asunción con próximo paso y fecha concreta. Las objeciones ya estaban escritas en la narrativa; acá se vuelven respuestas habladas.</w:t>
      </w:r>
    </w:p>
    <w:p>
      <w:pPr>
        <w:pStyle w:val="Heading2"/>
      </w:pPr>
      <w:r>
        <w:t xml:space="preserve">Landing de venta (siguiente build)</w:t>
      </w:r>
    </w:p>
    <w:p>
      <w:pPr>
        <w:spacing w:after="120" w:before="0"/>
      </w:pPr>
      <w:r>
        <w:rPr>
          <w:rFonts w:ascii="Arial" w:cs="Arial" w:eastAsia="Arial" w:hAnsi="Arial"/>
          <w:color w:val="222222"/>
          <w:sz w:val="22"/>
          <w:szCs w:val="22"/>
        </w:rPr>
        <w:t xml:space="preserve">La página propia de conversión: casos reales arriba (Tcocina, Doña Clara, La Ventera con captura del #1 en Google), oferta clara, y un único CTA hacia el WhatsApp. Es el destino del link en bio de Instagram y del cierre de cada secuencia outbound. Hoy no existe y es la próxima pieza recomendada.</w:t>
      </w:r>
    </w:p>
    <w:p>
      <w:r>
        <w:br w:type="page"/>
      </w:r>
    </w:p>
    <w:p>
      <w:pPr>
        <w:pStyle w:val="Heading1"/>
      </w:pPr>
      <w:r>
        <w:t xml:space="preserve">6. Plan de ejecución a 90 días</w:t>
      </w:r>
    </w:p>
    <w:p>
      <w:pPr>
        <w:spacing w:after="120" w:before="0"/>
      </w:pPr>
      <w:r>
        <w:rPr>
          <w:rFonts w:ascii="Arial" w:cs="Arial" w:eastAsia="Arial" w:hAnsi="Arial"/>
          <w:color w:val="222222"/>
          <w:sz w:val="22"/>
          <w:szCs w:val="22"/>
        </w:rPr>
        <w:t xml:space="preserve">La secuencia importa: primero se monta el motor de volumen y la oferta, después se amplifica. No tiene sentido invertir en ads antes de tener el outbound, la demo y el script andando.</w:t>
      </w:r>
    </w:p>
    <w:p>
      <w:pPr>
        <w:pStyle w:val="Heading2"/>
      </w:pPr>
      <w:r>
        <w:t xml:space="preserve">Mes 1 — Montar el motor (objetivo: 5-10 clientes)</w:t>
      </w:r>
    </w:p>
    <w:p>
      <w:pPr>
        <w:pStyle w:val="ListParagraph"/>
        <w:numPr>
          <w:ilvl w:val="0"/>
          <w:numId w:val="3"/>
        </w:numPr>
        <w:spacing w:after="80"/>
      </w:pPr>
      <w:r>
        <w:rPr>
          <w:rFonts w:ascii="Arial" w:cs="Arial" w:eastAsia="Arial" w:hAnsi="Arial"/>
          <w:b/>
          <w:bCs/>
          <w:color w:val="222222"/>
          <w:sz w:val="22"/>
          <w:szCs w:val="22"/>
        </w:rPr>
        <w:t xml:space="preserve">Semana 1: armar lista de 200 targets en la primera ciudad. Activar plantillas de outbound. Empezar 40 contactos/día.</w:t>
      </w:r>
    </w:p>
    <w:p>
      <w:pPr>
        <w:pStyle w:val="ListParagraph"/>
        <w:numPr>
          <w:ilvl w:val="0"/>
          <w:numId w:val="3"/>
        </w:numPr>
        <w:spacing w:after="80"/>
      </w:pPr>
      <w:r>
        <w:rPr>
          <w:rFonts w:ascii="Arial" w:cs="Arial" w:eastAsia="Arial" w:hAnsi="Arial"/>
          <w:color w:val="222222"/>
          <w:sz w:val="22"/>
          <w:szCs w:val="22"/>
        </w:rPr>
        <w:t xml:space="preserve">Semana 1-2: poner a correr el hilo narrativo de julio (ya planificado) como prueba social en paralelo.</w:t>
      </w:r>
    </w:p>
    <w:p>
      <w:pPr>
        <w:pStyle w:val="ListParagraph"/>
        <w:numPr>
          <w:ilvl w:val="0"/>
          <w:numId w:val="3"/>
        </w:numPr>
        <w:spacing w:after="80"/>
      </w:pPr>
      <w:r>
        <w:rPr>
          <w:rFonts w:ascii="Arial" w:cs="Arial" w:eastAsia="Arial" w:hAnsi="Arial"/>
          <w:color w:val="222222"/>
          <w:sz w:val="22"/>
          <w:szCs w:val="22"/>
        </w:rPr>
        <w:t xml:space="preserve">Semana 2: primeras demos vivas entregadas. Afinar el script de cierre con objeciones reales que aparezcan.</w:t>
      </w:r>
    </w:p>
    <w:p>
      <w:pPr>
        <w:pStyle w:val="ListParagraph"/>
        <w:numPr>
          <w:ilvl w:val="0"/>
          <w:numId w:val="3"/>
        </w:numPr>
        <w:spacing w:after="80"/>
      </w:pPr>
      <w:r>
        <w:rPr>
          <w:rFonts w:ascii="Arial" w:cs="Arial" w:eastAsia="Arial" w:hAnsi="Arial"/>
          <w:color w:val="222222"/>
          <w:sz w:val="22"/>
          <w:szCs w:val="22"/>
        </w:rPr>
        <w:t xml:space="preserve">Semana 3-4: cerrar los primeros clientes. Publicar la landing de venta. Documentar cada cierre en el CRM.</w:t>
      </w:r>
    </w:p>
    <w:p>
      <w:pPr>
        <w:pStyle w:val="Heading2"/>
      </w:pPr>
      <w:r>
        <w:t xml:space="preserve">Mes 2 — Optimizar y componer (objetivo: 10-20 clientes)</w:t>
      </w:r>
    </w:p>
    <w:p>
      <w:pPr>
        <w:pStyle w:val="ListParagraph"/>
        <w:numPr>
          <w:ilvl w:val="0"/>
          <w:numId w:val="3"/>
        </w:numPr>
        <w:spacing w:after="80"/>
      </w:pPr>
      <w:r>
        <w:rPr>
          <w:rFonts w:ascii="Arial" w:cs="Arial" w:eastAsia="Arial" w:hAnsi="Arial"/>
          <w:b/>
          <w:bCs/>
          <w:color w:val="222222"/>
          <w:sz w:val="22"/>
          <w:szCs w:val="22"/>
        </w:rPr>
        <w:t xml:space="preserve">Pedir referidos a los primeros clientes en el momento de entregar resultado. Activar el incentivo de 1 mes gratis.</w:t>
      </w:r>
    </w:p>
    <w:p>
      <w:pPr>
        <w:pStyle w:val="ListParagraph"/>
        <w:numPr>
          <w:ilvl w:val="0"/>
          <w:numId w:val="3"/>
        </w:numPr>
        <w:spacing w:after="80"/>
      </w:pPr>
      <w:r>
        <w:rPr>
          <w:rFonts w:ascii="Arial" w:cs="Arial" w:eastAsia="Arial" w:hAnsi="Arial"/>
          <w:color w:val="222222"/>
          <w:sz w:val="22"/>
          <w:szCs w:val="22"/>
        </w:rPr>
        <w:t xml:space="preserve">Empezar upsells a los clientes del mes 1 (gestión de ads, fotografía). Subir el MRR promedio.</w:t>
      </w:r>
    </w:p>
    <w:p>
      <w:pPr>
        <w:pStyle w:val="ListParagraph"/>
        <w:numPr>
          <w:ilvl w:val="0"/>
          <w:numId w:val="3"/>
        </w:numPr>
        <w:spacing w:after="80"/>
      </w:pPr>
      <w:r>
        <w:rPr>
          <w:rFonts w:ascii="Arial" w:cs="Arial" w:eastAsia="Arial" w:hAnsi="Arial"/>
          <w:color w:val="222222"/>
          <w:sz w:val="22"/>
          <w:szCs w:val="22"/>
        </w:rPr>
        <w:t xml:space="preserve">Lanzar retargeting de Meta Ads a quienes vieron la narrativa o visitaron la landing (CBO, presupuesto chico).</w:t>
      </w:r>
    </w:p>
    <w:p>
      <w:pPr>
        <w:pStyle w:val="ListParagraph"/>
        <w:numPr>
          <w:ilvl w:val="0"/>
          <w:numId w:val="3"/>
        </w:numPr>
        <w:spacing w:after="80"/>
      </w:pPr>
      <w:r>
        <w:rPr>
          <w:rFonts w:ascii="Arial" w:cs="Arial" w:eastAsia="Arial" w:hAnsi="Arial"/>
          <w:color w:val="222222"/>
          <w:sz w:val="22"/>
          <w:szCs w:val="22"/>
        </w:rPr>
        <w:t xml:space="preserve">Expandir el outbound a una segunda ciudad usando los casos del mes 1 como apertura.</w:t>
      </w:r>
    </w:p>
    <w:p>
      <w:pPr>
        <w:pStyle w:val="Heading2"/>
      </w:pPr>
      <w:r>
        <w:t xml:space="preserve">Mes 3 — Escalar (objetivo: 20-30+ clientes)</w:t>
      </w:r>
    </w:p>
    <w:p>
      <w:pPr>
        <w:pStyle w:val="ListParagraph"/>
        <w:numPr>
          <w:ilvl w:val="0"/>
          <w:numId w:val="3"/>
        </w:numPr>
        <w:spacing w:after="80"/>
      </w:pPr>
      <w:r>
        <w:rPr>
          <w:rFonts w:ascii="Arial" w:cs="Arial" w:eastAsia="Arial" w:hAnsi="Arial"/>
          <w:b/>
          <w:bCs/>
          <w:color w:val="222222"/>
          <w:sz w:val="22"/>
          <w:szCs w:val="22"/>
        </w:rPr>
        <w:t xml:space="preserve">El lazo de referidos ya aporta 30-40% de los cierres. El costo de adquisición baja.</w:t>
      </w:r>
    </w:p>
    <w:p>
      <w:pPr>
        <w:pStyle w:val="ListParagraph"/>
        <w:numPr>
          <w:ilvl w:val="0"/>
          <w:numId w:val="3"/>
        </w:numPr>
        <w:spacing w:after="80"/>
      </w:pPr>
      <w:r>
        <w:rPr>
          <w:rFonts w:ascii="Arial" w:cs="Arial" w:eastAsia="Arial" w:hAnsi="Arial"/>
          <w:color w:val="222222"/>
          <w:sz w:val="22"/>
          <w:szCs w:val="22"/>
        </w:rPr>
        <w:t xml:space="preserve">Ads escalan con creativos basados en los posts de mejor rendimiento de la narrativa.</w:t>
      </w:r>
    </w:p>
    <w:p>
      <w:pPr>
        <w:pStyle w:val="ListParagraph"/>
        <w:numPr>
          <w:ilvl w:val="0"/>
          <w:numId w:val="3"/>
        </w:numPr>
        <w:spacing w:after="80"/>
      </w:pPr>
      <w:r>
        <w:rPr>
          <w:rFonts w:ascii="Arial" w:cs="Arial" w:eastAsia="Arial" w:hAnsi="Arial"/>
          <w:color w:val="222222"/>
          <w:sz w:val="22"/>
          <w:szCs w:val="22"/>
        </w:rPr>
        <w:t xml:space="preserve">Sistematizar la entrega: plantillas de onboarding para cerrar el cuello de botella de producción.</w:t>
      </w:r>
    </w:p>
    <w:p>
      <w:pPr>
        <w:pStyle w:val="ListParagraph"/>
        <w:numPr>
          <w:ilvl w:val="0"/>
          <w:numId w:val="3"/>
        </w:numPr>
        <w:spacing w:after="80"/>
      </w:pPr>
      <w:r>
        <w:rPr>
          <w:rFonts w:ascii="Arial" w:cs="Arial" w:eastAsia="Arial" w:hAnsi="Arial"/>
          <w:color w:val="222222"/>
          <w:sz w:val="22"/>
          <w:szCs w:val="22"/>
        </w:rPr>
        <w:t xml:space="preserve">Evaluar sumar una persona o automatización para sostener el ritmo de outbound mientras los socios cierran.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2"/>
                <w:szCs w:val="22"/>
              </w:rPr>
              <w:t xml:space="preserve">Por qué este orden:</w:t>
            </w:r>
          </w:p>
          <w:p>
            <w:pPr>
              <w:spacing w:after="0"/>
            </w:pPr>
            <w:r>
              <w:rPr>
                <w:rFonts w:ascii="Arial" w:cs="Arial" w:eastAsia="Arial" w:hAnsi="Arial"/>
                <w:b w:val="false"/>
                <w:bCs w:val="false"/>
                <w:color w:val="555555"/>
                <w:sz w:val="21"/>
                <w:szCs w:val="21"/>
              </w:rPr>
              <w:t xml:space="preserve">Volumen primero (outbound + oferta), conversión segundo (script + landing), amplificación tercero (referidos + ads). Invertir en ads sin el motor montado quema plata. Pedir referidos sin clientes felices no funciona. El orden es la estrategia.</w:t>
            </w:r>
          </w:p>
        </w:tc>
      </w:tr>
    </w:tbl>
    <w:p>
      <w:pPr>
        <w:pStyle w:val="Heading1"/>
      </w:pPr>
      <w:r>
        <w:t xml:space="preserve">7. KPIs del ecosistema</w:t>
      </w:r>
    </w:p>
    <w:p>
      <w:pPr>
        <w:spacing w:after="120" w:before="0"/>
      </w:pPr>
      <w:r>
        <w:rPr>
          <w:rFonts w:ascii="Arial" w:cs="Arial" w:eastAsia="Arial" w:hAnsi="Arial"/>
          <w:color w:val="222222"/>
          <w:sz w:val="22"/>
          <w:szCs w:val="22"/>
        </w:rPr>
        <w:t xml:space="preserve">Qué medir en cada estación para saber dónde está el cuello de botella. Si los cierres no llegan, el número que falla te dice exactamente qué pieza arreglar.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Estación</w:t>
            </w:r>
          </w:p>
        </w:tc>
        <w:tc>
          <w:tcPr>
            <w:tcW w:type="dxa" w:w="368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Métrica clave</w:t>
            </w:r>
          </w:p>
        </w:tc>
        <w:tc>
          <w:tcPr>
            <w:tcW w:type="dxa" w:w="3080"/>
            <w:tcBorders>
              <w:top w:val="single" w:color="D9D9D9" w:sz="1"/>
              <w:left w:val="single" w:color="D9D9D9" w:sz="1"/>
              <w:bottom w:val="single" w:color="D9D9D9" w:sz="1"/>
              <w:right w:val="single" w:color="D9D9D9" w:sz="1"/>
            </w:tcBorders>
            <w:shd w:fill="0A0A0A" w:val="clear"/>
            <w:tcMar>
              <w:top w:type="dxa" w:w="90"/>
              <w:left w:type="dxa" w:w="130"/>
              <w:bottom w:type="dxa" w:w="90"/>
              <w:right w:type="dxa" w:w="130"/>
            </w:tcMar>
          </w:tcPr>
          <w:p>
            <w:r>
              <w:rPr>
                <w:rFonts w:ascii="Arial" w:cs="Arial" w:eastAsia="Arial" w:hAnsi="Arial"/>
                <w:b/>
                <w:bCs/>
                <w:color w:val="5C8A00"/>
                <w:sz w:val="20"/>
                <w:szCs w:val="20"/>
              </w:rPr>
              <w:t xml:space="preserve">Meta saludable</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Atraer</w:t>
            </w:r>
          </w:p>
        </w:tc>
        <w:tc>
          <w:tcPr>
            <w:tcW w:type="dxa" w:w="36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Contactos nuevos / día hábil</w:t>
            </w:r>
          </w:p>
        </w:tc>
        <w:tc>
          <w:tcPr>
            <w:tcW w:type="dxa" w:w="30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40 (20 por socio)</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Capturar</w:t>
            </w:r>
          </w:p>
        </w:tc>
        <w:tc>
          <w:tcPr>
            <w:tcW w:type="dxa" w:w="36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Tasa de respuesta a outbound</w:t>
            </w:r>
          </w:p>
        </w:tc>
        <w:tc>
          <w:tcPr>
            <w:tcW w:type="dxa" w:w="30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 12%</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Nutrir</w:t>
            </w:r>
          </w:p>
        </w:tc>
        <w:tc>
          <w:tcPr>
            <w:tcW w:type="dxa" w:w="36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Visitas a perfil + guardados (IG)</w:t>
            </w:r>
          </w:p>
        </w:tc>
        <w:tc>
          <w:tcPr>
            <w:tcW w:type="dxa" w:w="30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Tendencia creciente semanal</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Convertir</w:t>
            </w:r>
          </w:p>
        </w:tc>
        <w:tc>
          <w:tcPr>
            <w:tcW w:type="dxa" w:w="36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Respuesta → demo agendada</w:t>
            </w:r>
          </w:p>
        </w:tc>
        <w:tc>
          <w:tcPr>
            <w:tcW w:type="dxa" w:w="30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 35%</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Convertir</w:t>
            </w:r>
          </w:p>
        </w:tc>
        <w:tc>
          <w:tcPr>
            <w:tcW w:type="dxa" w:w="36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Demo → cierre</w:t>
            </w:r>
          </w:p>
        </w:tc>
        <w:tc>
          <w:tcPr>
            <w:tcW w:type="dxa" w:w="30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 30%</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Retener</w:t>
            </w:r>
          </w:p>
        </w:tc>
        <w:tc>
          <w:tcPr>
            <w:tcW w:type="dxa" w:w="36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MRR promedio por cliente</w:t>
            </w:r>
          </w:p>
        </w:tc>
        <w:tc>
          <w:tcPr>
            <w:tcW w:type="dxa" w:w="30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USD 35 → 60-100 en 90 días</w:t>
            </w:r>
          </w:p>
        </w:tc>
      </w:tr>
      <w:tr>
        <w:tc>
          <w:tcPr>
            <w:tcW w:type="dxa" w:w="260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bCs/>
                <w:color w:val="222222"/>
                <w:sz w:val="21"/>
                <w:szCs w:val="21"/>
              </w:rPr>
              <w:t xml:space="preserve">Retener</w:t>
            </w:r>
          </w:p>
        </w:tc>
        <w:tc>
          <w:tcPr>
            <w:tcW w:type="dxa" w:w="36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Health score promedio</w:t>
            </w:r>
          </w:p>
        </w:tc>
        <w:tc>
          <w:tcPr>
            <w:tcW w:type="dxa" w:w="3080"/>
            <w:tcBorders>
              <w:top w:val="single" w:color="D9D9D9" w:sz="1"/>
              <w:left w:val="single" w:color="D9D9D9" w:sz="1"/>
              <w:bottom w:val="single" w:color="D9D9D9" w:sz="1"/>
              <w:right w:val="single" w:color="D9D9D9" w:sz="1"/>
            </w:tcBorders>
            <w:shd w:fill="FFFFFF" w:val="clear"/>
            <w:tcMar>
              <w:top w:type="dxa" w:w="90"/>
              <w:left w:type="dxa" w:w="130"/>
              <w:bottom w:type="dxa" w:w="90"/>
              <w:right w:type="dxa" w:w="130"/>
            </w:tcMar>
          </w:tcPr>
          <w:p>
            <w:r>
              <w:rPr>
                <w:rFonts w:ascii="Arial" w:cs="Arial" w:eastAsia="Arial" w:hAnsi="Arial"/>
                <w:b w:val="false"/>
                <w:bCs w:val="false"/>
                <w:color w:val="222222"/>
                <w:sz w:val="21"/>
                <w:szCs w:val="21"/>
              </w:rPr>
              <w:t xml:space="preserve">≥ 80 / 100</w:t>
            </w:r>
          </w:p>
        </w:tc>
      </w:tr>
      <w:tr>
        <w:tc>
          <w:tcPr>
            <w:tcW w:type="dxa" w:w="260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bCs/>
                <w:color w:val="222222"/>
                <w:sz w:val="21"/>
                <w:szCs w:val="21"/>
              </w:rPr>
              <w:t xml:space="preserve">Referir</w:t>
            </w:r>
          </w:p>
        </w:tc>
        <w:tc>
          <w:tcPr>
            <w:tcW w:type="dxa" w:w="36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 de cierres vía referido</w:t>
            </w:r>
          </w:p>
        </w:tc>
        <w:tc>
          <w:tcPr>
            <w:tcW w:type="dxa" w:w="3080"/>
            <w:tcBorders>
              <w:top w:val="single" w:color="D9D9D9" w:sz="1"/>
              <w:left w:val="single" w:color="D9D9D9" w:sz="1"/>
              <w:bottom w:val="single" w:color="D9D9D9" w:sz="1"/>
              <w:right w:val="single" w:color="D9D9D9" w:sz="1"/>
            </w:tcBorders>
            <w:shd w:fill="F4F4F4" w:val="clear"/>
            <w:tcMar>
              <w:top w:type="dxa" w:w="90"/>
              <w:left w:type="dxa" w:w="130"/>
              <w:bottom w:type="dxa" w:w="90"/>
              <w:right w:type="dxa" w:w="130"/>
            </w:tcMar>
          </w:tcPr>
          <w:p>
            <w:r>
              <w:rPr>
                <w:rFonts w:ascii="Arial" w:cs="Arial" w:eastAsia="Arial" w:hAnsi="Arial"/>
                <w:b w:val="false"/>
                <w:bCs w:val="false"/>
                <w:color w:val="222222"/>
                <w:sz w:val="21"/>
                <w:szCs w:val="21"/>
              </w:rPr>
              <w:t xml:space="preserve">30-40% al mes 3</w:t>
            </w:r>
          </w:p>
        </w:tc>
      </w:tr>
    </w:tbl>
    <w:p>
      <w:pPr>
        <w:spacing w:after="80"/>
      </w:pPr>
    </w:p>
    <w:p>
      <w:pPr>
        <w:spacing w:after="120" w:before="0"/>
      </w:pPr>
      <w:r>
        <w:rPr>
          <w:rFonts w:ascii="Arial" w:cs="Arial" w:eastAsia="Arial" w:hAnsi="Arial"/>
          <w:i/>
          <w:iCs/>
          <w:color w:val="555555"/>
          <w:sz w:val="22"/>
          <w:szCs w:val="22"/>
        </w:rPr>
        <w:t xml:space="preserve">Todos estos números viven en el panel CRM. El Cockpit los muestra agregados día a día; el embudo deja de ser una teoría y se vuelve un tablero.</w:t>
      </w:r>
    </w:p>
    <w:p>
      <w:r>
        <w:br w:type="page"/>
      </w:r>
    </w:p>
    <w:p>
      <w:pPr>
        <w:pStyle w:val="Heading1"/>
      </w:pPr>
      <w:r>
        <w:t xml:space="preserve">8. La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5C8A00" w:sz="18"/>
              <w:bottom w:val="single" w:color="D9D9D9" w:sz="1"/>
              <w:right w:val="single" w:color="D9D9D9" w:sz="1"/>
            </w:tcBorders>
            <w:shd w:fill="EEF7DD" w:val="clear"/>
            <w:tcMar>
              <w:top w:type="dxa" w:w="140"/>
              <w:left w:type="dxa" w:w="200"/>
              <w:bottom w:type="dxa" w:w="140"/>
              <w:right w:type="dxa" w:w="160"/>
            </w:tcMar>
          </w:tcPr>
          <w:p>
            <w:pPr>
              <w:spacing w:after="80"/>
            </w:pPr>
            <w:r>
              <w:rPr>
                <w:rFonts w:ascii="Arial" w:cs="Arial" w:eastAsia="Arial" w:hAnsi="Arial"/>
                <w:b/>
                <w:bCs/>
                <w:color w:val="0A0A0A"/>
                <w:sz w:val="24"/>
                <w:szCs w:val="24"/>
              </w:rPr>
              <w:t xml:space="preserve">Tu narrativa de Instagram es la prueba, no el alcance.</w:t>
            </w:r>
          </w:p>
          <w:p>
            <w:pPr>
              <w:spacing w:after="0"/>
            </w:pPr>
            <w:r>
              <w:rPr>
                <w:rFonts w:ascii="Arial" w:cs="Arial" w:eastAsia="Arial" w:hAnsi="Arial"/>
                <w:b w:val="false"/>
                <w:bCs w:val="false"/>
                <w:color w:val="555555"/>
                <w:sz w:val="22"/>
                <w:szCs w:val="22"/>
              </w:rPr>
              <w:t xml:space="preserve">Necesitás un brazo outbound que lleve gente fría a ver esa prueba, una oferta que elimine la fricción de entrada, un script que cierre, y un lazo de referidos que multiplique. Eso es el ecosistema. Lo demás ya lo tenés.</w:t>
            </w:r>
          </w:p>
        </w:tc>
      </w:tr>
    </w:tbl>
    <w:p>
      <w:pPr>
        <w:spacing w:after="120"/>
      </w:pPr>
    </w:p>
    <w:p>
      <w:pPr>
        <w:spacing w:after="120" w:before="0"/>
      </w:pPr>
      <w:r>
        <w:rPr>
          <w:rFonts w:ascii="Arial" w:cs="Arial" w:eastAsia="Arial" w:hAnsi="Arial"/>
          <w:color w:val="222222"/>
          <w:sz w:val="22"/>
          <w:szCs w:val="22"/>
        </w:rPr>
        <w:t xml:space="preserve">El camino a 10-50 clientes por mes no pasa por publicar más, sino por construir el sistema que convierte la prueba que ya tenés en conversaciones, y las conversaciones en clientes. Las piezas operativas están escritas y listas para ejecutar. El primer paso es la lista de 200 targets y los primeros 40 contactos.</w:t>
      </w:r>
    </w:p>
    <w:p>
      <w:pPr>
        <w:spacing w:after="120"/>
      </w:pPr>
    </w:p>
    <w:p>
      <w:pPr>
        <w:spacing w:after="120" w:before="0"/>
      </w:pPr>
      <w:r>
        <w:rPr>
          <w:rFonts w:ascii="Arial" w:cs="Arial" w:eastAsia="Arial" w:hAnsi="Arial"/>
          <w:b/>
          <w:bCs/>
          <w:color w:val="222222"/>
          <w:sz w:val="22"/>
          <w:szCs w:val="22"/>
        </w:rPr>
        <w:t xml:space="preserve">Playbooks operativos en la bóveda:</w:t>
      </w:r>
    </w:p>
    <w:p>
      <w:pPr>
        <w:pStyle w:val="ListParagraph"/>
        <w:numPr>
          <w:ilvl w:val="0"/>
          <w:numId w:val="3"/>
        </w:numPr>
        <w:spacing w:after="80"/>
      </w:pPr>
      <w:r>
        <w:rPr>
          <w:rFonts w:ascii="Arial" w:cs="Arial" w:eastAsia="Arial" w:hAnsi="Arial"/>
          <w:color w:val="222222"/>
          <w:sz w:val="22"/>
          <w:szCs w:val="22"/>
        </w:rPr>
        <w:t xml:space="preserve">BLStudio — Motor outbound.md</w:t>
      </w:r>
    </w:p>
    <w:p>
      <w:pPr>
        <w:pStyle w:val="ListParagraph"/>
        <w:numPr>
          <w:ilvl w:val="0"/>
          <w:numId w:val="3"/>
        </w:numPr>
        <w:spacing w:after="80"/>
      </w:pPr>
      <w:r>
        <w:rPr>
          <w:rFonts w:ascii="Arial" w:cs="Arial" w:eastAsia="Arial" w:hAnsi="Arial"/>
          <w:color w:val="222222"/>
          <w:sz w:val="22"/>
          <w:szCs w:val="22"/>
        </w:rPr>
        <w:t xml:space="preserve">BLStudio — Oferta y lead magnet.md</w:t>
      </w:r>
    </w:p>
    <w:p>
      <w:pPr>
        <w:pStyle w:val="ListParagraph"/>
        <w:numPr>
          <w:ilvl w:val="0"/>
          <w:numId w:val="3"/>
        </w:numPr>
        <w:spacing w:after="80"/>
      </w:pPr>
      <w:r>
        <w:rPr>
          <w:rFonts w:ascii="Arial" w:cs="Arial" w:eastAsia="Arial" w:hAnsi="Arial"/>
          <w:color w:val="222222"/>
          <w:sz w:val="22"/>
          <w:szCs w:val="22"/>
        </w:rPr>
        <w:t xml:space="preserve">BLStudio — Script de cierre.md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BLStudio · Ecosistema de adquisición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C8A00" w:sz="14" w:space="6"/>
      </w:pBdr>
      <w:spacing w:after="200" w:before="320"/>
      <w:outlineLvl w:val="0"/>
    </w:pPr>
    <w:rPr>
      <w:rFonts w:ascii="Arial" w:cs="Arial" w:eastAsia="Arial" w:hAnsi="Arial"/>
      <w:b/>
      <w:bCs/>
      <w:color w:val="0A0A0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5C8A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BLStudio — Ecosistema de adquisición</dc:title>
  <dc:creator>BLStudio</dc:creator>
  <cp:lastModifiedBy>Un-named</cp:lastModifiedBy>
  <cp:revision>1</cp:revision>
  <dcterms:created xsi:type="dcterms:W3CDTF">2026-06-23T22:09:15.349Z</dcterms:created>
  <dcterms:modified xsi:type="dcterms:W3CDTF">2026-06-23T22:09:15.349Z</dcterms:modified>
</cp:coreProperties>
</file>

<file path=docProps/custom.xml><?xml version="1.0" encoding="utf-8"?>
<Properties xmlns="http://schemas.openxmlformats.org/officeDocument/2006/custom-properties" xmlns:vt="http://schemas.openxmlformats.org/officeDocument/2006/docPropsVTypes"/>
</file>