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Задание на редизайн AsBoljam</w:t>
      </w:r>
    </w:p>
    <w:p>
      <w:r>
        <w:t>Ты работаешь над существующим AsBoljam как продуктовый дизайнер и frontend разработчик. Реализуй выразительный редизайн по визуальному направлению Nory, подробно заданному в этом документе. Создай тёмную сливовую оболочку, тёплую бумажную рабочую область и крупные лавандовые акценты. Зелёно белая концепция предыдущей версии отменена. Пользователь должен понимать продукт без знакомства с прогнозированием и закупками.</w:t>
      </w:r>
    </w:p>
    <w:p>
      <w:r>
        <w:t>Главный результат: человек понимает, какие данные подготовить, что уже загружено, почему расчёт доступен или заблокирован, сколько блюд ожидается продать, какие ингредиенты нужны и какое решение он утверждает. Хороший внешний вид должен помогать этому пониманию.</w:t>
      </w:r>
    </w:p>
    <w:p>
      <w:pPr>
        <w:pStyle w:val="Heading2"/>
      </w:pPr>
      <w:r>
        <w:t>Как использовать этот промпт</w:t>
      </w:r>
    </w:p>
    <w:p>
      <w:r>
        <w:t>Весь документ представляет собой единое задание для Claude Code или другого агента разработки с доступом к репозиторию. Прочитай его целиком, затем проверь актуальный код. Описанные ниже экраны и компоненты являются требованиями к будущему интерфейсу. Текущие ограничения продукта сохраняются, пока отдельная задача явно не разрешает их менять.</w:t>
      </w:r>
    </w:p>
    <w:p>
      <w:pPr>
        <w:pStyle w:val="Heading2"/>
      </w:pPr>
      <w:r>
        <w:t>Контекст проекта</w:t>
      </w:r>
    </w:p>
    <w:p>
      <w:pPr>
        <w:pStyle w:val="ListBullet"/>
      </w:pPr>
      <w:r>
        <w:t>Репозиторий bltangenss/asboljam-diploma, ветка main. Рабочий каталог C:\Users\ASUS\Desktop\Diplomwork. Продолжай существующий проект, сохрани незакоммиченные изменения других задач.</w:t>
      </w:r>
    </w:p>
    <w:p>
      <w:pPr>
        <w:pStyle w:val="ListBullet"/>
      </w:pPr>
      <w:r>
        <w:t>Веб приложение: React 19, TypeScript, Vite, lucide-react. API: FastAPI и SQLAlchemy. Расчёты выполняются отдельным worker через очередь в базе данных.</w:t>
      </w:r>
    </w:p>
    <w:p>
      <w:pPr>
        <w:pStyle w:val="ListBullet"/>
      </w:pPr>
      <w:r>
        <w:t>Язык по умолчанию казахский, второй язык русский. Валюта тенге. Количества, даты, филиал, режим данных и единицы измерения должны оставаться понятными на любом экране.</w:t>
      </w:r>
    </w:p>
    <w:p>
      <w:pPr>
        <w:pStyle w:val="ListBullet"/>
      </w:pPr>
      <w:r>
        <w:t>Область этой работы: веб интерфейс и его адаптация для телефона. Нативное Expo приложение, обучение новых моделей, биллинг, новая кассовая интеграция и публичное развёртывание сюда не входят.</w:t>
      </w:r>
    </w:p>
    <w:p>
      <w:pPr>
        <w:pStyle w:val="Heading2"/>
      </w:pPr>
      <w:r>
        <w:t>Что считать хорошим результатом</w:t>
      </w:r>
    </w:p>
    <w:p>
      <w:r>
        <w:t>Через 10 секунд на главной странице пользователь может назвать выбранный филиал, дату плана, состояние данных и следующий шаг. Он проходит путь от CSV до утверждённого плана без знания UUID, SQL, p90 или терминов машинного обучения. Подробности расчёта доступны специалисту, но не вытесняют повседневные действия.</w:t>
      </w:r>
    </w:p>
    <w:p>
      <w:r>
        <w:t>Не ограничивайся заменой зелёного на фиолетовый. Измени композицию, масштаб текста, форму навигации, подачу следующего шага и ритм рабочих экранов. Оформление должно иметь узнаваемый характер даже без цвета. Реализуй изменения в существующем коде, сохрани функции и проверь полный сценарий в браузере.</w:t>
      </w:r>
    </w:p>
    <w:p>
      <w:r>
        <w:br w:type="page"/>
      </w:r>
    </w:p>
    <w:p>
      <w:pPr>
        <w:pStyle w:val="Heading1"/>
      </w:pPr>
      <w:r>
        <w:t>Референс Nory и правила адаптации</w:t>
      </w:r>
    </w:p>
    <w:p>
      <w:pPr>
        <w:pStyle w:val="Heading2"/>
      </w:pPr>
      <w:r>
        <w:t>Основной референс</w:t>
      </w:r>
    </w:p>
    <w:p>
      <w:r>
        <w:t>Выбран Nory — продукт для ресторанных операций. На главной видны почти чёрный сливовый фон, тяжёлая светлая типографика с лавандовым акцентом, простые заполненные и контурные кнопки, крупные цветовые плоскости. На странице Business Intelligence этот характер сопровождает показ аналитического продукта. Источники просмотрены 13.10.2026.</w:t>
      </w:r>
    </w:p>
    <w:p>
      <w:hyperlink r:id="rId10">
        <w:r>
          <w:rPr>
            <w:color w:val="364E83"/>
            <w:u w:val="single"/>
          </w:rPr>
          <w:t>Nory главная страница · https://www.nory.ai/</w:t>
        </w:r>
      </w:hyperlink>
    </w:p>
    <w:p>
      <w:hyperlink r:id="rId11">
        <w:r>
          <w:rPr>
            <w:color w:val="364E83"/>
            <w:u w:val="single"/>
          </w:rPr>
          <w:t>Nory Business Intelligence · https://www.nory.ai/product/business-intelligence</w:t>
        </w:r>
      </w:hyperlink>
    </w:p>
    <w:p>
      <w:pPr>
        <w:pStyle w:val="Heading2"/>
      </w:pPr>
      <w:r>
        <w:t>Как использовать референс</w:t>
      </w:r>
    </w:p>
    <w:p>
      <w:r>
        <w:t>Перед разработкой открой обе страницы в браузере и изучи масштаб заголовков, отношения тёмного и светлого, форму кнопок и разделение крупных областей. Используй эти принципы как визуальный ориентир. Самостоятельно реализуй интерфейс AsBoljam на существующем React; логотип, тексты, иллюстрации и клиентские показатели Nory в продукт не переноси.</w:t>
      </w:r>
    </w:p>
    <w:p>
      <w:r>
        <w:t>Сливовая навигация, кремовый рабочий лист, размещение этапов и макет на следующей визуальной странице — авторская адаптация для AsBoljam. Они не представлены как точная копия закрытого приложения Nory. Образец нужен для согласованного исполнения, а не для смены только HEX значений.</w:t>
      </w:r>
    </w:p>
    <w:p>
      <w:pPr>
        <w:pStyle w:val="Heading2"/>
      </w:pPr>
      <w:r>
        <w:t>Почему это подходит задаче</w:t>
      </w:r>
    </w:p>
    <w:p>
      <w:r>
        <w:t>Контраст тёмной оболочки и спокойной рабочей области позволяет придать продукту характер, сохранив читаемость данных. Крупное действие помогает владельцу точки понять следующий шаг. Лавандовая плоскость связывает подготовку, прогноз и решение визуально; таблицы занимают место подробностей.</w:t>
      </w:r>
    </w:p>
    <w:p>
      <w:pPr>
        <w:pStyle w:val="Heading2"/>
      </w:pPr>
      <w:r>
        <w:t>Жёсткая граница функций</w:t>
      </w:r>
    </w:p>
    <w:p>
      <w:r>
        <w:t>Не переносить в AsBoljam рекламные обещания конкурента: автоматические заказы, payroll, P&amp;L, пятинедельный прогноз, показатели точности или интеграции. Дизайн использует фактические возможности AsBoljam: существующие CSV, однодневный прогноз, проверку закупки и решение человека. Правила достоверности далее обязательны.</w:t>
      </w:r>
    </w:p>
    <w:p>
      <w:r>
        <w:t>Результат должен узнаваемо соответствовать выбранной композиции: тёмный каркас, крупный текст, плоские акцентные области и ясные рабочие листы. Вариант «старые карточки в новом цвете» не считается выполнением задания.</w:t>
      </w:r>
    </w:p>
    <w:p>
      <w:r>
        <w:br w:type="page"/>
      </w:r>
    </w:p>
    <w:p>
      <w:pPr>
        <w:pStyle w:val="Heading1"/>
      </w:pPr>
      <w:r>
        <w:t>01 Продукт и достоверность результатов</w:t>
      </w:r>
    </w:p>
    <w:p>
      <w:pPr>
        <w:pStyle w:val="Heading2"/>
      </w:pPr>
      <w:r>
        <w:t>Что делает AsBoljam</w:t>
      </w:r>
    </w:p>
    <w:p>
      <w:r>
        <w:t>AsBoljam помогает отдельному филиалу общепита планировать ингредиенты для следующего доступного дня расчёта. Он использует историю проданных порций, строит прогноз, переводит порции в ингредиенты по рецептам, учитывает пригодный остаток и предложения поставщиков, затем предлагает план закупки в заданных ограничениях. Решение принимает человек.</w:t>
      </w:r>
    </w:p>
    <w:p>
      <w:pPr>
        <w:pStyle w:val="Heading2"/>
      </w:pPr>
      <w:r>
        <w:t>Правила которые нельзя изменить оформлением</w:t>
      </w:r>
    </w:p>
    <w:p>
      <w:pPr>
        <w:pStyle w:val="ListBullet"/>
      </w:pPr>
      <w:r>
        <w:t>Прогнозируется наблюдаемое количество проданных порций units_sold. Погода, акции, праздники и скрытый спрос не должны показываться как уже действующие факторы модели, если это не подтверждено актуальной реализацией.</w:t>
      </w:r>
    </w:p>
    <w:p>
      <w:pPr>
        <w:pStyle w:val="ListBullet"/>
      </w:pPr>
      <w:r>
        <w:t>В текущем REAL сценарии дата окончания используемой истории origin строго раньше текущего бизнес дня, а целевая дата равна origin + 1 день. Обычный поток: закрытые вчерашние продажи → расчёт на сегодня. Не обещай план на завтра относительно часов пользователя. Всегда показывай конкретную целевую дату из API.</w:t>
      </w:r>
    </w:p>
    <w:p>
      <w:pPr>
        <w:pStyle w:val="ListBullet"/>
      </w:pPr>
      <w:r>
        <w:t>Для SYNTHETIC демонстрации история заканчивается 31.12.2025, целевая дата и снимок остатков — 01.01.2026. Не подменяй даты системным временем. REAL в режиме TEST тоже не означает реальные данные предприятия.</w:t>
      </w:r>
    </w:p>
    <w:p>
      <w:pPr>
        <w:pStyle w:val="ListBullet"/>
      </w:pPr>
      <w:r>
        <w:t>Сохраняй точные единицы kg и L как отдельные величины. Выход продукта применяется один раз. Стоимость предложения: число упаковок × количество в упаковке × стоимость единицы. Округление для экрана не меняет сохранённый расчёт.</w:t>
      </w:r>
    </w:p>
    <w:p>
      <w:pPr>
        <w:pStyle w:val="ListBullet"/>
      </w:pPr>
      <w:r>
        <w:t>Утверждение плана не отправляет заказ поставщику и не создаёт приход на склад. Загрузка продаж не списывает ингредиенты автоматически. Эти границы нужно объяснять рядом с соответствующим действием.</w:t>
      </w:r>
    </w:p>
    <w:p>
      <w:pPr>
        <w:pStyle w:val="ListBullet"/>
      </w:pPr>
      <w:r>
        <w:t>Отсутствие сведений отличается от нулевого остатка и нулевых продаж. Нет измеренной экономии, пока нет подтверждённого измерения. Не добавляй вымышленные проценты выгоды, рейтинги точности или статистику клиентов.</w:t>
      </w:r>
    </w:p>
    <w:p>
      <w:pPr>
        <w:pStyle w:val="Heading2"/>
      </w:pPr>
      <w:r>
        <w:t>Прозрачность без перегрузки</w:t>
      </w:r>
    </w:p>
    <w:p>
      <w:r>
        <w:t>На первом уровне показывай смысл результата, дату, источник и ограничения, которые влияют на решение. В раскрываемом разделе «Как получен расчёт» оставляй модель, историю загрузок, покрытие данных, версии, идентификаторы и воспроизводимость. Дефицит, устаревание входных данных, отсутствие точного снимка и режим тестирования нельзя прятать в этот раздел.</w:t>
      </w:r>
    </w:p>
    <w:p>
      <w:r>
        <w:t>Планы, прогнозы и импортированные данные разных филиалов не смешиваются. Переключение филиала должно сбрасывать несовместимые выбранные записи и защищать экран от позднего ответа предыдущего запроса.</w:t>
      </w:r>
    </w:p>
    <w:p>
      <w:r>
        <w:br w:type="page"/>
      </w:r>
    </w:p>
    <w:p>
      <w:pPr>
        <w:pStyle w:val="Heading1"/>
      </w:pPr>
      <w:r>
        <w:t>02 Аудит и приоритеты перед разработкой</w:t>
      </w:r>
    </w:p>
    <w:p>
      <w:pPr>
        <w:pStyle w:val="Heading2"/>
      </w:pPr>
      <w:r>
        <w:t>Сначала изучи существующее приложение</w:t>
      </w:r>
    </w:p>
    <w:p>
      <w:r>
        <w:t>Прочитай AGENTS.md, README.md, CLOUD_HANDOFF.md, templates/PROGRESS.md и templates/DECISIONS.md. Проверь git status, ветку и remotes. Затем изучи App.tsx, Dashboard.tsx, Planning.tsx, Imports.tsx, DataPages.tsx, Onboarding.tsx, складские компоненты, shared.tsx и обе таблицы стилей. Не принимай старый скриншот за доказательство текущего поведения.</w:t>
      </w:r>
    </w:p>
    <w:p>
      <w:pPr>
        <w:pStyle w:val="Heading2"/>
      </w:pPr>
      <w:r>
        <w:t>Какие проблемы должен решить редизайн</w:t>
      </w:r>
    </w:p>
    <w:p>
      <w:pPr>
        <w:pStyle w:val="ListBullet"/>
      </w:pPr>
      <w:r>
        <w:t>Однотипные светлые карточки и близкие зелёные оттенки слабо выделяют самое важное действие. Построй отчётливую иерархию: задача дня, риски, результат, объяснение, подробные данные.</w:t>
      </w:r>
    </w:p>
    <w:p>
      <w:pPr>
        <w:pStyle w:val="ListBullet"/>
      </w:pPr>
      <w:r>
        <w:t>Разделы соответствуют сущностям базы: пользователь сам собирает из них процесс. Добавь связанный путь подготовки плана, сохранив прямой доступ к профессиональным разделам.</w:t>
      </w:r>
    </w:p>
    <w:p>
      <w:pPr>
        <w:pStyle w:val="ListBullet"/>
      </w:pPr>
      <w:r>
        <w:t>UUID, сырые имена CSV, model и p90_stress не должны быть основными названиями объектов. Выводи понятные подписи, дату, филиал и состояние, а идентификаторы оставляй копируемыми в деталях.</w:t>
      </w:r>
    </w:p>
    <w:p>
      <w:pPr>
        <w:pStyle w:val="ListBullet"/>
      </w:pPr>
      <w:r>
        <w:t>Крупные таблицы требуют чтения множества колонок до понимания результата. Сначала сообщай вывод и исключения, затем раскрывай строки. В мобильной версии используй осмысленные карточки и листы деталей.</w:t>
      </w:r>
    </w:p>
    <w:p>
      <w:pPr>
        <w:pStyle w:val="ListBullet"/>
      </w:pPr>
      <w:r>
        <w:t>Мобильное главное действие не должно превращаться в один знак плюс. Оставь текст действия. Проверь, что фиксированная навигация не закрывает таблицы, формы, ошибки и последнюю кнопку.</w:t>
      </w:r>
    </w:p>
    <w:p>
      <w:pPr>
        <w:pStyle w:val="ListBullet"/>
      </w:pPr>
      <w:r>
        <w:t>Служебные состояния необходимо перевести на язык действия: что случилось, на что влияет, как исправить. Сохраняй точные сведения для поддержки отдельно.</w:t>
      </w:r>
    </w:p>
    <w:p>
      <w:pPr>
        <w:pStyle w:val="Heading2"/>
      </w:pPr>
      <w:r>
        <w:t>Порядок приоритетов</w:t>
      </w:r>
    </w:p>
    <w:p>
      <w:r>
        <w:t>P0: понятность пути CSV → прогноз → закупка → утверждение; контекст даты и филиала; критические предупреждения; доступность кнопок и ошибок. P1: новая визуальная система, главная, формы, графики, склад, адаптивность. P2: тонкие анимации, дополнительные удобства и эстетическая полировка после работоспособного основного пути.</w:t>
      </w:r>
    </w:p>
    <w:p>
      <w:pPr>
        <w:pStyle w:val="Heading2"/>
      </w:pPr>
      <w:r>
        <w:t>Результат первого этапа</w:t>
      </w:r>
    </w:p>
    <w:p>
      <w:r>
        <w:t>Зафиксируй карту фактических экранов, перечень существующих API действий, 5–8 наиболее мешающих UX проблем и выбранную визуальную концепцию. Сделай исходные скриншоты ключевых страниц и сохрани размеры окна, язык, роль и состояние данных. Работай на изолированных тестовых данных; чужую работающую сессию не останавливай.</w:t>
      </w:r>
    </w:p>
    <w:p>
      <w:r>
        <w:br w:type="page"/>
      </w:r>
    </w:p>
    <w:p>
      <w:pPr>
        <w:pStyle w:val="Heading1"/>
      </w:pPr>
      <w:r>
        <w:t>03 Пользовательские задачи и маршрут новичка</w:t>
      </w:r>
    </w:p>
    <w:p>
      <w:pPr>
        <w:pStyle w:val="Heading2"/>
      </w:pPr>
      <w:r>
        <w:t>Основной пользователь</w:t>
      </w:r>
    </w:p>
    <w:p>
      <w:r>
        <w:t>Представь владельца или управляющего точки «Бауырдак». Он знает меню, продажи и склад, но не знает устройство моделей. Ему нужно быстро понять, что подготовить, чего не хватает и что купить. Не называй его данные реальными, если используется демонстрационный набор с этим названием.</w:t>
      </w:r>
    </w:p>
    <w:p>
      <w:pPr>
        <w:pStyle w:val="Heading2"/>
      </w:pPr>
      <w:r>
        <w:t>Первый успешный сценарий</w:t>
      </w:r>
    </w:p>
    <w:p>
      <w:pPr>
        <w:ind w:left="317" w:hanging="317"/>
      </w:pPr>
      <w:r>
        <w:rPr>
          <w:b/>
        </w:rPr>
        <w:t xml:space="preserve">1. </w:t>
      </w:r>
      <w:r>
        <w:t>Пользователь входит, видит организацию, доступный филиал, режим данных и короткое объяснение назначения сервиса.</w:t>
      </w:r>
    </w:p>
    <w:p>
      <w:pPr>
        <w:ind w:left="317" w:hanging="317"/>
      </w:pPr>
      <w:r>
        <w:rPr>
          <w:b/>
        </w:rPr>
        <w:t xml:space="preserve">2. </w:t>
      </w:r>
      <w:r>
        <w:t>Экран готовности перечисляет, что уже есть и чего не хватает. Возле каждого пункта доступны инструкция, шаблон или переход к разрешённой операции.</w:t>
      </w:r>
    </w:p>
    <w:p>
      <w:pPr>
        <w:ind w:left="317" w:hanging="317"/>
      </w:pPr>
      <w:r>
        <w:rPr>
          <w:b/>
        </w:rPr>
        <w:t xml:space="preserve">3. </w:t>
      </w:r>
      <w:r>
        <w:t>Пользователь выбирает тип CSV, загружает файл, видит предпросмотр и понятные ошибки. Только отдельное действие подтверждает запись проверенных данных.</w:t>
      </w:r>
    </w:p>
    <w:p>
      <w:pPr>
        <w:ind w:left="317" w:hanging="317"/>
      </w:pPr>
      <w:r>
        <w:rPr>
          <w:b/>
        </w:rPr>
        <w:t xml:space="preserve">4. </w:t>
      </w:r>
      <w:r>
        <w:t>После подготовки данных он проверяет период истории и конкретную дату прогноза, запускает расчёт и видит реальное состояние задания.</w:t>
      </w:r>
    </w:p>
    <w:p>
      <w:pPr>
        <w:ind w:left="317" w:hanging="317"/>
      </w:pPr>
      <w:r>
        <w:rPr>
          <w:b/>
        </w:rPr>
        <w:t xml:space="preserve">5. </w:t>
      </w:r>
      <w:r>
        <w:t>В результате он понимает ожидаемые продажи по блюдам, доступные ограничения качества и следующий шаг «Рассчитать закупку».</w:t>
      </w:r>
    </w:p>
    <w:p>
      <w:pPr>
        <w:ind w:left="317" w:hanging="317"/>
      </w:pPr>
      <w:r>
        <w:rPr>
          <w:b/>
        </w:rPr>
        <w:t xml:space="preserve">6. </w:t>
      </w:r>
      <w:r>
        <w:t>Он выбирает бюджет и доступные ограничения, проверяет дату остатков, рецепты и поставщиков. После расчёта видит упаковки, стоимость и возможный дефицит.</w:t>
      </w:r>
    </w:p>
    <w:p>
      <w:pPr>
        <w:ind w:left="317" w:hanging="317"/>
      </w:pPr>
      <w:r>
        <w:rPr>
          <w:b/>
        </w:rPr>
        <w:t xml:space="preserve">7. </w:t>
      </w:r>
      <w:r>
        <w:t>Уполномоченный пользователь проверяет версию плана, вводит причину, явно подтверждает дефицит при необходимости и утверждает план. Затем скачивает список. Экран поясняет, что поставщику ничего автоматически не отправлено.</w:t>
      </w:r>
    </w:p>
    <w:p>
      <w:pPr>
        <w:pStyle w:val="Heading2"/>
      </w:pPr>
      <w:r>
        <w:t>Различия ролей</w:t>
      </w:r>
    </w:p>
    <w:p>
      <w:r>
        <w:t>Администратору доступны настройка пользователей и операции в пределах прав API. Управляющему нужны прогнозы, закупка и утверждение. Сотруднику склада нужны остатки и разрешённые складские документы. Аналитику нужны просмотр, сравнение и доступные выгрузки. Сопоставь каждую кнопку с фактическими permissions; наличие административной роли не отменяет ограничения организации и филиала.</w:t>
      </w:r>
    </w:p>
    <w:p>
      <w:pPr>
        <w:pStyle w:val="Heading2"/>
      </w:pPr>
      <w:r>
        <w:t>Два уровня глубины</w:t>
      </w:r>
    </w:p>
    <w:p>
      <w:r>
        <w:t>Повседневный уровень отвечает на вопросы «что происходит» и «что делать». Подробный уровень объясняет формулы, источники, версии и события. Переключение между ними должно занимать одно понятное действие. Не создавай отдельный демонстрационный интерфейс с поведением, отличным от рабочего.</w:t>
      </w:r>
    </w:p>
    <w:p>
      <w:r>
        <w:br w:type="page"/>
      </w:r>
    </w:p>
    <w:p>
      <w:pPr>
        <w:pStyle w:val="Heading1"/>
      </w:pPr>
      <w:r>
        <w:t>04 Визуальная концепция и композиция</w:t>
      </w:r>
    </w:p>
    <w:p>
      <w:pPr>
        <w:pStyle w:val="Heading2"/>
      </w:pPr>
      <w:r>
        <w:t>Направление для AsBoljam</w:t>
      </w:r>
    </w:p>
    <w:p>
      <w:r>
        <w:t>Возьми за отправную точку тёмную сливовую атмосферу Nory и сильный контраст крупных заголовков. Для AsBoljam разработай собственную рабочую композицию: чернильный каркас, тёплый бумажный холст, плоское лавандовое поле главного действия, тонкие разделители и плотные заголовки. Все значения токенов ниже являются спецификацией AsBoljam, а не извлечённым CSS Nory.</w:t>
      </w:r>
    </w:p>
    <w:p>
      <w:pPr>
        <w:pStyle w:val="Heading2"/>
      </w:pPr>
      <w:r>
        <w:t>Визуальная иерархия</w:t>
      </w:r>
    </w:p>
    <w:p>
      <w:pPr>
        <w:pStyle w:val="ListBullet"/>
      </w:pPr>
      <w:r>
        <w:t>Оболочка тёмная: боковая навигация и внешний периметр #1C1025. Основная область #F4F0E9 занимает большую часть экрана, с одним крупным скруглённым внутренним углом. Чистый белый не является фоном всей системы.</w:t>
      </w:r>
    </w:p>
    <w:p>
      <w:pPr>
        <w:pStyle w:val="ListBullet"/>
      </w:pPr>
      <w:r>
        <w:t>Первое действие выделено лавандовой плоскостью #B9ACF8. На ней тёмный крупный текст, номер этапа и одна контрастная кнопка. Лаванда обозначает внимание и действие, а не автоматический успех.</w:t>
      </w:r>
    </w:p>
    <w:p>
      <w:pPr>
        <w:pStyle w:val="ListBullet"/>
      </w:pPr>
      <w:r>
        <w:t>Вместо ряда из четырёх одинаковых KPI карточек используй один основной результат и короткую строку сопутствующих чисел с вертикальными разделителями. Подробности находятся в списках и раскрываемых секциях.</w:t>
      </w:r>
    </w:p>
    <w:p>
      <w:pPr>
        <w:pStyle w:val="ListBullet"/>
      </w:pPr>
      <w:r>
        <w:t>Таблицы и справочники оформляй как аккуратный рабочий журнал: спокойный фон, сильные заголовки, тонкие линии и ясное выравнивание. Не окружай каждый ряд отдельной тенью и скруглённой рамкой.</w:t>
      </w:r>
    </w:p>
    <w:p>
      <w:pPr>
        <w:pStyle w:val="Heading2"/>
      </w:pPr>
      <w:r>
        <w:t>Шрифт и характер</w:t>
      </w:r>
    </w:p>
    <w:p>
      <w:r>
        <w:t>Заголовки выразительные и плотные, с весом 750–800 и умеренным отрицательным letter-spacing. Название страницы 32–36 px, главный вывод 40–48 px на десктопе. Для текста выбери Noto Sans с проверенными казахскими глифами и полноценными начертаниями. Не растягивай фирменные латинские шрифты референса на кириллицу через случайный fallback.</w:t>
      </w:r>
    </w:p>
    <w:p>
      <w:pPr>
        <w:pStyle w:val="Heading2"/>
      </w:pPr>
      <w:r>
        <w:t>Граница выразительности</w:t>
      </w:r>
    </w:p>
    <w:p>
      <w:r>
        <w:t>Название AsBoljam сохраняется. Существующий знак переведи в одноцветное сливовое или светлое исполнение, если он используется; новый логотип необязателен. Зелёный допустим только как небольшой семантический знак подтверждённого успеха. Не возвращай зелёные кнопки, мятные панели и оливковые фоны.</w:t>
      </w:r>
    </w:p>
    <w:p>
      <w:r>
        <w:t>Не используй фиолетовые градиенты, светящиеся AI сферы, декоративные glassmorphism панели или стек из одинаковых bento карточек. Сохрани крупные плоскости, сильную типографику и рабочую плотность. Анимация 120–200 ms подчёркивает состояние, а не превращает таблицу в презентацию.</w:t>
      </w:r>
    </w:p>
    <w:p>
      <w:r>
        <w:br w:type="page"/>
      </w:r>
    </w:p>
    <w:p>
      <w:pPr>
        <w:pStyle w:val="Heading1"/>
      </w:pPr>
      <w:r>
        <w:t>Визуальная схема главной страницы</w:t>
      </w:r>
    </w:p>
    <w:p>
      <w:r>
        <w:t>Авторская схема AsBoljam в выбранном направлении. Это иллюстрация композиции и цвета, а не действующий экран и не результат расчёта. Русский текст показан для чтения промпта; в продукте сохраняется казахский язык по умолчанию.</w:t>
      </w:r>
    </w:p>
    <w:p>
      <w:r>
        <w:drawing>
          <wp:inline xmlns:a="http://schemas.openxmlformats.org/drawingml/2006/main" xmlns:pic="http://schemas.openxmlformats.org/drawingml/2006/picture">
            <wp:extent cx="6400800" cy="4000500"/>
            <wp:docPr id="1" name="Picture 1" descr="Авторская схема главной страницы AsBoljam: сливовая навигация, бумажная рабочая область, лавандовое поле следующего шага"/>
            <wp:cNvGraphicFramePr>
              <a:graphicFrameLocks noChangeAspect="1"/>
            </wp:cNvGraphicFramePr>
            <a:graphic>
              <a:graphicData uri="http://schemas.openxmlformats.org/drawingml/2006/picture">
                <pic:pic>
                  <pic:nvPicPr>
                    <pic:cNvPr id="0" name="asboljam_nory_composition.png"/>
                    <pic:cNvPicPr/>
                  </pic:nvPicPr>
                  <pic:blipFill>
                    <a:blip r:embed="rId12"/>
                    <a:stretch>
                      <a:fillRect/>
                    </a:stretch>
                  </pic:blipFill>
                  <pic:spPr>
                    <a:xfrm>
                      <a:off x="0" y="0"/>
                      <a:ext cx="6400800" cy="4000500"/>
                    </a:xfrm>
                    <a:prstGeom prst="rect"/>
                  </pic:spPr>
                </pic:pic>
              </a:graphicData>
            </a:graphic>
          </wp:inline>
        </w:drawing>
      </w:r>
    </w:p>
    <w:p>
      <w:pPr>
        <w:pStyle w:val="Heading2"/>
      </w:pPr>
      <w:r>
        <w:t>Как читать композицию</w:t>
      </w:r>
    </w:p>
    <w:p>
      <w:r>
        <w:t>Слева — тёмная навигация; справа — единый бумажный рабочий холст. Крупный заголовок объясняет задачу. Лавандовое поле содержит следующий шаг, рядом список необходимых данных. Ниже этапы и рабочие строки, а не ряд одинаковых виджетов.</w:t>
      </w:r>
    </w:p>
    <w:p>
      <w:pPr>
        <w:pStyle w:val="Heading2"/>
      </w:pPr>
      <w:r>
        <w:t>Правила переноса в другие экраны</w:t>
      </w:r>
    </w:p>
    <w:p>
      <w:r>
        <w:t>Импорт становится последовательным рабочим листом с узким rail этапов. Прогноз — широким графиком с типографическим итогом. Закупка — списком по поставщикам и компактной сводкой решения. Склад — журналом с отдельными названными операциями. Общие токены сохраняются, композиция следует задаче.</w:t>
      </w:r>
    </w:p>
    <w:p>
      <w:r>
        <w:t>На 390 px верхняя сливовая полоса остаётся компактной; заголовок и лавандовый шаг идут первыми, список условий — следом. Не уменьшай десктоп целиком. Не переносись к универсальной сетке карточек для всех разделов.</w:t>
      </w:r>
    </w:p>
    <w:p>
      <w:r>
        <w:br w:type="page"/>
      </w:r>
    </w:p>
    <w:p>
      <w:pPr>
        <w:pStyle w:val="Heading1"/>
      </w:pPr>
      <w:r>
        <w:t>05 Токены цвета размеров и типографики</w:t>
      </w:r>
    </w:p>
    <w:p>
      <w:r>
        <w:t>Ниже авторские токены AsBoljam, выбранные для адаптации направления Nory. Не выдавай их за точные цвета чужого бренда. Проверяй контраст в реальном интерфейсе; цвета применяются как система, а не набор случайных акцентов.</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088"/>
        <w:gridCol w:w="5904"/>
      </w:tblGrid>
      <w:tr>
        <w:trPr>
          <w:cantSplit/>
          <w:tblHeader/>
        </w:trPr>
        <w:tc>
          <w:tcPr>
            <w:tcW w:type="dxa" w:w="2088"/>
            <w:vAlign w:val="center"/>
            <w:tcMar>
              <w:top w:w="70" w:type="dxa"/>
              <w:bottom w:w="70" w:type="dxa"/>
              <w:left w:w="105" w:type="dxa"/>
              <w:right w:w="105" w:type="dxa"/>
            </w:tcMar>
            <w:shd w:fill="333333"/>
          </w:tcPr>
          <w:p>
            <w:pPr>
              <w:spacing w:after="0" w:line="252" w:lineRule="auto"/>
            </w:pPr>
            <w:r>
              <w:rPr>
                <w:rFonts w:ascii="Arial" w:hAnsi="Arial"/>
                <w:b/>
                <w:color w:val="FFFFFF"/>
                <w:sz w:val="21"/>
              </w:rPr>
              <w:t>Токен</w:t>
            </w:r>
          </w:p>
        </w:tc>
        <w:tc>
          <w:tcPr>
            <w:tcW w:type="dxa" w:w="2088"/>
            <w:vAlign w:val="center"/>
            <w:tcMar>
              <w:top w:w="70" w:type="dxa"/>
              <w:bottom w:w="70" w:type="dxa"/>
              <w:left w:w="105" w:type="dxa"/>
              <w:right w:w="105" w:type="dxa"/>
            </w:tcMar>
            <w:shd w:fill="333333"/>
          </w:tcPr>
          <w:p>
            <w:pPr>
              <w:spacing w:after="0" w:line="252" w:lineRule="auto"/>
              <w:jc w:val="center"/>
            </w:pPr>
            <w:r>
              <w:rPr>
                <w:rFonts w:ascii="Arial" w:hAnsi="Arial"/>
                <w:b/>
                <w:color w:val="FFFFFF"/>
                <w:sz w:val="21"/>
              </w:rPr>
              <w:t>Значение</w:t>
            </w:r>
          </w:p>
        </w:tc>
        <w:tc>
          <w:tcPr>
            <w:tcW w:type="dxa" w:w="5904"/>
            <w:vAlign w:val="center"/>
            <w:tcMar>
              <w:top w:w="70" w:type="dxa"/>
              <w:bottom w:w="70" w:type="dxa"/>
              <w:left w:w="105" w:type="dxa"/>
              <w:right w:w="105" w:type="dxa"/>
            </w:tcMar>
            <w:shd w:fill="333333"/>
          </w:tcPr>
          <w:p>
            <w:pPr>
              <w:spacing w:after="0" w:line="252" w:lineRule="auto"/>
            </w:pPr>
            <w:r>
              <w:rPr>
                <w:rFonts w:ascii="Arial" w:hAnsi="Arial"/>
                <w:b/>
                <w:color w:val="FFFFFF"/>
                <w:sz w:val="21"/>
              </w:rPr>
              <w:t>Назначение</w:t>
            </w:r>
          </w:p>
        </w:tc>
      </w:tr>
      <w:tr>
        <w:trPr>
          <w:cantSplit/>
        </w:trPr>
        <w:tc>
          <w:tcPr>
            <w:tcW w:type="dxa" w:w="2088"/>
            <w:vAlign w:val="center"/>
            <w:tcMar>
              <w:top w:w="70" w:type="dxa"/>
              <w:bottom w:w="70" w:type="dxa"/>
              <w:left w:w="105" w:type="dxa"/>
              <w:right w:w="105" w:type="dxa"/>
            </w:tcMar>
            <w:shd w:fill="FFFFFF"/>
          </w:tcPr>
          <w:p>
            <w:pPr>
              <w:spacing w:after="0" w:line="252" w:lineRule="auto"/>
            </w:pPr>
            <w:r>
              <w:rPr>
                <w:rFonts w:ascii="Arial" w:hAnsi="Arial"/>
                <w:b w:val="0"/>
                <w:color w:val="000000"/>
                <w:sz w:val="21"/>
              </w:rPr>
              <w:t>shell</w:t>
            </w:r>
          </w:p>
        </w:tc>
        <w:tc>
          <w:tcPr>
            <w:tcW w:type="dxa" w:w="2088"/>
            <w:vAlign w:val="center"/>
            <w:tcMar>
              <w:top w:w="70" w:type="dxa"/>
              <w:bottom w:w="70" w:type="dxa"/>
              <w:left w:w="105" w:type="dxa"/>
              <w:right w:w="105" w:type="dxa"/>
            </w:tcMar>
            <w:shd w:fill="FFFFFF"/>
          </w:tcPr>
          <w:p>
            <w:pPr>
              <w:spacing w:after="0" w:line="252" w:lineRule="auto"/>
              <w:jc w:val="center"/>
            </w:pPr>
            <w:r>
              <w:rPr>
                <w:rFonts w:ascii="Arial" w:hAnsi="Arial"/>
                <w:b w:val="0"/>
                <w:color w:val="000000"/>
                <w:sz w:val="21"/>
              </w:rPr>
              <w:t>#1C1025</w:t>
            </w:r>
          </w:p>
        </w:tc>
        <w:tc>
          <w:tcPr>
            <w:tcW w:type="dxa" w:w="5904"/>
            <w:vAlign w:val="center"/>
            <w:tcMar>
              <w:top w:w="70" w:type="dxa"/>
              <w:bottom w:w="70" w:type="dxa"/>
              <w:left w:w="105" w:type="dxa"/>
              <w:right w:w="105" w:type="dxa"/>
            </w:tcMar>
            <w:shd w:fill="FFFFFF"/>
          </w:tcPr>
          <w:p>
            <w:pPr>
              <w:spacing w:after="0" w:line="252" w:lineRule="auto"/>
            </w:pPr>
            <w:r>
              <w:rPr>
                <w:rFonts w:ascii="Arial" w:hAnsi="Arial"/>
                <w:b w:val="0"/>
                <w:color w:val="000000"/>
                <w:sz w:val="21"/>
              </w:rPr>
              <w:t>Тёмный сливовый каркас</w:t>
            </w:r>
          </w:p>
        </w:tc>
      </w:tr>
      <w:tr>
        <w:trPr>
          <w:cantSplit/>
        </w:trPr>
        <w:tc>
          <w:tcPr>
            <w:tcW w:type="dxa" w:w="2088"/>
            <w:vAlign w:val="center"/>
            <w:tcMar>
              <w:top w:w="70" w:type="dxa"/>
              <w:bottom w:w="70" w:type="dxa"/>
              <w:left w:w="105" w:type="dxa"/>
              <w:right w:w="105" w:type="dxa"/>
            </w:tcMar>
            <w:shd w:fill="F5F6F7"/>
          </w:tcPr>
          <w:p>
            <w:pPr>
              <w:spacing w:after="0" w:line="252" w:lineRule="auto"/>
            </w:pPr>
            <w:r>
              <w:rPr>
                <w:rFonts w:ascii="Arial" w:hAnsi="Arial"/>
                <w:b w:val="0"/>
                <w:color w:val="000000"/>
                <w:sz w:val="21"/>
              </w:rPr>
              <w:t>canvas</w:t>
            </w:r>
          </w:p>
        </w:tc>
        <w:tc>
          <w:tcPr>
            <w:tcW w:type="dxa" w:w="2088"/>
            <w:vAlign w:val="center"/>
            <w:tcMar>
              <w:top w:w="70" w:type="dxa"/>
              <w:bottom w:w="70" w:type="dxa"/>
              <w:left w:w="105" w:type="dxa"/>
              <w:right w:w="105" w:type="dxa"/>
            </w:tcMar>
            <w:shd w:fill="F5F6F7"/>
          </w:tcPr>
          <w:p>
            <w:pPr>
              <w:spacing w:after="0" w:line="252" w:lineRule="auto"/>
              <w:jc w:val="center"/>
            </w:pPr>
            <w:r>
              <w:rPr>
                <w:rFonts w:ascii="Arial" w:hAnsi="Arial"/>
                <w:b w:val="0"/>
                <w:color w:val="000000"/>
                <w:sz w:val="21"/>
              </w:rPr>
              <w:t>#F4F0E9</w:t>
            </w:r>
          </w:p>
        </w:tc>
        <w:tc>
          <w:tcPr>
            <w:tcW w:type="dxa" w:w="5904"/>
            <w:vAlign w:val="center"/>
            <w:tcMar>
              <w:top w:w="70" w:type="dxa"/>
              <w:bottom w:w="70" w:type="dxa"/>
              <w:left w:w="105" w:type="dxa"/>
              <w:right w:w="105" w:type="dxa"/>
            </w:tcMar>
            <w:shd w:fill="F5F6F7"/>
          </w:tcPr>
          <w:p>
            <w:pPr>
              <w:spacing w:after="0" w:line="252" w:lineRule="auto"/>
            </w:pPr>
            <w:r>
              <w:rPr>
                <w:rFonts w:ascii="Arial" w:hAnsi="Arial"/>
                <w:b w:val="0"/>
                <w:color w:val="000000"/>
                <w:sz w:val="21"/>
              </w:rPr>
              <w:t>Тёплая рабочая область</w:t>
            </w:r>
          </w:p>
        </w:tc>
      </w:tr>
      <w:tr>
        <w:trPr>
          <w:cantSplit/>
        </w:trPr>
        <w:tc>
          <w:tcPr>
            <w:tcW w:type="dxa" w:w="2088"/>
            <w:vAlign w:val="center"/>
            <w:tcMar>
              <w:top w:w="70" w:type="dxa"/>
              <w:bottom w:w="70" w:type="dxa"/>
              <w:left w:w="105" w:type="dxa"/>
              <w:right w:w="105" w:type="dxa"/>
            </w:tcMar>
            <w:shd w:fill="FFFFFF"/>
          </w:tcPr>
          <w:p>
            <w:pPr>
              <w:spacing w:after="0" w:line="252" w:lineRule="auto"/>
            </w:pPr>
            <w:r>
              <w:rPr>
                <w:rFonts w:ascii="Arial" w:hAnsi="Arial"/>
                <w:b w:val="0"/>
                <w:color w:val="000000"/>
                <w:sz w:val="21"/>
              </w:rPr>
              <w:t>surface</w:t>
            </w:r>
          </w:p>
        </w:tc>
        <w:tc>
          <w:tcPr>
            <w:tcW w:type="dxa" w:w="2088"/>
            <w:vAlign w:val="center"/>
            <w:tcMar>
              <w:top w:w="70" w:type="dxa"/>
              <w:bottom w:w="70" w:type="dxa"/>
              <w:left w:w="105" w:type="dxa"/>
              <w:right w:w="105" w:type="dxa"/>
            </w:tcMar>
            <w:shd w:fill="FFFFFF"/>
          </w:tcPr>
          <w:p>
            <w:pPr>
              <w:spacing w:after="0" w:line="252" w:lineRule="auto"/>
              <w:jc w:val="center"/>
            </w:pPr>
            <w:r>
              <w:rPr>
                <w:rFonts w:ascii="Arial" w:hAnsi="Arial"/>
                <w:b w:val="0"/>
                <w:color w:val="000000"/>
                <w:sz w:val="21"/>
              </w:rPr>
              <w:t>#FFFCF7</w:t>
            </w:r>
          </w:p>
        </w:tc>
        <w:tc>
          <w:tcPr>
            <w:tcW w:type="dxa" w:w="5904"/>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Поля и детальные формы</w:t>
            </w:r>
          </w:p>
        </w:tc>
      </w:tr>
      <w:tr>
        <w:trPr>
          <w:cantSplit/>
        </w:trPr>
        <w:tc>
          <w:tcPr>
            <w:tcW w:type="dxa" w:w="2088"/>
            <w:vAlign w:val="center"/>
            <w:tcMar>
              <w:top w:w="70" w:type="dxa"/>
              <w:bottom w:w="70" w:type="dxa"/>
              <w:left w:w="105" w:type="dxa"/>
              <w:right w:w="105" w:type="dxa"/>
            </w:tcMar>
            <w:shd w:fill="F5F6F7"/>
          </w:tcPr>
          <w:p>
            <w:pPr>
              <w:spacing w:after="0" w:line="252" w:lineRule="auto"/>
            </w:pPr>
            <w:r>
              <w:rPr>
                <w:rFonts w:ascii="Arial" w:hAnsi="Arial"/>
                <w:b w:val="0"/>
                <w:color w:val="000000"/>
                <w:sz w:val="21"/>
              </w:rPr>
              <w:t>ink</w:t>
            </w:r>
          </w:p>
        </w:tc>
        <w:tc>
          <w:tcPr>
            <w:tcW w:type="dxa" w:w="2088"/>
            <w:vAlign w:val="center"/>
            <w:tcMar>
              <w:top w:w="70" w:type="dxa"/>
              <w:bottom w:w="70" w:type="dxa"/>
              <w:left w:w="105" w:type="dxa"/>
              <w:right w:w="105" w:type="dxa"/>
            </w:tcMar>
            <w:shd w:fill="F5F6F7"/>
          </w:tcPr>
          <w:p>
            <w:pPr>
              <w:spacing w:after="0" w:line="252" w:lineRule="auto"/>
              <w:jc w:val="center"/>
            </w:pPr>
            <w:r>
              <w:rPr>
                <w:rFonts w:ascii="Arial" w:hAnsi="Arial"/>
                <w:b w:val="0"/>
                <w:color w:val="000000"/>
                <w:sz w:val="21"/>
              </w:rPr>
              <w:t>#261A2F</w:t>
            </w:r>
          </w:p>
        </w:tc>
        <w:tc>
          <w:tcPr>
            <w:tcW w:type="dxa" w:w="5904"/>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Основной текст</w:t>
            </w:r>
          </w:p>
        </w:tc>
      </w:tr>
      <w:tr>
        <w:trPr>
          <w:cantSplit/>
        </w:trPr>
        <w:tc>
          <w:tcPr>
            <w:tcW w:type="dxa" w:w="2088"/>
            <w:vAlign w:val="center"/>
            <w:tcMar>
              <w:top w:w="70" w:type="dxa"/>
              <w:bottom w:w="70" w:type="dxa"/>
              <w:left w:w="105" w:type="dxa"/>
              <w:right w:w="105" w:type="dxa"/>
            </w:tcMar>
            <w:shd w:fill="FFFFFF"/>
          </w:tcPr>
          <w:p>
            <w:pPr>
              <w:spacing w:after="0" w:line="252" w:lineRule="auto"/>
            </w:pPr>
            <w:r>
              <w:rPr>
                <w:rFonts w:ascii="Arial" w:hAnsi="Arial"/>
                <w:b w:val="0"/>
                <w:color w:val="000000"/>
                <w:sz w:val="21"/>
              </w:rPr>
              <w:t>muted</w:t>
            </w:r>
          </w:p>
        </w:tc>
        <w:tc>
          <w:tcPr>
            <w:tcW w:type="dxa" w:w="2088"/>
            <w:vAlign w:val="center"/>
            <w:tcMar>
              <w:top w:w="70" w:type="dxa"/>
              <w:bottom w:w="70" w:type="dxa"/>
              <w:left w:w="105" w:type="dxa"/>
              <w:right w:w="105" w:type="dxa"/>
            </w:tcMar>
            <w:shd w:fill="FFFFFF"/>
          </w:tcPr>
          <w:p>
            <w:pPr>
              <w:spacing w:after="0" w:line="252" w:lineRule="auto"/>
              <w:jc w:val="center"/>
            </w:pPr>
            <w:r>
              <w:rPr>
                <w:rFonts w:ascii="Arial" w:hAnsi="Arial"/>
                <w:b w:val="0"/>
                <w:color w:val="000000"/>
                <w:sz w:val="21"/>
              </w:rPr>
              <w:t>#706473</w:t>
            </w:r>
          </w:p>
        </w:tc>
        <w:tc>
          <w:tcPr>
            <w:tcW w:type="dxa" w:w="5904"/>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Вторичный текст</w:t>
            </w:r>
          </w:p>
        </w:tc>
      </w:tr>
      <w:tr>
        <w:trPr>
          <w:cantSplit/>
        </w:trPr>
        <w:tc>
          <w:tcPr>
            <w:tcW w:type="dxa" w:w="2088"/>
            <w:vAlign w:val="center"/>
            <w:tcMar>
              <w:top w:w="70" w:type="dxa"/>
              <w:bottom w:w="70" w:type="dxa"/>
              <w:left w:w="105" w:type="dxa"/>
              <w:right w:w="105" w:type="dxa"/>
            </w:tcMar>
            <w:shd w:fill="F5F6F7"/>
          </w:tcPr>
          <w:p>
            <w:pPr>
              <w:spacing w:after="0" w:line="252" w:lineRule="auto"/>
            </w:pPr>
            <w:r>
              <w:rPr>
                <w:rFonts w:ascii="Arial" w:hAnsi="Arial"/>
                <w:b w:val="0"/>
                <w:color w:val="000000"/>
                <w:sz w:val="21"/>
              </w:rPr>
              <w:t>accent</w:t>
            </w:r>
          </w:p>
        </w:tc>
        <w:tc>
          <w:tcPr>
            <w:tcW w:type="dxa" w:w="2088"/>
            <w:vAlign w:val="center"/>
            <w:tcMar>
              <w:top w:w="70" w:type="dxa"/>
              <w:bottom w:w="70" w:type="dxa"/>
              <w:left w:w="105" w:type="dxa"/>
              <w:right w:w="105" w:type="dxa"/>
            </w:tcMar>
            <w:shd w:fill="F5F6F7"/>
          </w:tcPr>
          <w:p>
            <w:pPr>
              <w:spacing w:after="0" w:line="252" w:lineRule="auto"/>
              <w:jc w:val="center"/>
            </w:pPr>
            <w:r>
              <w:rPr>
                <w:rFonts w:ascii="Arial" w:hAnsi="Arial"/>
                <w:b w:val="0"/>
                <w:color w:val="000000"/>
                <w:sz w:val="21"/>
              </w:rPr>
              <w:t>#B9ACF8</w:t>
            </w:r>
          </w:p>
        </w:tc>
        <w:tc>
          <w:tcPr>
            <w:tcW w:type="dxa" w:w="5904"/>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Главная акцентная плоскость</w:t>
            </w:r>
          </w:p>
        </w:tc>
      </w:tr>
      <w:tr>
        <w:trPr>
          <w:cantSplit/>
        </w:trPr>
        <w:tc>
          <w:tcPr>
            <w:tcW w:type="dxa" w:w="2088"/>
            <w:vAlign w:val="center"/>
            <w:tcMar>
              <w:top w:w="70" w:type="dxa"/>
              <w:bottom w:w="70" w:type="dxa"/>
              <w:left w:w="105" w:type="dxa"/>
              <w:right w:w="105" w:type="dxa"/>
            </w:tcMar>
            <w:shd w:fill="FFFFFF"/>
          </w:tcPr>
          <w:p>
            <w:pPr>
              <w:spacing w:after="0" w:line="252" w:lineRule="auto"/>
            </w:pPr>
            <w:r>
              <w:rPr>
                <w:rFonts w:ascii="Arial" w:hAnsi="Arial"/>
                <w:b w:val="0"/>
                <w:color w:val="000000"/>
                <w:sz w:val="21"/>
              </w:rPr>
              <w:t>action</w:t>
            </w:r>
          </w:p>
        </w:tc>
        <w:tc>
          <w:tcPr>
            <w:tcW w:type="dxa" w:w="2088"/>
            <w:vAlign w:val="center"/>
            <w:tcMar>
              <w:top w:w="70" w:type="dxa"/>
              <w:bottom w:w="70" w:type="dxa"/>
              <w:left w:w="105" w:type="dxa"/>
              <w:right w:w="105" w:type="dxa"/>
            </w:tcMar>
            <w:shd w:fill="FFFFFF"/>
          </w:tcPr>
          <w:p>
            <w:pPr>
              <w:spacing w:after="0" w:line="252" w:lineRule="auto"/>
              <w:jc w:val="center"/>
            </w:pPr>
            <w:r>
              <w:rPr>
                <w:rFonts w:ascii="Arial" w:hAnsi="Arial"/>
                <w:b w:val="0"/>
                <w:color w:val="000000"/>
                <w:sz w:val="21"/>
              </w:rPr>
              <w:t>#5B34BD</w:t>
            </w:r>
          </w:p>
        </w:tc>
        <w:tc>
          <w:tcPr>
            <w:tcW w:type="dxa" w:w="5904"/>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Кнопка на светлом фоне</w:t>
            </w:r>
          </w:p>
        </w:tc>
      </w:tr>
      <w:tr>
        <w:trPr>
          <w:cantSplit/>
        </w:trPr>
        <w:tc>
          <w:tcPr>
            <w:tcW w:type="dxa" w:w="2088"/>
            <w:vAlign w:val="center"/>
            <w:tcMar>
              <w:top w:w="70" w:type="dxa"/>
              <w:bottom w:w="70" w:type="dxa"/>
              <w:left w:w="105" w:type="dxa"/>
              <w:right w:w="105" w:type="dxa"/>
            </w:tcMar>
            <w:shd w:fill="F5F6F7"/>
          </w:tcPr>
          <w:p>
            <w:pPr>
              <w:spacing w:after="0" w:line="252" w:lineRule="auto"/>
            </w:pPr>
            <w:r>
              <w:rPr>
                <w:rFonts w:ascii="Arial" w:hAnsi="Arial"/>
                <w:b w:val="0"/>
                <w:color w:val="000000"/>
                <w:sz w:val="21"/>
              </w:rPr>
              <w:t>selected</w:t>
            </w:r>
          </w:p>
        </w:tc>
        <w:tc>
          <w:tcPr>
            <w:tcW w:type="dxa" w:w="2088"/>
            <w:vAlign w:val="center"/>
            <w:tcMar>
              <w:top w:w="70" w:type="dxa"/>
              <w:bottom w:w="70" w:type="dxa"/>
              <w:left w:w="105" w:type="dxa"/>
              <w:right w:w="105" w:type="dxa"/>
            </w:tcMar>
            <w:shd w:fill="F5F6F7"/>
          </w:tcPr>
          <w:p>
            <w:pPr>
              <w:spacing w:after="0" w:line="252" w:lineRule="auto"/>
              <w:jc w:val="center"/>
            </w:pPr>
            <w:r>
              <w:rPr>
                <w:rFonts w:ascii="Arial" w:hAnsi="Arial"/>
                <w:b w:val="0"/>
                <w:color w:val="000000"/>
                <w:sz w:val="21"/>
              </w:rPr>
              <w:t>#E4DDF3</w:t>
            </w:r>
          </w:p>
        </w:tc>
        <w:tc>
          <w:tcPr>
            <w:tcW w:type="dxa" w:w="5904"/>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Выделение строки или шага</w:t>
            </w:r>
          </w:p>
        </w:tc>
      </w:tr>
      <w:tr>
        <w:trPr>
          <w:cantSplit/>
        </w:trPr>
        <w:tc>
          <w:tcPr>
            <w:tcW w:type="dxa" w:w="2088"/>
            <w:vAlign w:val="center"/>
            <w:tcMar>
              <w:top w:w="70" w:type="dxa"/>
              <w:bottom w:w="70" w:type="dxa"/>
              <w:left w:w="105" w:type="dxa"/>
              <w:right w:w="105" w:type="dxa"/>
            </w:tcMar>
            <w:shd w:fill="FFFFFF"/>
          </w:tcPr>
          <w:p>
            <w:pPr>
              <w:spacing w:after="0" w:line="252" w:lineRule="auto"/>
            </w:pPr>
            <w:r>
              <w:rPr>
                <w:rFonts w:ascii="Arial" w:hAnsi="Arial"/>
                <w:b w:val="0"/>
                <w:color w:val="000000"/>
                <w:sz w:val="21"/>
              </w:rPr>
              <w:t>border</w:t>
            </w:r>
          </w:p>
        </w:tc>
        <w:tc>
          <w:tcPr>
            <w:tcW w:type="dxa" w:w="2088"/>
            <w:vAlign w:val="center"/>
            <w:tcMar>
              <w:top w:w="70" w:type="dxa"/>
              <w:bottom w:w="70" w:type="dxa"/>
              <w:left w:w="105" w:type="dxa"/>
              <w:right w:w="105" w:type="dxa"/>
            </w:tcMar>
            <w:shd w:fill="FFFFFF"/>
          </w:tcPr>
          <w:p>
            <w:pPr>
              <w:spacing w:after="0" w:line="252" w:lineRule="auto"/>
              <w:jc w:val="center"/>
            </w:pPr>
            <w:r>
              <w:rPr>
                <w:rFonts w:ascii="Arial" w:hAnsi="Arial"/>
                <w:b w:val="0"/>
                <w:color w:val="000000"/>
                <w:sz w:val="21"/>
              </w:rPr>
              <w:t>#D9D0DE</w:t>
            </w:r>
          </w:p>
        </w:tc>
        <w:tc>
          <w:tcPr>
            <w:tcW w:type="dxa" w:w="5904"/>
            <w:vAlign w:val="center"/>
            <w:tcMar>
              <w:top w:w="70" w:type="dxa"/>
              <w:bottom w:w="70" w:type="dxa"/>
              <w:left w:w="105" w:type="dxa"/>
              <w:right w:w="105" w:type="dxa"/>
            </w:tcMar>
            <w:shd w:fill="FFFFFF"/>
          </w:tcPr>
          <w:p>
            <w:pPr>
              <w:spacing w:after="0" w:line="252" w:lineRule="auto"/>
            </w:pPr>
            <w:r>
              <w:rPr>
                <w:rFonts w:ascii="Arial" w:hAnsi="Arial"/>
                <w:b w:val="0"/>
                <w:color w:val="000000"/>
                <w:sz w:val="21"/>
              </w:rPr>
              <w:t>Разделение данных</w:t>
            </w:r>
          </w:p>
        </w:tc>
      </w:tr>
      <w:tr>
        <w:trPr>
          <w:cantSplit/>
        </w:trPr>
        <w:tc>
          <w:tcPr>
            <w:tcW w:type="dxa" w:w="2088"/>
            <w:vAlign w:val="center"/>
            <w:tcMar>
              <w:top w:w="70" w:type="dxa"/>
              <w:bottom w:w="70" w:type="dxa"/>
              <w:left w:w="105" w:type="dxa"/>
              <w:right w:w="105" w:type="dxa"/>
            </w:tcMar>
            <w:shd w:fill="F5F6F7"/>
          </w:tcPr>
          <w:p>
            <w:pPr>
              <w:spacing w:after="0" w:line="252" w:lineRule="auto"/>
            </w:pPr>
            <w:r>
              <w:rPr>
                <w:rFonts w:ascii="Arial" w:hAnsi="Arial"/>
                <w:b w:val="0"/>
                <w:color w:val="000000"/>
                <w:sz w:val="21"/>
              </w:rPr>
              <w:t>danger</w:t>
            </w:r>
          </w:p>
        </w:tc>
        <w:tc>
          <w:tcPr>
            <w:tcW w:type="dxa" w:w="2088"/>
            <w:vAlign w:val="center"/>
            <w:tcMar>
              <w:top w:w="70" w:type="dxa"/>
              <w:bottom w:w="70" w:type="dxa"/>
              <w:left w:w="105" w:type="dxa"/>
              <w:right w:w="105" w:type="dxa"/>
            </w:tcMar>
            <w:shd w:fill="F5F6F7"/>
          </w:tcPr>
          <w:p>
            <w:pPr>
              <w:spacing w:after="0" w:line="252" w:lineRule="auto"/>
              <w:jc w:val="center"/>
            </w:pPr>
            <w:r>
              <w:rPr>
                <w:rFonts w:ascii="Arial" w:hAnsi="Arial"/>
                <w:b w:val="0"/>
                <w:color w:val="000000"/>
                <w:sz w:val="21"/>
              </w:rPr>
              <w:t>#B42318</w:t>
            </w:r>
          </w:p>
        </w:tc>
        <w:tc>
          <w:tcPr>
            <w:tcW w:type="dxa" w:w="5904"/>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Ошибка с текстом и иконкой</w:t>
            </w:r>
          </w:p>
        </w:tc>
      </w:tr>
      <w:tr>
        <w:trPr>
          <w:cantSplit/>
        </w:trPr>
        <w:tc>
          <w:tcPr>
            <w:tcW w:type="dxa" w:w="2088"/>
            <w:vAlign w:val="center"/>
            <w:tcMar>
              <w:top w:w="70" w:type="dxa"/>
              <w:bottom w:w="70" w:type="dxa"/>
              <w:left w:w="105" w:type="dxa"/>
              <w:right w:w="105" w:type="dxa"/>
            </w:tcMar>
            <w:shd w:fill="FFFFFF"/>
          </w:tcPr>
          <w:p>
            <w:pPr>
              <w:spacing w:after="0" w:line="252" w:lineRule="auto"/>
            </w:pPr>
            <w:r>
              <w:rPr>
                <w:rFonts w:ascii="Arial" w:hAnsi="Arial"/>
                <w:b w:val="0"/>
                <w:color w:val="000000"/>
                <w:sz w:val="21"/>
              </w:rPr>
              <w:t>warning</w:t>
            </w:r>
          </w:p>
        </w:tc>
        <w:tc>
          <w:tcPr>
            <w:tcW w:type="dxa" w:w="2088"/>
            <w:vAlign w:val="center"/>
            <w:tcMar>
              <w:top w:w="70" w:type="dxa"/>
              <w:bottom w:w="70" w:type="dxa"/>
              <w:left w:w="105" w:type="dxa"/>
              <w:right w:w="105" w:type="dxa"/>
            </w:tcMar>
            <w:shd w:fill="FFFFFF"/>
          </w:tcPr>
          <w:p>
            <w:pPr>
              <w:spacing w:after="0" w:line="252" w:lineRule="auto"/>
              <w:jc w:val="center"/>
            </w:pPr>
            <w:r>
              <w:rPr>
                <w:rFonts w:ascii="Arial" w:hAnsi="Arial"/>
                <w:b w:val="0"/>
                <w:color w:val="000000"/>
                <w:sz w:val="21"/>
              </w:rPr>
              <w:t>#8B4500</w:t>
            </w:r>
          </w:p>
        </w:tc>
        <w:tc>
          <w:tcPr>
            <w:tcW w:type="dxa" w:w="5904"/>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Предупреждение на #FFF0D8</w:t>
            </w:r>
          </w:p>
        </w:tc>
      </w:tr>
      <w:tr>
        <w:trPr>
          <w:cantSplit/>
        </w:trPr>
        <w:tc>
          <w:tcPr>
            <w:tcW w:type="dxa" w:w="2088"/>
            <w:vAlign w:val="center"/>
            <w:tcMar>
              <w:top w:w="70" w:type="dxa"/>
              <w:bottom w:w="70" w:type="dxa"/>
              <w:left w:w="105" w:type="dxa"/>
              <w:right w:w="105" w:type="dxa"/>
            </w:tcMar>
            <w:shd w:fill="F5F6F7"/>
          </w:tcPr>
          <w:p>
            <w:pPr>
              <w:spacing w:after="0" w:line="252" w:lineRule="auto"/>
            </w:pPr>
            <w:r>
              <w:rPr>
                <w:rFonts w:ascii="Arial" w:hAnsi="Arial"/>
                <w:b w:val="0"/>
                <w:color w:val="000000"/>
                <w:sz w:val="21"/>
              </w:rPr>
              <w:t>focus</w:t>
            </w:r>
          </w:p>
        </w:tc>
        <w:tc>
          <w:tcPr>
            <w:tcW w:type="dxa" w:w="2088"/>
            <w:vAlign w:val="center"/>
            <w:tcMar>
              <w:top w:w="70" w:type="dxa"/>
              <w:bottom w:w="70" w:type="dxa"/>
              <w:left w:w="105" w:type="dxa"/>
              <w:right w:w="105" w:type="dxa"/>
            </w:tcMar>
            <w:shd w:fill="F5F6F7"/>
          </w:tcPr>
          <w:p>
            <w:pPr>
              <w:spacing w:after="0" w:line="252" w:lineRule="auto"/>
              <w:jc w:val="center"/>
            </w:pPr>
            <w:r>
              <w:rPr>
                <w:rFonts w:ascii="Arial" w:hAnsi="Arial"/>
                <w:b w:val="0"/>
                <w:color w:val="000000"/>
                <w:sz w:val="21"/>
              </w:rPr>
              <w:t>#7541DF</w:t>
            </w:r>
          </w:p>
        </w:tc>
        <w:tc>
          <w:tcPr>
            <w:tcW w:type="dxa" w:w="5904"/>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Видимый контур фокуса</w:t>
            </w:r>
          </w:p>
        </w:tc>
      </w:tr>
    </w:tbl>
    <w:p>
      <w:pPr>
        <w:spacing w:after="0" w:before="0" w:line="240" w:lineRule="auto"/>
      </w:pPr>
      <w:r>
        <w:rPr>
          <w:sz w:val="6"/>
        </w:rPr>
      </w:r>
    </w:p>
    <w:p>
      <w:pPr>
        <w:pStyle w:val="Heading2"/>
      </w:pPr>
      <w:r>
        <w:t>Типографическая шкала</w:t>
      </w:r>
    </w:p>
    <w:p>
      <w:r>
        <w:t>Основной текст 16/24 px; данные таблицы 14/21 px; помощь 13/19 px; раздел 22/28 px; страница 34/40 px; главный вывод 44/48 px. На телефоне главный вывод 30/34 px. Weight 400–500 для текста, 650 для управляющих элементов, 750–800 для крупных заголовков. Letter-spacing заголовка около −0,025 em; у обычного текста нормальный.</w:t>
      </w:r>
    </w:p>
    <w:p>
      <w:pPr>
        <w:pStyle w:val="Heading2"/>
      </w:pPr>
      <w:r>
        <w:t>Геометрия</w:t>
      </w:r>
    </w:p>
    <w:p>
      <w:r>
        <w:t>Отступы: 4, 8, 12, 16, 24, 32, 48 px. Каркас 24 px, большая плоскость 16–20 px, поля и кнопки 8 px, статусы 6 px. Таблицы почти прямоугольные. Высота действий 44–48 px. Без общей тени на каждой секции; тонкая тень только у раскрытого меню и модального слоя.</w:t>
      </w:r>
    </w:p>
    <w:p>
      <w:r>
        <w:t>Лавандовая кнопка на тёмном фоне имеет сливовый текст. На светлом фоне основная кнопка action с белым текстом. На лавандовой плоскости используй сливовую кнопку со светлым текстом. Для графика: факт сливовый, прогноз фиолетовый пунктир, диапазон полупрозрачная лаванда; легенда обязательна.</w:t>
      </w:r>
    </w:p>
    <w:p>
      <w:r>
        <w:br w:type="page"/>
      </w:r>
    </w:p>
    <w:p>
      <w:pPr>
        <w:pStyle w:val="Heading1"/>
      </w:pPr>
      <w:r>
        <w:t>06 Компоненты и правила взаимодействия</w:t>
      </w:r>
    </w:p>
    <w:p>
      <w:pPr>
        <w:pStyle w:val="Heading2"/>
      </w:pPr>
      <w:r>
        <w:t>Собери небольшой набор повторяемых компонентов</w:t>
      </w:r>
    </w:p>
    <w:p>
      <w:r>
        <w:t>Выдели PageHeader, ContextBar, StatusBadge, ActionButton, EmptyState, ErrorState, Stepper, DataReadiness, Metric, FormField, DataTable, DetailPanel, ConfirmDialog и JobStatus. Имена ориентировочные: используй принятые в проекте соглашения. Каждый компонент должен иметь ясные входные данные и не дублировать бизнес правила API.</w:t>
      </w:r>
    </w:p>
    <w:p>
      <w:pPr>
        <w:pStyle w:val="Heading2"/>
      </w:pPr>
      <w:r>
        <w:t>Кнопки и поля</w:t>
      </w:r>
    </w:p>
    <w:p>
      <w:pPr>
        <w:pStyle w:val="ListBullet"/>
      </w:pPr>
      <w:r>
        <w:t>На отдельном шаге одна главная кнопка. Подпись глаголом: «Проверить файл», «Импортировать данные», «Рассчитать закупку», «Утвердить план». Не используй одинаковое «Продолжить» без контекста.</w:t>
      </w:r>
    </w:p>
    <w:p>
      <w:pPr>
        <w:pStyle w:val="ListBullet"/>
      </w:pPr>
      <w:r>
        <w:t>Второстепенное действие визуально спокойнее. Опасное действие отличается и текстом, и цветом. Icon-only допустим для закрытия или раскрытия с доступным названием, но не для основного сценария.</w:t>
      </w:r>
    </w:p>
    <w:p>
      <w:pPr>
        <w:pStyle w:val="ListBullet"/>
      </w:pPr>
      <w:r>
        <w:t>Над полем постоянная метка, ниже краткая помощь и локальная ошибка. Placeholder не заменяет label. У бюджета и количества видна единица. Сохраняй корректный ввод при ошибке запроса.</w:t>
      </w:r>
    </w:p>
    <w:p>
      <w:pPr>
        <w:pStyle w:val="ListBullet"/>
      </w:pPr>
      <w:r>
        <w:t>Недоступное действие объясняет причину текстом рядом: «Нужны остатки на 01.01.2026». Не прячь объяснение исключительно в tooltip неактивной кнопки.</w:t>
      </w:r>
    </w:p>
    <w:p>
      <w:pPr>
        <w:pStyle w:val="Heading2"/>
      </w:pPr>
      <w:r>
        <w:t>Таблицы и детали</w:t>
      </w:r>
    </w:p>
    <w:p>
      <w:r>
        <w:t>Для повторяемых записей таблица остаётся полезной. Сократи колонки первого уровня до нужных для решения. Поиск, фильтры и сортировка должны реально работать и иметь сброс. Заголовки стабильны, выбранные строки различимы, единицы указаны. Длинные идентификаторы переноси или сокращай с отдельным копированием. Не удаляй столбцы с дефицитом, датой или единицей ради компактности.</w:t>
      </w:r>
    </w:p>
    <w:p>
      <w:r>
        <w:t>Для пояснения строки используй боковую панель на широком экране и отдельный лист или страницу на телефоне. Возврат сохраняет фильтры и положение списка, если контекст филиала не изменился. Не допускай вложенных модальных окон.</w:t>
      </w:r>
    </w:p>
    <w:p>
      <w:pPr>
        <w:pStyle w:val="Heading2"/>
      </w:pPr>
      <w:r>
        <w:t>Сообщения и подтверждения</w:t>
      </w:r>
    </w:p>
    <w:p>
      <w:r>
        <w:t>Toast подходит для краткого подтверждения, но важный результат должен оставаться на странице. Ошибка рядом с действием содержит следующий шаг. Диалог показывает объект, дату, последствия и точную кнопку. После закрытия фокус возвращается к инициатору; Escape работает там, где это безопасно. Во время отправки блокируй повторный submit, сохраняя серверную идемпотентность.</w:t>
      </w:r>
    </w:p>
    <w:p>
      <w:r>
        <w:br w:type="page"/>
      </w:r>
    </w:p>
    <w:p>
      <w:pPr>
        <w:pStyle w:val="Heading1"/>
      </w:pPr>
      <w:r>
        <w:t>07 Навигация контекст и вход</w:t>
      </w:r>
    </w:p>
    <w:p>
      <w:pPr>
        <w:pStyle w:val="Heading2"/>
      </w:pPr>
      <w:r>
        <w:t>Навигация по смыслу работы</w:t>
      </w:r>
    </w:p>
    <w:p>
      <w:r>
        <w:t>Создай узкую сливовую навигацию 224–240 px со светлыми подписями и лавандовым активным состоянием. «Работа» содержит обзор, прогноз и закупки; «Данные» — продажи, импорт, склад, рецепты, поставщиков; «Управление» — отчёты, аудит и настройки. Группировка меняет подачу, сохраняя маршруты и права.</w:t>
      </w:r>
    </w:p>
    <w:p>
      <w:r>
        <w:t>Сохрани адреса /dashboard, /sales, /forecasts, /procurement, /inventory, /recipes, /suppliers, /reports, /imports, /settings и /audit, а также существующие detail URL. Проверь прямой вход, перезагрузку и Back/Forward. Активный раздел определяется маршрутом, а не только последним кликом.</w:t>
      </w:r>
    </w:p>
    <w:p>
      <w:pPr>
        <w:pStyle w:val="Heading2"/>
      </w:pPr>
      <w:r>
        <w:t>Постоянный контекст</w:t>
      </w:r>
    </w:p>
    <w:p>
      <w:pPr>
        <w:pStyle w:val="ListBullet"/>
      </w:pPr>
      <w:r>
        <w:t>Филиал виден всегда. При единственном филиале не создавай впечатление обязательного выбора из пустого списка. При переключении показывай загрузку нового контекста, не оставляй чужие числа на экране.</w:t>
      </w:r>
    </w:p>
    <w:p>
      <w:pPr>
        <w:pStyle w:val="ListBullet"/>
      </w:pPr>
      <w:r>
        <w:t>Отдели режим источника от режима использования: SYNTHETIC, REAL и TEST/PILOT имеют разные смыслы. Показывай человеческое пояснение, а служебную метку можно оставить рядом компактно.</w:t>
      </w:r>
    </w:p>
    <w:p>
      <w:pPr>
        <w:pStyle w:val="ListBullet"/>
      </w:pPr>
      <w:r>
        <w:t>Дата продажи, конец истории, дата прогноза, дата снимка остатков и время создания расчёта должны иметь разные подписи. Не используй одно безымянное поле «Дата» на всех экранах.</w:t>
      </w:r>
    </w:p>
    <w:p>
      <w:pPr>
        <w:pStyle w:val="ListBullet"/>
      </w:pPr>
      <w:r>
        <w:t>Не имитируй доступность API зелёной точкой только потому, что navigator.onLine равен true. Сеть браузера и успешность последнего серверного запроса — разные состояния.</w:t>
      </w:r>
    </w:p>
    <w:p>
      <w:pPr>
        <w:pStyle w:val="Heading2"/>
      </w:pPr>
      <w:r>
        <w:t>Экран входа</w:t>
      </w:r>
    </w:p>
    <w:p>
      <w:r>
        <w:t>Экран входа: сливовое поле с крупной светлой типографикой и одним лавандовым словом; справа бумажная форма без декоративных кругов. Под заголовком короткая схема «Продажи → Прогноз → Закупка». На телефоне остаётся компактный тёмный заголовок и сразу форма. Поля поддерживают автозаполнение, показ пароля и клавиатуру.</w:t>
      </w:r>
    </w:p>
    <w:p>
      <w:r>
        <w:t>Не публикуй пароли демонстрационных аккаунтов. Не добавляй фиктивные «Регистрация», «Забыли пароль» и OAuth кнопки без работающих сценариев. Сообщение о неверном входе не раскрывает существование конкретного аккаунта. Переключение языка не очищает ввод. Сохрани HttpOnly сессию, Origin/CSRF и обработку истечения авторизации.</w:t>
      </w:r>
    </w:p>
    <w:p>
      <w:r>
        <w:br w:type="page"/>
      </w:r>
    </w:p>
    <w:p>
      <w:pPr>
        <w:pStyle w:val="Heading1"/>
      </w:pPr>
      <w:r>
        <w:t>08 Главная страница и следующий шаг</w:t>
      </w:r>
    </w:p>
    <w:p>
      <w:pPr>
        <w:pStyle w:val="Heading2"/>
      </w:pPr>
      <w:r>
        <w:t>Порядок содержимого</w:t>
      </w:r>
    </w:p>
    <w:p>
      <w:pPr>
        <w:ind w:left="317" w:hanging="317"/>
      </w:pPr>
      <w:r>
        <w:rPr>
          <w:b/>
        </w:rPr>
        <w:t xml:space="preserve">1. </w:t>
      </w:r>
      <w:r>
        <w:t>Шапка: «Обзор филиала», имя филиала, дата доступного плана и короткое состояние данных.</w:t>
      </w:r>
    </w:p>
    <w:p>
      <w:pPr>
        <w:ind w:left="317" w:hanging="317"/>
      </w:pPr>
      <w:r>
        <w:rPr>
          <w:b/>
        </w:rPr>
        <w:t xml:space="preserve">2. </w:t>
      </w:r>
      <w:r>
        <w:t>Главная зона занимает 8 из 12 колонок: лавандовое поле «План на [дата]» с крупным текущим результатом или следующим шагом. Справа узкий бумажный список проверок занимает 4 колонки. Одна основная кнопка отражает реальное состояние.</w:t>
      </w:r>
    </w:p>
    <w:p>
      <w:pPr>
        <w:ind w:left="317" w:hanging="317"/>
      </w:pPr>
      <w:r>
        <w:rPr>
          <w:b/>
        </w:rPr>
        <w:t xml:space="preserve">3. </w:t>
      </w:r>
      <w:r>
        <w:t>Короткий список «Требует внимания»: сначала блокирующие причины, затем дефицит и просроченные входные данные, после них некритичные уведомления. Каждый пункт ведёт в нужное место.</w:t>
      </w:r>
    </w:p>
    <w:p>
      <w:pPr>
        <w:ind w:left="317" w:hanging="317"/>
      </w:pPr>
      <w:r>
        <w:rPr>
          <w:b/>
        </w:rPr>
        <w:t xml:space="preserve">4. </w:t>
      </w:r>
      <w:r>
        <w:t>Сопутствующие показатели идут единой типографической строкой с разделителями: продажи, ожидаемые порции, стоимость плана, дефицит. Никаких четырёх одинаковых карточек. У каждого дата и единица; недоступное значение обозначено явно.</w:t>
      </w:r>
    </w:p>
    <w:p>
      <w:pPr>
        <w:ind w:left="317" w:hanging="317"/>
      </w:pPr>
      <w:r>
        <w:rPr>
          <w:b/>
        </w:rPr>
        <w:t xml:space="preserve">5. </w:t>
      </w:r>
      <w:r>
        <w:t>График продаж и компактный блок наиболее важных блюд. Ниже последние прогнозы и планы с понятными датами и состояниями.</w:t>
      </w:r>
    </w:p>
    <w:p>
      <w:pPr>
        <w:pStyle w:val="Heading2"/>
      </w:pPr>
      <w:r>
        <w:t>Как выбирать основную кнопку</w:t>
      </w:r>
    </w:p>
    <w:p>
      <w:r>
        <w:t>Нет подготовленных данных → «Подготовить данные». Данные есть, прогноз отсутствует → «Создать прогноз». Прогноз завершён → «Рассчитать закупку». План есть, требует решения → «Проверить план». План утверждён → «Открыть утверждённый план». Эти состояния выводи из реальных данных, учитывая выбранную дату, версию и права пользователя.</w:t>
      </w:r>
    </w:p>
    <w:p>
      <w:pPr>
        <w:pStyle w:val="Heading2"/>
      </w:pPr>
      <w:r>
        <w:t>Ограничения главного экрана</w:t>
      </w:r>
    </w:p>
    <w:p>
      <w:r>
        <w:t>Не смешивай продажи последнего дня и стоимость плана другой даты без явных подписей. Не показывай процент роста без сопоставимого периода и вычисленного основания. Если показатель означает условную выручку, не превращай его названием в фактическую прибыль. Отсутствие прогноза не должно выглядеть как ноль ожидаемых продаж.</w:t>
      </w:r>
    </w:p>
    <w:p>
      <w:pPr>
        <w:pStyle w:val="Heading2"/>
      </w:pPr>
      <w:r>
        <w:t>Первое знакомство</w:t>
      </w:r>
    </w:p>
    <w:p>
      <w:r>
        <w:t>Для пустого пространства покажи короткое объяснение и проверяемый список подготовки вместо ряда пустых KPI. Для демо предложи пройти уже доступный пример, ясно подписав синтетические данные. Не запускай расчёт или импорт автоматически при открытии страницы.</w:t>
      </w:r>
    </w:p>
    <w:p>
      <w:pPr>
        <w:pStyle w:val="Heading2"/>
      </w:pPr>
      <w:r>
        <w:t>Приёмка этого экрана</w:t>
      </w:r>
    </w:p>
    <w:p>
      <w:r>
        <w:t>На ширине 1440 px основное действие и существенные препятствия видны до длинных таблиц. На 390 px первые два экрана прокрутки объясняют контекст и следующий шаг. Пользователь не должен сначала читать модель, идентификаторы заданий или журнал импорта, чтобы понять состояние своего плана.</w:t>
      </w:r>
    </w:p>
    <w:p>
      <w:r>
        <w:br w:type="page"/>
      </w:r>
    </w:p>
    <w:p>
      <w:pPr>
        <w:pStyle w:val="Heading1"/>
      </w:pPr>
      <w:r>
        <w:t>09 Подготовка данных и первый запуск</w:t>
      </w:r>
    </w:p>
    <w:p>
      <w:pPr>
        <w:pStyle w:val="Heading2"/>
      </w:pPr>
      <w:r>
        <w:t>Экран готовности</w:t>
      </w:r>
    </w:p>
    <w:p>
      <w:r>
        <w:t>Покажи путь «Данные → Прогноз → Закупка → Решение». На первом этапе раздели готовность к прогнозу и готовность к закупке. Список должен объяснять зависимость: продажи нужны прогнозу, рецепты переводят блюда в ингредиенты, остатки уменьшают закупку, предложения поставщиков определяют упаковки и стоимость.</w:t>
      </w:r>
    </w:p>
    <w:p>
      <w:pPr>
        <w:pStyle w:val="Heading2"/>
      </w:pPr>
      <w:r>
        <w:t>Что подготовить пользователю</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7200"/>
      </w:tblGrid>
      <w:tr>
        <w:trPr>
          <w:cantSplit/>
          <w:tblHeader/>
        </w:trPr>
        <w:tc>
          <w:tcPr>
            <w:tcW w:type="dxa" w:w="2880"/>
            <w:vAlign w:val="center"/>
            <w:tcMar>
              <w:top w:w="70" w:type="dxa"/>
              <w:bottom w:w="70" w:type="dxa"/>
              <w:left w:w="105" w:type="dxa"/>
              <w:right w:w="105" w:type="dxa"/>
            </w:tcMar>
            <w:shd w:fill="333333"/>
          </w:tcPr>
          <w:p>
            <w:pPr>
              <w:spacing w:after="0" w:line="252" w:lineRule="auto"/>
            </w:pPr>
            <w:r>
              <w:rPr>
                <w:rFonts w:ascii="Arial" w:hAnsi="Arial"/>
                <w:b/>
                <w:color w:val="FFFFFF"/>
                <w:sz w:val="21"/>
              </w:rPr>
              <w:t>Набор</w:t>
            </w:r>
          </w:p>
        </w:tc>
        <w:tc>
          <w:tcPr>
            <w:tcW w:type="dxa" w:w="7200"/>
            <w:vAlign w:val="center"/>
            <w:tcMar>
              <w:top w:w="70" w:type="dxa"/>
              <w:bottom w:w="70" w:type="dxa"/>
              <w:left w:w="105" w:type="dxa"/>
              <w:right w:w="105" w:type="dxa"/>
            </w:tcMar>
            <w:shd w:fill="333333"/>
          </w:tcPr>
          <w:p>
            <w:pPr>
              <w:spacing w:after="0" w:line="252" w:lineRule="auto"/>
            </w:pPr>
            <w:r>
              <w:rPr>
                <w:rFonts w:ascii="Arial" w:hAnsi="Arial"/>
                <w:b/>
                <w:color w:val="FFFFFF"/>
                <w:sz w:val="21"/>
              </w:rPr>
              <w:t>Что он даёт</w:t>
            </w:r>
          </w:p>
        </w:tc>
      </w:tr>
      <w:tr>
        <w:trPr>
          <w:cantSplit/>
        </w:trPr>
        <w:tc>
          <w:tcPr>
            <w:tcW w:type="dxa" w:w="2880"/>
            <w:vAlign w:val="center"/>
            <w:tcMar>
              <w:top w:w="70" w:type="dxa"/>
              <w:bottom w:w="70" w:type="dxa"/>
              <w:left w:w="105" w:type="dxa"/>
              <w:right w:w="105" w:type="dxa"/>
            </w:tcMar>
            <w:shd w:fill="FFFFFF"/>
          </w:tcPr>
          <w:p>
            <w:pPr>
              <w:spacing w:after="0" w:line="252" w:lineRule="auto"/>
            </w:pPr>
            <w:r>
              <w:rPr>
                <w:rFonts w:ascii="Arial" w:hAnsi="Arial"/>
                <w:b w:val="0"/>
                <w:color w:val="000000"/>
                <w:sz w:val="21"/>
              </w:rPr>
              <w:t>branches и meals</w:t>
            </w:r>
          </w:p>
        </w:tc>
        <w:tc>
          <w:tcPr>
            <w:tcW w:type="dxa" w:w="7200"/>
            <w:vAlign w:val="center"/>
            <w:tcMar>
              <w:top w:w="70" w:type="dxa"/>
              <w:bottom w:w="70" w:type="dxa"/>
              <w:left w:w="105" w:type="dxa"/>
              <w:right w:w="105" w:type="dxa"/>
            </w:tcMar>
            <w:shd w:fill="FFFFFF"/>
          </w:tcPr>
          <w:p>
            <w:pPr>
              <w:spacing w:after="0" w:line="252" w:lineRule="auto"/>
            </w:pPr>
            <w:r>
              <w:rPr>
                <w:rFonts w:ascii="Arial" w:hAnsi="Arial"/>
                <w:b w:val="0"/>
                <w:color w:val="000000"/>
                <w:sz w:val="21"/>
              </w:rPr>
              <w:t>Филиалы и единый справочник блюд</w:t>
            </w:r>
          </w:p>
        </w:tc>
      </w:tr>
      <w:tr>
        <w:trPr>
          <w:cantSplit/>
        </w:trPr>
        <w:tc>
          <w:tcPr>
            <w:tcW w:type="dxa" w:w="2880"/>
            <w:vAlign w:val="center"/>
            <w:tcMar>
              <w:top w:w="70" w:type="dxa"/>
              <w:bottom w:w="70" w:type="dxa"/>
              <w:left w:w="105" w:type="dxa"/>
              <w:right w:w="105" w:type="dxa"/>
            </w:tcMar>
            <w:shd w:fill="F5F6F7"/>
          </w:tcPr>
          <w:p>
            <w:pPr>
              <w:spacing w:after="0" w:line="252" w:lineRule="auto"/>
            </w:pPr>
            <w:r>
              <w:rPr>
                <w:rFonts w:ascii="Arial" w:hAnsi="Arial"/>
                <w:b w:val="0"/>
                <w:color w:val="000000"/>
                <w:sz w:val="21"/>
              </w:rPr>
              <w:t>daily_sales</w:t>
            </w:r>
          </w:p>
        </w:tc>
        <w:tc>
          <w:tcPr>
            <w:tcW w:type="dxa" w:w="7200"/>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Историю количества проданных порций по дням</w:t>
            </w:r>
          </w:p>
        </w:tc>
      </w:tr>
      <w:tr>
        <w:trPr>
          <w:cantSplit/>
        </w:trPr>
        <w:tc>
          <w:tcPr>
            <w:tcW w:type="dxa" w:w="2880"/>
            <w:vAlign w:val="center"/>
            <w:tcMar>
              <w:top w:w="70" w:type="dxa"/>
              <w:bottom w:w="70" w:type="dxa"/>
              <w:left w:w="105" w:type="dxa"/>
              <w:right w:w="105" w:type="dxa"/>
            </w:tcMar>
            <w:shd w:fill="FFFFFF"/>
          </w:tcPr>
          <w:p>
            <w:pPr>
              <w:spacing w:after="0" w:line="252" w:lineRule="auto"/>
            </w:pPr>
            <w:r>
              <w:rPr>
                <w:rFonts w:ascii="Arial" w:hAnsi="Arial"/>
                <w:b w:val="0"/>
                <w:color w:val="000000"/>
                <w:sz w:val="21"/>
              </w:rPr>
              <w:t>ingredients и recipes</w:t>
            </w:r>
          </w:p>
        </w:tc>
        <w:tc>
          <w:tcPr>
            <w:tcW w:type="dxa" w:w="7200"/>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Ингредиенты, единицы и состав блюд</w:t>
            </w:r>
          </w:p>
        </w:tc>
      </w:tr>
      <w:tr>
        <w:trPr>
          <w:cantSplit/>
        </w:trPr>
        <w:tc>
          <w:tcPr>
            <w:tcW w:type="dxa" w:w="2880"/>
            <w:vAlign w:val="center"/>
            <w:tcMar>
              <w:top w:w="70" w:type="dxa"/>
              <w:bottom w:w="70" w:type="dxa"/>
              <w:left w:w="105" w:type="dxa"/>
              <w:right w:w="105" w:type="dxa"/>
            </w:tcMar>
            <w:shd w:fill="F5F6F7"/>
          </w:tcPr>
          <w:p>
            <w:pPr>
              <w:spacing w:after="0" w:line="252" w:lineRule="auto"/>
            </w:pPr>
            <w:r>
              <w:rPr>
                <w:rFonts w:ascii="Arial" w:hAnsi="Arial"/>
                <w:b w:val="0"/>
                <w:color w:val="000000"/>
                <w:sz w:val="21"/>
              </w:rPr>
              <w:t>inventory_lots</w:t>
            </w:r>
          </w:p>
        </w:tc>
        <w:tc>
          <w:tcPr>
            <w:tcW w:type="dxa" w:w="7200"/>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Остатки партий на конкретную дату</w:t>
            </w:r>
          </w:p>
        </w:tc>
      </w:tr>
      <w:tr>
        <w:trPr>
          <w:cantSplit/>
        </w:trPr>
        <w:tc>
          <w:tcPr>
            <w:tcW w:type="dxa" w:w="2880"/>
            <w:vAlign w:val="center"/>
            <w:tcMar>
              <w:top w:w="70" w:type="dxa"/>
              <w:bottom w:w="70" w:type="dxa"/>
              <w:left w:w="105" w:type="dxa"/>
              <w:right w:w="105" w:type="dxa"/>
            </w:tcMar>
            <w:shd w:fill="FFFFFF"/>
          </w:tcPr>
          <w:p>
            <w:pPr>
              <w:spacing w:after="0" w:line="252" w:lineRule="auto"/>
            </w:pPr>
            <w:r>
              <w:rPr>
                <w:rFonts w:ascii="Arial" w:hAnsi="Arial"/>
                <w:b w:val="0"/>
                <w:color w:val="000000"/>
                <w:sz w:val="21"/>
              </w:rPr>
              <w:t>suppliers и supplier_offers</w:t>
            </w:r>
          </w:p>
        </w:tc>
        <w:tc>
          <w:tcPr>
            <w:tcW w:type="dxa" w:w="7200"/>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Поставщиков, упаковки, цены и ограничения</w:t>
            </w:r>
          </w:p>
        </w:tc>
      </w:tr>
      <w:tr>
        <w:trPr>
          <w:cantSplit/>
        </w:trPr>
        <w:tc>
          <w:tcPr>
            <w:tcW w:type="dxa" w:w="2880"/>
            <w:vAlign w:val="center"/>
            <w:tcMar>
              <w:top w:w="70" w:type="dxa"/>
              <w:bottom w:w="70" w:type="dxa"/>
              <w:left w:w="105" w:type="dxa"/>
              <w:right w:w="105" w:type="dxa"/>
            </w:tcMar>
            <w:shd w:fill="F5F6F7"/>
          </w:tcPr>
          <w:p>
            <w:pPr>
              <w:spacing w:after="0" w:line="252" w:lineRule="auto"/>
            </w:pPr>
            <w:r>
              <w:rPr>
                <w:rFonts w:ascii="Arial" w:hAnsi="Arial"/>
                <w:b w:val="0"/>
                <w:color w:val="000000"/>
                <w:sz w:val="21"/>
              </w:rPr>
              <w:t>calendar</w:t>
            </w:r>
          </w:p>
        </w:tc>
        <w:tc>
          <w:tcPr>
            <w:tcW w:type="dxa" w:w="7200"/>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Календарные записи в пределах текущего контракта</w:t>
            </w:r>
          </w:p>
        </w:tc>
      </w:tr>
    </w:tbl>
    <w:p>
      <w:pPr>
        <w:spacing w:after="0" w:before="0" w:line="240" w:lineRule="auto"/>
      </w:pPr>
      <w:r>
        <w:rPr>
          <w:sz w:val="6"/>
        </w:rPr>
      </w:r>
    </w:p>
    <w:p>
      <w:r>
        <w:t>Принимаются ровно девять операционных CSV схем. На экране используй русские и казахские названия, сохраняя техническое имя файла рядом со скачиваемым шаблоном. Обязательные колонки, форматы дат, единицы и порядок загрузки бери из актуального importer и contracts/data_manifest.json. Не придумывай универсальный импорт произвольного Excel.</w:t>
      </w:r>
    </w:p>
    <w:p>
      <w:pPr>
        <w:pStyle w:val="Heading2"/>
      </w:pPr>
      <w:r>
        <w:t>Понятная проверка полноты</w:t>
      </w:r>
    </w:p>
    <w:p>
      <w:r>
        <w:t>Для текущего контракта прогноза объясни требование минимум 84 последовательных дневных наблюдений для блюда. Покажи фактическое покрытие, даты пропусков и ссылку на исправление. Нулевые продажи должны быть явной записью; пропущенный день не превращается в ноль. При отсутствии нужной серии расчёт не должен молча заменяться демонстрационным результатом.</w:t>
      </w:r>
    </w:p>
    <w:p>
      <w:r>
        <w:t>У каждого пункта состояния: «Не загружено», «Нужны исправления», «Готово», «Требует обновления». Прогресс по количеству выполненных проверок не называй процентом точности данных. Готовность вычисляй по действующим API проверкам.</w:t>
      </w:r>
    </w:p>
    <w:p>
      <w:pPr>
        <w:pStyle w:val="Heading2"/>
      </w:pPr>
      <w:r>
        <w:t>Настройка организации</w:t>
      </w:r>
    </w:p>
    <w:p>
      <w:r>
        <w:t>Текущая регистрация организации и источника не является готовым самостоятельным мастером подключения бизнеса. Если пространство не настроено, объясни, какие сведения нужны администратору, и покажи доступный способ продолжения. Не рисуй рабочую кнопку «Подключить бизнес», которая не поддержана backend. Не смешивай тестовый набор и реальные данные внутри одного рабочего пространства.</w:t>
      </w:r>
    </w:p>
    <w:p>
      <w:r>
        <w:br w:type="page"/>
      </w:r>
    </w:p>
    <w:p>
      <w:pPr>
        <w:pStyle w:val="Heading1"/>
      </w:pPr>
      <w:r>
        <w:t>10 Импорт CSV без технической путаницы</w:t>
      </w:r>
    </w:p>
    <w:p>
      <w:pPr>
        <w:pStyle w:val="Heading2"/>
      </w:pPr>
      <w:r>
        <w:t>Четыре явных шага</w:t>
      </w:r>
    </w:p>
    <w:p>
      <w:pPr>
        <w:ind w:left="317" w:hanging="317"/>
      </w:pPr>
      <w:r>
        <w:rPr>
          <w:b/>
        </w:rPr>
        <w:t xml:space="preserve">1. </w:t>
      </w:r>
      <w:r>
        <w:t>Выбор данных. Человек выбирает «Продажи», «Остатки», «Рецепты» или другой разрешённый тип. Рядом назначение, шаблон и минимальный пример без скрытых обязательных колонок.</w:t>
      </w:r>
    </w:p>
    <w:p>
      <w:pPr>
        <w:ind w:left="317" w:hanging="317"/>
      </w:pPr>
      <w:r>
        <w:rPr>
          <w:b/>
        </w:rPr>
        <w:t xml:space="preserve">2. </w:t>
      </w:r>
      <w:r>
        <w:t>Выбор файла. Drag and drop дополняется обычной кнопкой выбора. Показывай имя, размер и допустимый формат. Файл ещё не меняет рабочие данные.</w:t>
      </w:r>
    </w:p>
    <w:p>
      <w:pPr>
        <w:ind w:left="317" w:hanging="317"/>
      </w:pPr>
      <w:r>
        <w:rPr>
          <w:b/>
        </w:rPr>
        <w:t xml:space="preserve">3. </w:t>
      </w:r>
      <w:r>
        <w:t>Проверка. Сначала итог: число строк, допустимых записей, ошибок и предупреждений. Затем предпросмотр и группы проблем. Выбранные филиал, тип и режим источника остаются видны.</w:t>
      </w:r>
    </w:p>
    <w:p>
      <w:pPr>
        <w:ind w:left="317" w:hanging="317"/>
      </w:pPr>
      <w:r>
        <w:rPr>
          <w:b/>
        </w:rPr>
        <w:t xml:space="preserve">4. </w:t>
      </w:r>
      <w:r>
        <w:t>Подтверждение записи. Отдельная кнопка «Импортировать [N] строк». Покажи фактический результат и путь к обновлённым продажам, остаткам или подготовке расчёта.</w:t>
      </w:r>
    </w:p>
    <w:p>
      <w:pPr>
        <w:pStyle w:val="Heading2"/>
      </w:pPr>
      <w:r>
        <w:t>Как показывать ошибки</w:t>
      </w:r>
    </w:p>
    <w:p>
      <w:r>
        <w:t>Ошибка содержит номер строки, имя колонки, ожидаемый формат и способ исправления. Например: «Строка 18, units_sold: количество должно быть целым и неотрицательным». Для неизвестного meal_id предложи проверить справочник блюд. Не ограничивайся «Validation failed». Несколько одинаковых ошибок группируй, сохраняя возможность увидеть каждую строку.</w:t>
      </w:r>
    </w:p>
    <w:p>
      <w:r>
        <w:t>Показывай понятное название колонки и рядом её точное имя из CSV. Не обрезай значения так, чтобы было невозможно отличить идентификаторы. Для длинного списка ошибок используй пагинацию или ограниченное окно, не выводи тысячи DOM строк сразу. Выгрузку отчёта ошибок добавляй только с реальной безопасной реализацией.</w:t>
      </w:r>
    </w:p>
    <w:p>
      <w:pPr>
        <w:pStyle w:val="Heading2"/>
      </w:pPr>
      <w:r>
        <w:t>Сохранность и доверие</w:t>
      </w:r>
    </w:p>
    <w:p>
      <w:pPr>
        <w:pStyle w:val="ListBullet"/>
      </w:pPr>
      <w:r>
        <w:t>Ошибочный commit импорта не меняет операционные строки. Не обещай «частично загрузим правильное», если текущий контракт атомарный.</w:t>
      </w:r>
    </w:p>
    <w:p>
      <w:pPr>
        <w:pStyle w:val="ListBullet"/>
      </w:pPr>
      <w:r>
        <w:t>Не придумывай сопоставление колонок, исправление данных или принятие ZIP, если это не реализовано. Лучше точно объясни, как подготовить CSV.</w:t>
      </w:r>
    </w:p>
    <w:p>
      <w:pPr>
        <w:pStyle w:val="ListBullet"/>
      </w:pPr>
      <w:r>
        <w:t>Повторный файл, конфликт версий, потеря сети и отсутствие прав имеют разные сообщения. После ошибки не показывай зелёное «Готово» по факту завершения HTTP запроса.</w:t>
      </w:r>
    </w:p>
    <w:p>
      <w:pPr>
        <w:pStyle w:val="ListBullet"/>
      </w:pPr>
      <w:r>
        <w:t>Сохраняй строковые ID и десятичные значения. Отображение локальной запятой не должно менять точность отправляемого значения или превращать код 001 в 1.</w:t>
      </w:r>
    </w:p>
    <w:p>
      <w:pPr>
        <w:pStyle w:val="Heading2"/>
      </w:pPr>
      <w:r>
        <w:t>После успешного импорта</w:t>
      </w:r>
    </w:p>
    <w:p>
      <w:r>
        <w:t>Сообщи, что записано, для какого филиала и периода, а также какие проверки ещё нужны. Кнопка следующего шага ведёт в соответствующий экран. Историю импорта, источник и связь с расчётом оставь доступными в деталях; не перегружай ими первый экран успеха.</w:t>
      </w:r>
    </w:p>
    <w:p>
      <w:r>
        <w:br w:type="page"/>
      </w:r>
    </w:p>
    <w:p>
      <w:pPr>
        <w:pStyle w:val="Heading1"/>
      </w:pPr>
      <w:r>
        <w:t>11 Продажи и создание прогноза</w:t>
      </w:r>
    </w:p>
    <w:p>
      <w:pPr>
        <w:pStyle w:val="Heading2"/>
      </w:pPr>
      <w:r>
        <w:t>Продажи</w:t>
      </w:r>
    </w:p>
    <w:p>
      <w:r>
        <w:t>Вверху страницы покажи период доступной истории, количество блюд и полноту покрытия. Затем график количества проданных порций и список блюд с фильтрами. Пользователь должен быстро найти пропущенные дни и понять, хватает ли истории для выбранного расчёта. История продаж описывает фактические наблюдения, а не возможный неудовлетворённый спрос.</w:t>
      </w:r>
    </w:p>
    <w:p>
      <w:r>
        <w:t>Переключение день/период должно менять подписи и агрегацию согласованно. Сопоставляй блюда по точным ID, но отображай их названия. Для нескольких филиалов не суммируй данные скрыто. Если редактирование продаж вручную отсутствует, не добавляй декоративный карандаш в каждой строке.</w:t>
      </w:r>
    </w:p>
    <w:p>
      <w:pPr>
        <w:pStyle w:val="Heading2"/>
      </w:pPr>
      <w:r>
        <w:t>Список прогнозов</w:t>
      </w:r>
    </w:p>
    <w:p>
      <w:r>
        <w:t>Основное название записи: «Прогноз на [дата]». Под ним филиал, человекочитаемое название метода, время запуска и состояние. ID перенеси в детали. Дай рабочие фильтры по доступным полям и ясное действие открытия результата. Недавний неудачный запуск не должен скрывать предыдущий успешный прогноз.</w:t>
      </w:r>
    </w:p>
    <w:p>
      <w:pPr>
        <w:pStyle w:val="Heading2"/>
      </w:pPr>
      <w:r>
        <w:t>Форма расчёта</w:t>
      </w:r>
    </w:p>
    <w:p>
      <w:pPr>
        <w:ind w:left="317" w:hanging="317"/>
      </w:pPr>
      <w:r>
        <w:rPr>
          <w:b/>
        </w:rPr>
        <w:t xml:space="preserve">1. </w:t>
      </w:r>
      <w:r>
        <w:t>Покажи конец используемой истории и доступную целевую дату. Объясни связь между ними одной фразой, не меняя временной контракт ради красивого календаря.</w:t>
      </w:r>
    </w:p>
    <w:p>
      <w:pPr>
        <w:ind w:left="317" w:hanging="317"/>
      </w:pPr>
      <w:r>
        <w:rPr>
          <w:b/>
        </w:rPr>
        <w:t xml:space="preserve">2. </w:t>
      </w:r>
      <w:r>
        <w:t>Проверь покрытие и покажи конкретные причины блокировки. Сохрани переход к пропущенным продажам или импорту.</w:t>
      </w:r>
    </w:p>
    <w:p>
      <w:pPr>
        <w:ind w:left="317" w:hanging="317"/>
      </w:pPr>
      <w:r>
        <w:rPr>
          <w:b/>
        </w:rPr>
        <w:t xml:space="preserve">3. </w:t>
      </w:r>
      <w:r>
        <w:t>Представь методы понятными вариантами с коротким описанием: аналогичный день недели, среднее последних 28 дней и модель HGB. Точное техническое название оставь в помощи. Не объявляй один метод «лучшим» без сопоставимого временного теста.</w:t>
      </w:r>
    </w:p>
    <w:p>
      <w:pPr>
        <w:ind w:left="317" w:hanging="317"/>
      </w:pPr>
      <w:r>
        <w:rPr>
          <w:b/>
        </w:rPr>
        <w:t xml:space="preserve">4. </w:t>
      </w:r>
      <w:r>
        <w:t>Перед запуском сообщи, что будет рассчитано и для какого филиала. После отправки переходи к реальному заданию, сохраняя возможность открыть существующую историю.</w:t>
      </w:r>
    </w:p>
    <w:p>
      <w:pPr>
        <w:pStyle w:val="Heading2"/>
      </w:pPr>
      <w:r>
        <w:t>Ожидание результата</w:t>
      </w:r>
    </w:p>
    <w:p>
      <w:r>
        <w:t>Состояния «В очереди», «Считаем», «Готово», «Не удалось» отображай по серверу. Не рисуй проценты, ETA и этап «Обучение 83%», если сервер их не выдаёт. При долгом выполнении разреши вернуться к списку и открыть то же задание. Повторный просмотр не должен создавать новый расчёт. Отмена показывается только при поддержке API.</w:t>
      </w:r>
    </w:p>
    <w:p>
      <w:r>
        <w:br w:type="page"/>
      </w:r>
    </w:p>
    <w:p>
      <w:pPr>
        <w:pStyle w:val="Heading1"/>
      </w:pPr>
      <w:r>
        <w:t>12 Результат прогноза и графики</w:t>
      </w:r>
    </w:p>
    <w:p>
      <w:pPr>
        <w:pStyle w:val="Heading2"/>
      </w:pPr>
      <w:r>
        <w:t>Порядок чтения результата</w:t>
      </w:r>
    </w:p>
    <w:p>
      <w:r>
        <w:t>Сначала дата, филиал и крупный итог ожидаемых порций. График занимает одну широкую бумажную плоскость без лишней карточки вокруг каждого элемента; выбранное блюдо выделено лавандой. Ниже строки блюд и доступные интервалы. Технические метрики раскрываются отдельно. Главное действие ведёт к закупке на основе этого прогноза.</w:t>
      </w:r>
    </w:p>
    <w:p>
      <w:pPr>
        <w:pStyle w:val="Heading2"/>
      </w:pPr>
      <w:r>
        <w:t>График который помогает понять расчёт</w:t>
      </w:r>
    </w:p>
    <w:p>
      <w:pPr>
        <w:pStyle w:val="ListBullet"/>
      </w:pPr>
      <w:r>
        <w:t>Наблюдаемые продажи показывай сплошной линией, прогноз отличай стилем линии и подписью. Граница истории и прогноза должна быть явной. Единица по оси — порции.</w:t>
      </w:r>
    </w:p>
    <w:p>
      <w:pPr>
        <w:pStyle w:val="ListBullet"/>
      </w:pPr>
      <w:r>
        <w:t>Для одной целевой даты удобнее точка прогноза с вертикальным диапазоном и короткой историей, чем искусственно растянутая гладкая кривая будущего.</w:t>
      </w:r>
    </w:p>
    <w:p>
      <w:pPr>
        <w:pStyle w:val="ListBullet"/>
      </w:pPr>
      <w:r>
        <w:t>Показывай легенду, читаемые даты, подсказку по клавиатуре или альтернативный список значений. Цвет не должен быть единственным различием серий. Пропуск истории отображай разрывом, если он действительно отсутствует.</w:t>
      </w:r>
    </w:p>
    <w:p>
      <w:pPr>
        <w:pStyle w:val="ListBullet"/>
      </w:pPr>
      <w:r>
        <w:t>При большой разнице масштабов предлагай выбор блюда. Не помещай десятки неразличимых линий на один график. Таблица значений доступна рядом для точного просмотра и доступности.</w:t>
      </w:r>
    </w:p>
    <w:p>
      <w:pPr>
        <w:pStyle w:val="Heading2"/>
      </w:pPr>
      <w:r>
        <w:t>Как объяснять статистику честно</w:t>
      </w:r>
    </w:p>
    <w:p>
      <w:r>
        <w:t>У базовых методов p10, p50 и p90 отсутствуют. Не показывай нулевой диапазон и не строй его искусственно. Для HGB диапазон p10–p90 имеет номинальный охват 80%; это не «90% точность». Фактическое покрытие временного теста показывай отдельно, только если оно рассчитано. WAPE при нулевой сумме фактических продаж обозначай как недоступный, а не 0% ошибки.</w:t>
      </w:r>
    </w:p>
    <w:p>
      <w:r>
        <w:t>Не перепутай точечный прогноз, медиану p50 и верхний p90. Названия стратегии закупки должны соответствовать реально использованному полю. Сумма p90 по блюдам — стрессовый сценарий, а не совместная гарантия обслуживания всех гостей.</w:t>
      </w:r>
    </w:p>
    <w:p>
      <w:pPr>
        <w:pStyle w:val="Heading2"/>
      </w:pPr>
      <w:r>
        <w:t>Понятное объяснение блюда</w:t>
      </w:r>
    </w:p>
    <w:p>
      <w:r>
        <w:t>В деталях блюда показывай используемый период, метод, прогноз, диапазон при наличии и ограничения покрытия. Если нет рассчитанного объяснения вклада факторов, не добавляй выдуманные фразы «из-за дождя спрос снизится на 12%». Связь с историей объясняй общими подтверждёнными принципами модели.</w:t>
      </w:r>
    </w:p>
    <w:p>
      <w:r>
        <w:t>Если исходные данные изменились, сохранённый результат остаётся историческим расчётом. Отметь его актуальность и предложи новый запуск. Не меняй старые цифры незаметно для пользователя.</w:t>
      </w:r>
    </w:p>
    <w:p>
      <w:r>
        <w:br w:type="page"/>
      </w:r>
    </w:p>
    <w:p>
      <w:pPr>
        <w:pStyle w:val="Heading1"/>
      </w:pPr>
      <w:r>
        <w:t>13 Расчёт закупки и ограничения</w:t>
      </w:r>
    </w:p>
    <w:p>
      <w:pPr>
        <w:pStyle w:val="Heading2"/>
      </w:pPr>
      <w:r>
        <w:t>Форма перед запуском</w:t>
      </w:r>
    </w:p>
    <w:p>
      <w:r>
        <w:t>Страница закупки выглядит как рабочий лист решения: слева параметры на бумажной поверхности, справа компактная сливовая сводка. Видны выбранный прогноз, филиал, дата и готовность источников. Проверь точный снимок, рецепты и предложения; не подставляй остатки другой даты.</w:t>
      </w:r>
    </w:p>
    <w:p>
      <w:r>
        <w:t>Поля расположи по смыслу: стратегия потребности, бюджет в тенге, доступные ограничения приёмки и хранения, затем дополнительные параметры. Объясняй каждое ограничение через его эффект на результат. Используй только поля, которые реально поддерживает текущий API.</w:t>
      </w:r>
    </w:p>
    <w:p>
      <w:pPr>
        <w:pStyle w:val="Heading2"/>
      </w:pPr>
      <w:r>
        <w:t>Выбор стратегии</w:t>
      </w:r>
    </w:p>
    <w:p>
      <w:r>
        <w:t>Точечный сценарий представь как расчёт по выбранному точечному прогнозу, p50 — по медианной оценке, если она доступна. p90_stress объясни как расчёт с повышенной потребностью по верхним оценкам. Не используй название «Гарантия отсутствия дефицита». Недоступная стратегия должна сообщать причину и допустимый следующий шаг.</w:t>
      </w:r>
    </w:p>
    <w:p>
      <w:pPr>
        <w:pStyle w:val="Heading2"/>
      </w:pPr>
      <w:r>
        <w:t>Результат в первом экране</w:t>
      </w:r>
    </w:p>
    <w:p>
      <w:pPr>
        <w:pStyle w:val="ListBullet"/>
      </w:pPr>
      <w:r>
        <w:t>Заголовок «План закупки на [дата]». Рядом состояние и версия. Под ним стоимость, бюджет, остаток бюджета и число ингредиентов с дефицитом.</w:t>
      </w:r>
    </w:p>
    <w:p>
      <w:pPr>
        <w:pStyle w:val="ListBullet"/>
      </w:pPr>
      <w:r>
        <w:t>Главная область отвечает «Что купить». Группировка по поставщикам, число упаковок, фасовка, закупаемое количество, единица и стоимость. Итоги поставщиков не заменяют общий итог.</w:t>
      </w:r>
    </w:p>
    <w:p>
      <w:pPr>
        <w:pStyle w:val="ListBullet"/>
      </w:pPr>
      <w:r>
        <w:t>Отдельный заметный блок «Чего не хватит» появляется при любом дефиците, даже если решатель вернул optimal. Сначала покажи критичные строки и ограничения, с которыми они связаны.</w:t>
      </w:r>
    </w:p>
    <w:p>
      <w:pPr>
        <w:pStyle w:val="ListBullet"/>
      </w:pPr>
      <w:r>
        <w:t>Раскрываемый раздел «Почему столько» объясняет цепочку по ингредиенту: потребность по рецептам → пригодный остаток → закупка упаковками → остаточный дефицит или излишек.</w:t>
      </w:r>
    </w:p>
    <w:p>
      <w:pPr>
        <w:pStyle w:val="Heading2"/>
      </w:pPr>
      <w:r>
        <w:t>Состояния и ограничения результата</w:t>
      </w:r>
    </w:p>
    <w:p>
      <w:r>
        <w:t>Различай невозможность построить план, найденный план с дефицитом, отсутствие необходимости закупать и ошибку вычисления. Нулевая закупка не всегда означает отсутствие потребности. Статус оптимизации не является подтверждением полноты или безопасности входных данных.</w:t>
      </w:r>
    </w:p>
    <w:p>
      <w:r>
        <w:t>Показывай целые упаковки, минимальный заказ, максимальное число упаковок и проверенные ограничения. Сохраняй действующее правило времени поставки; не обещай календарь доставки или учёт ненулевого lead time сверх реализованного контракта. Изменение бюджета запускает новый расчёт или предусмотренную новую версию, не переписывает утверждённую историю.</w:t>
      </w:r>
    </w:p>
    <w:p>
      <w:r>
        <w:br w:type="page"/>
      </w:r>
    </w:p>
    <w:p>
      <w:pPr>
        <w:pStyle w:val="Heading1"/>
      </w:pPr>
      <w:r>
        <w:t>14 Проверка плана и утверждение</w:t>
      </w:r>
    </w:p>
    <w:p>
      <w:pPr>
        <w:pStyle w:val="Heading2"/>
      </w:pPr>
      <w:r>
        <w:t>Рабочий экран решения</w:t>
      </w:r>
    </w:p>
    <w:p>
      <w:r>
        <w:t>Сделай закреплённую сводку, если она не закрывает содержимое: стоимость, бюджет, существенные предупреждения и основное действие. Пользователь может открыть ингредиент, поставщика, источник прогноза и историю плана, сохраняя контекст решения. На маленьком экране сводка компактная, а детали доступны в один переход.</w:t>
      </w:r>
    </w:p>
    <w:p>
      <w:pPr>
        <w:pStyle w:val="Heading2"/>
      </w:pPr>
      <w:r>
        <w:t>Что видно перед утверждением</w:t>
      </w:r>
    </w:p>
    <w:p>
      <w:pPr>
        <w:ind w:left="317" w:hanging="317"/>
      </w:pPr>
      <w:r>
        <w:rPr>
          <w:b/>
        </w:rPr>
        <w:t xml:space="preserve">1. </w:t>
      </w:r>
      <w:r>
        <w:t>Точный филиал, целевая дата, идентификатор в деталях и текущая версия плана.</w:t>
      </w:r>
    </w:p>
    <w:p>
      <w:pPr>
        <w:ind w:left="317" w:hanging="317"/>
      </w:pPr>
      <w:r>
        <w:rPr>
          <w:b/>
        </w:rPr>
        <w:t xml:space="preserve">2. </w:t>
      </w:r>
      <w:r>
        <w:t>Стоимость и результат независимой проверки ограничений. Число позиций с дефицитом и доступ к каждой из них.</w:t>
      </w:r>
    </w:p>
    <w:p>
      <w:pPr>
        <w:ind w:left="317" w:hanging="317"/>
      </w:pPr>
      <w:r>
        <w:rPr>
          <w:b/>
        </w:rPr>
        <w:t xml:space="preserve">3. </w:t>
      </w:r>
      <w:r>
        <w:t>Статус исходных данных и сведения о том, что изменилось после расчёта, если такая информация есть в API.</w:t>
      </w:r>
    </w:p>
    <w:p>
      <w:pPr>
        <w:ind w:left="317" w:hanging="317"/>
      </w:pPr>
      <w:r>
        <w:rPr>
          <w:b/>
        </w:rPr>
        <w:t xml:space="preserve">4. </w:t>
      </w:r>
      <w:r>
        <w:t>Поле причины решения. При дефиците отдельное явное подтверждение его принятия, изначально выключенное.</w:t>
      </w:r>
    </w:p>
    <w:p>
      <w:pPr>
        <w:ind w:left="317" w:hanging="317"/>
      </w:pPr>
      <w:r>
        <w:rPr>
          <w:b/>
        </w:rPr>
        <w:t xml:space="preserve">5. </w:t>
      </w:r>
      <w:r>
        <w:t>Пояснение: «Утверждение сохраняет ваше решение. Заказ поставщику не отправляется». Кнопка «Утвердить план» запускает одно реальное действие.</w:t>
      </w:r>
    </w:p>
    <w:p>
      <w:pPr>
        <w:pStyle w:val="Heading2"/>
      </w:pPr>
      <w:r>
        <w:t>Конфликты и повторные действия</w:t>
      </w:r>
    </w:p>
    <w:p>
      <w:r>
        <w:t>Передавай expected version, причину и требуемое подтверждение дефицита. Сохраняй существующие механизмы атомарного сравнения, идемпотентности и аудита. Если версия изменилась, объясни: «План изменился. Откройте новую версию и проверьте её перед утверждением». Не повторяй подтверждение автоматически с новой версией.</w:t>
      </w:r>
    </w:p>
    <w:p>
      <w:r>
        <w:t>Пока запрос отправляется, заблокируй повторное нажатие. При потере ответа сначала проверь фактическое состояние плана, чтобы не вводить пользователя в заблуждение. Успех показывай только после подтверждения сервера. Роль без права утверждения видит состояние и объяснение, а не рабочую кнопку.</w:t>
      </w:r>
    </w:p>
    <w:p>
      <w:pPr>
        <w:pStyle w:val="Heading2"/>
      </w:pPr>
      <w:r>
        <w:t>После утверждения</w:t>
      </w:r>
    </w:p>
    <w:p>
      <w:r>
        <w:t>Покажи, кто и когда утвердил план, его версию и следующий доступный шаг «Скачать список закупки». Выгрузка должна соответствовать сохранённому решению. Не изменяй старый CSV из-за последующего прихода, импорта или нового прогноза. Новые действия ведут к новым документам и расчётам.</w:t>
      </w:r>
    </w:p>
    <w:p>
      <w:r>
        <w:t>Не называй утверждённый план «Заказ отправлен», «Товар заказан» или «Склад пополнен». Визуальное завершение процесса должно отражать именно сохранённое решение пользователя.</w:t>
      </w:r>
    </w:p>
    <w:p>
      <w:r>
        <w:br w:type="page"/>
      </w:r>
    </w:p>
    <w:p>
      <w:pPr>
        <w:pStyle w:val="Heading1"/>
      </w:pPr>
      <w:r>
        <w:t>15 Склад рецепты и поставщики</w:t>
      </w:r>
    </w:p>
    <w:p>
      <w:pPr>
        <w:pStyle w:val="Heading2"/>
      </w:pPr>
      <w:r>
        <w:t>Склад</w:t>
      </w:r>
    </w:p>
    <w:p>
      <w:r>
        <w:t>Раздели просмотр состояния и ввод документов. Вверху дата и основание остатков, затем пригодное количество, близкие сроки годности и проблемные позиции. Список ингредиентов показывает название, единицу, доступный остаток и состояние. Детали раскрывают партии, срок годности и движения; нулевой остаток отличается от отсутствия записи.</w:t>
      </w:r>
    </w:p>
    <w:p>
      <w:r>
        <w:t>Операции называй понятными словами: приход, списание, расход по рецепту, корректировка, отмена через обратную запись, новый пересчёт. Перед отправкой покажи предмет изменения, дату, величину и последствия. Не превращай журнал в свободно редактируемую таблицу прошлых значений.</w:t>
      </w:r>
    </w:p>
    <w:p>
      <w:r>
        <w:t>Объясни разницу между расчётными движениями и подтверждённым пересчётом. Для закупки после открытия журнала нужна независимая проверка и сверка на точную дату. При новом основании пересчёта должны сохраняться preview, причина, подтверждения, версии и аудит. Известные партии требуют явных нулей; отсутствие строки не означает нулевой остаток. Не предлагай отмену через границу основания или второй пересчёт той же даты, если это запрещено контрактом.</w:t>
      </w:r>
    </w:p>
    <w:p>
      <w:pPr>
        <w:pStyle w:val="Heading2"/>
      </w:pPr>
      <w:r>
        <w:t>Рецепты</w:t>
      </w:r>
    </w:p>
    <w:p>
      <w:r>
        <w:t>Список начинай с блюд и статуса полноты рецептуры. Внутри блюда покажи ингредиенты на порцию, единицы, выход и дату действия версии. Простой пример объясняет переход от порций к сырью; численные значения берутся из выбранного рецепта. Для неполного состава укажи, что именно мешает расчёту.</w:t>
      </w:r>
    </w:p>
    <w:p>
      <w:r>
        <w:t>Подтверждение новой датированной рецептуры показывает полный состав и дату активации. Сохрани замороженный выход и существующие правила истории. Не меняй ранее использованную версию и не применяй выход повторно в интерфейсном вычислении.</w:t>
      </w:r>
    </w:p>
    <w:p>
      <w:pPr>
        <w:pStyle w:val="Heading2"/>
      </w:pPr>
      <w:r>
        <w:t>Поставщики</w:t>
      </w:r>
    </w:p>
    <w:p>
      <w:r>
        <w:t>Покажи поставщика, его предложения и условия. В предложении отчётливо раздели цену единицы, размер упаковки и стоимость упаковки. Минимальное и максимальное число упаковок не должны выглядеть как количество килограммов. Отсутствующая цена или предложение не превращаются в ноль.</w:t>
      </w:r>
    </w:p>
    <w:p>
      <w:r>
        <w:t>Если изменения выполняются импортом, направляй к соответствующему шаблону. Не добавляй фиктивные чат, автоматическую отправку заказа, телефон или статус доставки. Контакты и действия доступны только при наличии реальных полей и работающего сценария.</w:t>
      </w:r>
    </w:p>
    <w:p>
      <w:r>
        <w:br w:type="page"/>
      </w:r>
    </w:p>
    <w:p>
      <w:pPr>
        <w:pStyle w:val="Heading1"/>
      </w:pPr>
      <w:r>
        <w:t>16 Отчёты журнал действий и настройки</w:t>
      </w:r>
    </w:p>
    <w:p>
      <w:pPr>
        <w:pStyle w:val="Heading2"/>
      </w:pPr>
      <w:r>
        <w:t>Отчёты</w:t>
      </w:r>
    </w:p>
    <w:p>
      <w:r>
        <w:t>Текущий раздел связан с временным тестированием моделей и воспроизводимостью. Объясни, что сравнивается, на каком периоде и на каких данных. Не переименовывай его содержимое в прибыль, бухгалтерский отчёт или подтверждённую экономию бизнеса.</w:t>
      </w:r>
    </w:p>
    <w:p>
      <w:r>
        <w:t>Сначала короткое объяснение результата сравнения, затем таблица методов, метрик и периода. Сравниваемые методы должны использовать один временной тест. Недоступная метрика имеет объяснение. Seed, версии runtime, признаки и hash данных можно раскрыть в технических деталях, сохранив доступность выгрузок.</w:t>
      </w:r>
    </w:p>
    <w:p>
      <w:pPr>
        <w:pStyle w:val="Heading2"/>
      </w:pPr>
      <w:r>
        <w:t>Журнал действий</w:t>
      </w:r>
    </w:p>
    <w:p>
      <w:r>
        <w:t>Представь аудит как читаемую историю: кто, когда, в каком филиале, что сделал и какой объект затронут. Понятные названия событий дополняют точные типы из API. Фильтры по времени и объекту должны реально поддерживаться. Детали показывают версию, причину и результат операции в разрешённом объёме.</w:t>
      </w:r>
    </w:p>
    <w:p>
      <w:r>
        <w:t>Не выводи полные секреты, токены, cookie, пароли, connection strings и лишние персональные данные. Не меняй события в браузере и не создавай фиктивные записи для красивой ленты. При отсутствии действий покажи назначение журнала и честное пустое состояние.</w:t>
      </w:r>
    </w:p>
    <w:p>
      <w:pPr>
        <w:pStyle w:val="Heading2"/>
      </w:pPr>
      <w:r>
        <w:t>Настройки и доступ</w:t>
      </w:r>
    </w:p>
    <w:p>
      <w:r>
        <w:t>Раздели профиль и безопасность, пользователей и сведения о рабочем пространстве. Организация и источник могут быть доступны только для чтения. Прямо обозначь это и объясни, куда обратиться, если настройка требует администратора. Не добавляй автосохранение к полям, которые не имеют API изменения.</w:t>
      </w:r>
    </w:p>
    <w:p>
      <w:r>
        <w:t>В управлении пользователями роли объясняются через доступные действия. Выбор филиалов явный. После изменения прав обновляется фактическое состояние доступа; старый экран не должен продолжать выполнять запрещённые действия. Для смены пароля сохрани действующую ревокацию сессий и сообщения повторного входа.</w:t>
      </w:r>
    </w:p>
    <w:p>
      <w:pPr>
        <w:pStyle w:val="Heading2"/>
      </w:pPr>
      <w:r>
        <w:t>Короткая помощь в рабочем контексте</w:t>
      </w:r>
    </w:p>
    <w:p>
      <w:r>
        <w:t>Добавь доступную справку «Как это работает» из каждого этапа. Она объясняет нужные данные, смысл результата и ограничения конкретного экрана. Не делай длинную обязательную экскурсию с десятками подсказок. Помощь можно закрыть и снова открыть; она не заменяет понятные подписи самой формы.</w:t>
      </w:r>
    </w:p>
    <w:p>
      <w:r>
        <w:t>Поиск по разделам, массовые действия, уведомления и новые каналы поддержки не входят автоматически в редизайн. Добавляй их только при реальной необходимости и полной работающей реализации.</w:t>
      </w:r>
    </w:p>
    <w:p>
      <w:r>
        <w:br w:type="page"/>
      </w:r>
    </w:p>
    <w:p>
      <w:pPr>
        <w:pStyle w:val="Heading1"/>
      </w:pPr>
      <w:r>
        <w:t>17 Тексты и казахская локализация</w:t>
      </w:r>
    </w:p>
    <w:p>
      <w:pPr>
        <w:pStyle w:val="Heading2"/>
      </w:pPr>
      <w:r>
        <w:t>Правило языка</w:t>
      </w:r>
    </w:p>
    <w:p>
      <w:r>
        <w:t>Пиши короткими фразами о действиях человека. Заголовок объясняет задачу, пояснение добавляет недостающий смысл, кнопка называет результат нажатия. Технический термин допускается в деталях с понятным определением. Все видимые строки, aria-label, ошибки, статусы, пустые состояния и диалоги должны иметь казахскую и русскую версии.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4032"/>
        <w:gridCol w:w="4032"/>
      </w:tblGrid>
      <w:tr>
        <w:trPr>
          <w:cantSplit/>
          <w:tblHeader/>
        </w:trPr>
        <w:tc>
          <w:tcPr>
            <w:tcW w:type="dxa" w:w="2016"/>
            <w:vAlign w:val="center"/>
            <w:tcMar>
              <w:top w:w="70" w:type="dxa"/>
              <w:bottom w:w="70" w:type="dxa"/>
              <w:left w:w="105" w:type="dxa"/>
              <w:right w:w="105" w:type="dxa"/>
            </w:tcMar>
            <w:shd w:fill="333333"/>
          </w:tcPr>
          <w:p>
            <w:pPr>
              <w:spacing w:after="0" w:line="252" w:lineRule="auto"/>
            </w:pPr>
            <w:r>
              <w:rPr>
                <w:rFonts w:ascii="Arial" w:hAnsi="Arial"/>
                <w:b/>
                <w:color w:val="FFFFFF"/>
                <w:sz w:val="21"/>
              </w:rPr>
              <w:t>Смысл</w:t>
            </w:r>
          </w:p>
        </w:tc>
        <w:tc>
          <w:tcPr>
            <w:tcW w:type="dxa" w:w="4032"/>
            <w:vAlign w:val="center"/>
            <w:tcMar>
              <w:top w:w="70" w:type="dxa"/>
              <w:bottom w:w="70" w:type="dxa"/>
              <w:left w:w="105" w:type="dxa"/>
              <w:right w:w="105" w:type="dxa"/>
            </w:tcMar>
            <w:shd w:fill="333333"/>
          </w:tcPr>
          <w:p>
            <w:pPr>
              <w:spacing w:after="0" w:line="252" w:lineRule="auto"/>
            </w:pPr>
            <w:r>
              <w:rPr>
                <w:rFonts w:ascii="Arial" w:hAnsi="Arial"/>
                <w:b/>
                <w:color w:val="FFFFFF"/>
                <w:sz w:val="21"/>
              </w:rPr>
              <w:t>Русский вариант</w:t>
            </w:r>
          </w:p>
        </w:tc>
        <w:tc>
          <w:tcPr>
            <w:tcW w:type="dxa" w:w="4032"/>
            <w:vAlign w:val="center"/>
            <w:tcMar>
              <w:top w:w="70" w:type="dxa"/>
              <w:bottom w:w="70" w:type="dxa"/>
              <w:left w:w="105" w:type="dxa"/>
              <w:right w:w="105" w:type="dxa"/>
            </w:tcMar>
            <w:shd w:fill="333333"/>
          </w:tcPr>
          <w:p>
            <w:pPr>
              <w:spacing w:after="0" w:line="252" w:lineRule="auto"/>
            </w:pPr>
            <w:r>
              <w:rPr>
                <w:rFonts w:ascii="Arial" w:hAnsi="Arial"/>
                <w:b/>
                <w:color w:val="FFFFFF"/>
                <w:sz w:val="21"/>
              </w:rPr>
              <w:t>Казахский ориентир</w:t>
            </w:r>
          </w:p>
        </w:tc>
      </w:tr>
      <w:tr>
        <w:trPr>
          <w:cantSplit/>
        </w:trPr>
        <w:tc>
          <w:tcPr>
            <w:tcW w:type="dxa" w:w="2016"/>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Главное действие</w:t>
            </w:r>
          </w:p>
        </w:tc>
        <w:tc>
          <w:tcPr>
            <w:tcW w:type="dxa" w:w="4032"/>
            <w:vAlign w:val="center"/>
            <w:tcMar>
              <w:top w:w="70" w:type="dxa"/>
              <w:bottom w:w="70" w:type="dxa"/>
              <w:left w:w="105" w:type="dxa"/>
              <w:right w:w="105" w:type="dxa"/>
            </w:tcMar>
            <w:shd w:fill="FFFFFF"/>
          </w:tcPr>
          <w:p>
            <w:pPr>
              <w:spacing w:after="0" w:line="252" w:lineRule="auto"/>
            </w:pPr>
            <w:r>
              <w:rPr>
                <w:rFonts w:ascii="Arial" w:hAnsi="Arial"/>
                <w:b w:val="0"/>
                <w:color w:val="000000"/>
                <w:sz w:val="21"/>
              </w:rPr>
              <w:t>Создать прогноз</w:t>
            </w:r>
          </w:p>
        </w:tc>
        <w:tc>
          <w:tcPr>
            <w:tcW w:type="dxa" w:w="4032"/>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Болжам жасау</w:t>
            </w:r>
          </w:p>
        </w:tc>
      </w:tr>
      <w:tr>
        <w:trPr>
          <w:cantSplit/>
        </w:trPr>
        <w:tc>
          <w:tcPr>
            <w:tcW w:type="dxa" w:w="2016"/>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Импорт</w:t>
            </w:r>
          </w:p>
        </w:tc>
        <w:tc>
          <w:tcPr>
            <w:tcW w:type="dxa" w:w="4032"/>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Проверить файл</w:t>
            </w:r>
          </w:p>
        </w:tc>
        <w:tc>
          <w:tcPr>
            <w:tcW w:type="dxa" w:w="4032"/>
            <w:vAlign w:val="center"/>
            <w:tcMar>
              <w:top w:w="70" w:type="dxa"/>
              <w:bottom w:w="70" w:type="dxa"/>
              <w:left w:w="105" w:type="dxa"/>
              <w:right w:w="105" w:type="dxa"/>
            </w:tcMar>
            <w:shd w:fill="F5F6F7"/>
          </w:tcPr>
          <w:p>
            <w:pPr>
              <w:spacing w:after="0" w:line="252" w:lineRule="auto"/>
            </w:pPr>
            <w:r>
              <w:rPr>
                <w:rFonts w:ascii="Arial" w:hAnsi="Arial"/>
                <w:b w:val="0"/>
                <w:color w:val="000000"/>
                <w:sz w:val="21"/>
              </w:rPr>
              <w:t>Файлды тексеру</w:t>
            </w:r>
          </w:p>
        </w:tc>
      </w:tr>
      <w:tr>
        <w:trPr>
          <w:cantSplit/>
        </w:trPr>
        <w:tc>
          <w:tcPr>
            <w:tcW w:type="dxa" w:w="2016"/>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Запись данных</w:t>
            </w:r>
          </w:p>
        </w:tc>
        <w:tc>
          <w:tcPr>
            <w:tcW w:type="dxa" w:w="4032"/>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Данные загружены</w:t>
            </w:r>
          </w:p>
        </w:tc>
        <w:tc>
          <w:tcPr>
            <w:tcW w:type="dxa" w:w="4032"/>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Деректер жүктелді</w:t>
            </w:r>
          </w:p>
        </w:tc>
      </w:tr>
      <w:tr>
        <w:trPr>
          <w:cantSplit/>
        </w:trPr>
        <w:tc>
          <w:tcPr>
            <w:tcW w:type="dxa" w:w="2016"/>
            <w:vAlign w:val="center"/>
            <w:tcMar>
              <w:top w:w="70" w:type="dxa"/>
              <w:bottom w:w="70" w:type="dxa"/>
              <w:left w:w="105" w:type="dxa"/>
              <w:right w:w="105" w:type="dxa"/>
            </w:tcMar>
            <w:shd w:fill="F5F6F7"/>
          </w:tcPr>
          <w:p>
            <w:pPr>
              <w:spacing w:after="0" w:line="252" w:lineRule="auto"/>
            </w:pPr>
            <w:r>
              <w:rPr>
                <w:rFonts w:ascii="Arial" w:hAnsi="Arial"/>
                <w:b w:val="0"/>
                <w:color w:val="000000"/>
                <w:sz w:val="21"/>
              </w:rPr>
              <w:t>Следующий шаг</w:t>
            </w:r>
          </w:p>
        </w:tc>
        <w:tc>
          <w:tcPr>
            <w:tcW w:type="dxa" w:w="4032"/>
            <w:vAlign w:val="center"/>
            <w:tcMar>
              <w:top w:w="70" w:type="dxa"/>
              <w:bottom w:w="70" w:type="dxa"/>
              <w:left w:w="105" w:type="dxa"/>
              <w:right w:w="105" w:type="dxa"/>
            </w:tcMar>
            <w:shd w:fill="F5F6F7"/>
          </w:tcPr>
          <w:p>
            <w:pPr>
              <w:spacing w:after="0" w:line="252" w:lineRule="auto"/>
            </w:pPr>
            <w:r>
              <w:rPr>
                <w:rFonts w:ascii="Arial" w:hAnsi="Arial"/>
                <w:b w:val="0"/>
                <w:color w:val="000000"/>
                <w:sz w:val="21"/>
              </w:rPr>
              <w:t>Рассчитать закупку</w:t>
            </w:r>
          </w:p>
        </w:tc>
        <w:tc>
          <w:tcPr>
            <w:tcW w:type="dxa" w:w="4032"/>
            <w:vAlign w:val="center"/>
            <w:tcMar>
              <w:top w:w="70" w:type="dxa"/>
              <w:bottom w:w="70" w:type="dxa"/>
              <w:left w:w="105" w:type="dxa"/>
              <w:right w:w="105" w:type="dxa"/>
            </w:tcMar>
            <w:shd w:fill="F5F6F7"/>
          </w:tcPr>
          <w:p>
            <w:pPr>
              <w:spacing w:after="0" w:line="252" w:lineRule="auto"/>
            </w:pPr>
            <w:r>
              <w:rPr>
                <w:rFonts w:ascii="Arial" w:hAnsi="Arial"/>
                <w:b w:val="0"/>
                <w:color w:val="000000"/>
                <w:sz w:val="21"/>
              </w:rPr>
              <w:t>Сатып алу жоспарын есептеу</w:t>
            </w:r>
          </w:p>
        </w:tc>
      </w:tr>
      <w:tr>
        <w:trPr>
          <w:cantSplit/>
        </w:trPr>
        <w:tc>
          <w:tcPr>
            <w:tcW w:type="dxa" w:w="2016"/>
            <w:vAlign w:val="center"/>
            <w:tcMar>
              <w:top w:w="70" w:type="dxa"/>
              <w:bottom w:w="70" w:type="dxa"/>
              <w:left w:w="105" w:type="dxa"/>
              <w:right w:w="105" w:type="dxa"/>
            </w:tcMar>
            <w:shd w:fill="FFFFFF"/>
          </w:tcPr>
          <w:p>
            <w:pPr>
              <w:spacing w:after="0" w:line="252" w:lineRule="auto"/>
            </w:pPr>
            <w:r>
              <w:rPr>
                <w:rFonts w:ascii="Arial" w:hAnsi="Arial"/>
                <w:b w:val="0"/>
                <w:color w:val="000000"/>
                <w:sz w:val="21"/>
              </w:rPr>
              <w:t>Решение</w:t>
            </w:r>
          </w:p>
        </w:tc>
        <w:tc>
          <w:tcPr>
            <w:tcW w:type="dxa" w:w="4032"/>
            <w:vAlign w:val="center"/>
            <w:tcMar>
              <w:top w:w="70" w:type="dxa"/>
              <w:bottom w:w="70" w:type="dxa"/>
              <w:left w:w="105" w:type="dxa"/>
              <w:right w:w="105" w:type="dxa"/>
            </w:tcMar>
            <w:shd w:fill="FFFFFF"/>
          </w:tcPr>
          <w:p>
            <w:pPr>
              <w:spacing w:after="0" w:line="252" w:lineRule="auto"/>
            </w:pPr>
            <w:r>
              <w:rPr>
                <w:rFonts w:ascii="Arial" w:hAnsi="Arial"/>
                <w:b w:val="0"/>
                <w:color w:val="000000"/>
                <w:sz w:val="21"/>
              </w:rPr>
              <w:t>Утвердить план</w:t>
            </w:r>
          </w:p>
        </w:tc>
        <w:tc>
          <w:tcPr>
            <w:tcW w:type="dxa" w:w="4032"/>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Жоспарды бекіту</w:t>
            </w:r>
          </w:p>
        </w:tc>
      </w:tr>
      <w:tr>
        <w:trPr>
          <w:cantSplit/>
        </w:trPr>
        <w:tc>
          <w:tcPr>
            <w:tcW w:type="dxa" w:w="2016"/>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Нет снимка</w:t>
            </w:r>
          </w:p>
        </w:tc>
        <w:tc>
          <w:tcPr>
            <w:tcW w:type="dxa" w:w="4032"/>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Нет данных об остатках на эту дату</w:t>
            </w:r>
          </w:p>
        </w:tc>
        <w:tc>
          <w:tcPr>
            <w:tcW w:type="dxa" w:w="4032"/>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Осы күнге қалдық деректері жоқ</w:t>
            </w:r>
          </w:p>
        </w:tc>
      </w:tr>
      <w:tr>
        <w:trPr>
          <w:cantSplit/>
        </w:trPr>
        <w:tc>
          <w:tcPr>
            <w:tcW w:type="dxa" w:w="2016"/>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Мало данных</w:t>
            </w:r>
          </w:p>
        </w:tc>
        <w:tc>
          <w:tcPr>
            <w:tcW w:type="dxa" w:w="4032"/>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Недостаточно данных</w:t>
            </w:r>
          </w:p>
        </w:tc>
        <w:tc>
          <w:tcPr>
            <w:tcW w:type="dxa" w:w="4032"/>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Деректер жеткіліксіз</w:t>
            </w:r>
          </w:p>
        </w:tc>
      </w:tr>
      <w:tr>
        <w:trPr>
          <w:cantSplit/>
        </w:trPr>
        <w:tc>
          <w:tcPr>
            <w:tcW w:type="dxa" w:w="2016"/>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Исправление</w:t>
            </w:r>
          </w:p>
        </w:tc>
        <w:tc>
          <w:tcPr>
            <w:tcW w:type="dxa" w:w="4032"/>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Повторить попытку</w:t>
            </w:r>
          </w:p>
        </w:tc>
        <w:tc>
          <w:tcPr>
            <w:tcW w:type="dxa" w:w="4032"/>
            <w:vAlign w:val="center"/>
            <w:tcMar>
              <w:top w:w="70" w:type="dxa"/>
              <w:bottom w:w="70" w:type="dxa"/>
              <w:left w:w="105" w:type="dxa"/>
              <w:right w:w="105" w:type="dxa"/>
            </w:tcMar>
            <w:shd w:fill="F5F6F7"/>
          </w:tcPr>
          <w:p>
            <w:pPr>
              <w:spacing w:after="0" w:line="252" w:lineRule="auto"/>
            </w:pPr>
            <w:r>
              <w:rPr>
                <w:rFonts w:ascii="Arial" w:hAnsi="Arial"/>
                <w:b w:val="0"/>
                <w:color w:val="000000"/>
                <w:sz w:val="21"/>
              </w:rPr>
              <w:t>Қайталап көру</w:t>
            </w:r>
          </w:p>
        </w:tc>
      </w:tr>
    </w:tbl>
    <w:p>
      <w:pPr>
        <w:spacing w:after="0" w:before="0" w:line="240" w:lineRule="auto"/>
      </w:pPr>
      <w:r>
        <w:rPr>
          <w:sz w:val="6"/>
        </w:rPr>
      </w:r>
    </w:p>
    <w:p>
      <w:r>
        <w:t>Казахские формулировки выше задают смысл и должны пройти редакторскую проверку в контексте. Используй уже согласованную терминологию проекта; не возвращай исправленные ранее ошибки. Проверь буквы Ә Ғ Қ Ң Ө Ұ Ү Һ І и их строчные формы во всех шрифтах и начертаниях.</w:t>
      </w:r>
    </w:p>
    <w:p>
      <w:pPr>
        <w:pStyle w:val="Heading2"/>
      </w:pPr>
      <w:r>
        <w:t>Примеры развёрнутых сообщений</w:t>
      </w:r>
    </w:p>
    <w:p>
      <w:r>
        <w:t>Пустые продажи: «Пока нет истории продаж. Загрузите CSV, чтобы построить прогноз». Нет точного снимка: «Для плана на [дата] нужны остатки на эту дату. Выберите подходящую загрузку или выполните требуемый пересчёт». Ошибка задания: «Расчёт не завершился. Данные сохранены. Откройте подробности или повторите запуск». Последнюю фразу используй только если сохранность подтверждена фактическим состоянием.</w:t>
      </w:r>
    </w:p>
    <w:p>
      <w:r>
        <w:t>Не показывай пользователю raw optimal, pending, stale, p90_stress или LIVE_COMPUTE как единственную подпись. Человекочитаемый статус должен точно соответствовать коду. Не заменяй «Неизвестно» на «Всё хорошо», чтобы экран выглядел спокойнее.</w:t>
      </w:r>
    </w:p>
    <w:p>
      <w:pPr>
        <w:pStyle w:val="Heading2"/>
      </w:pPr>
      <w:r>
        <w:t>Длины строк и форматирование</w:t>
      </w:r>
    </w:p>
    <w:p>
      <w:r>
        <w:t>Проверяй переносы на обоих языках, особенно в кнопках, нижней навигации и диалогах. Формат даты и чисел единообразен в выбранной локали. Ввод не должен менять точность backend значений. Избегай текста внутри растровых картинок; все подписи доступны переводу и чтению с экрана.</w:t>
      </w:r>
    </w:p>
    <w:p>
      <w:r>
        <w:br w:type="page"/>
      </w:r>
    </w:p>
    <w:p>
      <w:pPr>
        <w:pStyle w:val="Heading1"/>
      </w:pPr>
      <w:r>
        <w:t>18 Телефон доступность и состояния</w:t>
      </w:r>
    </w:p>
    <w:p>
      <w:pPr>
        <w:pStyle w:val="Heading2"/>
      </w:pPr>
      <w:r>
        <w:t>Адаптивность</w:t>
      </w:r>
    </w:p>
    <w:p>
      <w:r>
        <w:t>Проверь 360, 390, 768, 1024 и 1440 px. На телефоне сливовая верхняя полоска и нижняя навигация обрамляют бумажный экран; лаванда выделяет один следующий шаг. Одна колонка, поля 16 px, полные подписи действий. Нижняя навигация: 4 раздела и «Ещё». Учти safe area и нижний отступ, чтобы не перекрывать содержимое.</w:t>
      </w:r>
    </w:p>
    <w:p>
      <w:r>
        <w:t>Табличную запись на телефоне представляй карточкой: название, главный результат, дата, статус и раскрытие деталей. Если таблица необходима для сравнения, оставь ограниченный горизонтальный скролл внутри неё с видимой подсказкой. Вся страница не должна прокручиваться горизонтально. Фильтры открываются отдельным листом, их количество и сброс видны.</w:t>
      </w:r>
    </w:p>
    <w:p>
      <w:pPr>
        <w:pStyle w:val="Heading2"/>
      </w:pPr>
      <w:r>
        <w:t>Доступность как критерий приёмки</w:t>
      </w:r>
    </w:p>
    <w:p>
      <w:r>
        <w:t>Цель: контраст обычного текста не ниже 4,5:1, крупного текста и значимых элементов управления не ниже 3:1. Измеряй фактические пары цветов. Все действия доступны клавиатурой; видимый focus не теряется. Размер целевой зоны основных действий не меньше 44×44 px. Проверь масштаб браузера 200%, порядок заголовков, skip link, поля с label и смысл статусов без цвета.</w:t>
      </w:r>
    </w:p>
    <w:p>
      <w:r>
        <w:t>Диалоги удерживают фокус и возвращают его после закрытия. Ошибка формы связывается с полем через доступное описание. Изменения состояния расчёта объявляются без постоянного повторения; текст графика доступен альтернативным представлением. Автоматическая проверка не заменяет ручной проход клавиатурой.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7200"/>
      </w:tblGrid>
      <w:tr>
        <w:trPr>
          <w:cantSplit/>
          <w:tblHeader/>
        </w:trPr>
        <w:tc>
          <w:tcPr>
            <w:tcW w:type="dxa" w:w="2880"/>
            <w:vAlign w:val="center"/>
            <w:tcMar>
              <w:top w:w="70" w:type="dxa"/>
              <w:bottom w:w="70" w:type="dxa"/>
              <w:left w:w="105" w:type="dxa"/>
              <w:right w:w="105" w:type="dxa"/>
            </w:tcMar>
            <w:shd w:fill="333333"/>
          </w:tcPr>
          <w:p>
            <w:pPr>
              <w:spacing w:after="0" w:line="252" w:lineRule="auto"/>
            </w:pPr>
            <w:r>
              <w:rPr>
                <w:rFonts w:ascii="Arial" w:hAnsi="Arial"/>
                <w:b/>
                <w:color w:val="FFFFFF"/>
                <w:sz w:val="21"/>
              </w:rPr>
              <w:t>Состояние</w:t>
            </w:r>
          </w:p>
        </w:tc>
        <w:tc>
          <w:tcPr>
            <w:tcW w:type="dxa" w:w="7200"/>
            <w:vAlign w:val="center"/>
            <w:tcMar>
              <w:top w:w="70" w:type="dxa"/>
              <w:bottom w:w="70" w:type="dxa"/>
              <w:left w:w="105" w:type="dxa"/>
              <w:right w:w="105" w:type="dxa"/>
            </w:tcMar>
            <w:shd w:fill="333333"/>
          </w:tcPr>
          <w:p>
            <w:pPr>
              <w:spacing w:after="0" w:line="252" w:lineRule="auto"/>
            </w:pPr>
            <w:r>
              <w:rPr>
                <w:rFonts w:ascii="Arial" w:hAnsi="Arial"/>
                <w:b/>
                <w:color w:val="FFFFFF"/>
                <w:sz w:val="21"/>
              </w:rPr>
              <w:t>Поведение интерфейса</w:t>
            </w:r>
          </w:p>
        </w:tc>
      </w:tr>
      <w:tr>
        <w:trPr>
          <w:cantSplit/>
        </w:trPr>
        <w:tc>
          <w:tcPr>
            <w:tcW w:type="dxa" w:w="2880"/>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Загрузка</w:t>
            </w:r>
          </w:p>
        </w:tc>
        <w:tc>
          <w:tcPr>
            <w:tcW w:type="dxa" w:w="7200"/>
            <w:vAlign w:val="center"/>
            <w:tcMar>
              <w:top w:w="70" w:type="dxa"/>
              <w:bottom w:w="70" w:type="dxa"/>
              <w:left w:w="105" w:type="dxa"/>
              <w:right w:w="105" w:type="dxa"/>
            </w:tcMar>
            <w:shd w:fill="FFFFFF"/>
          </w:tcPr>
          <w:p>
            <w:pPr>
              <w:spacing w:after="0" w:line="252" w:lineRule="auto"/>
            </w:pPr>
            <w:r>
              <w:rPr>
                <w:rFonts w:ascii="Arial" w:hAnsi="Arial"/>
                <w:b w:val="0"/>
                <w:color w:val="000000"/>
                <w:sz w:val="21"/>
              </w:rPr>
              <w:t>Скелетон нужной области, без выдуманных значений</w:t>
            </w:r>
          </w:p>
        </w:tc>
      </w:tr>
      <w:tr>
        <w:trPr>
          <w:cantSplit/>
        </w:trPr>
        <w:tc>
          <w:tcPr>
            <w:tcW w:type="dxa" w:w="2880"/>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Пусто</w:t>
            </w:r>
          </w:p>
        </w:tc>
        <w:tc>
          <w:tcPr>
            <w:tcW w:type="dxa" w:w="7200"/>
            <w:vAlign w:val="center"/>
            <w:tcMar>
              <w:top w:w="70" w:type="dxa"/>
              <w:bottom w:w="70" w:type="dxa"/>
              <w:left w:w="105" w:type="dxa"/>
              <w:right w:w="105" w:type="dxa"/>
            </w:tcMar>
            <w:shd w:fill="F5F6F7"/>
          </w:tcPr>
          <w:p>
            <w:pPr>
              <w:spacing w:after="0" w:line="252" w:lineRule="auto"/>
            </w:pPr>
            <w:r>
              <w:rPr>
                <w:rFonts w:ascii="Arial" w:hAnsi="Arial"/>
                <w:b w:val="0"/>
                <w:color w:val="000000"/>
                <w:sz w:val="21"/>
              </w:rPr>
              <w:t>Что отсутствует, зачем нужно, доступное действие</w:t>
            </w:r>
          </w:p>
        </w:tc>
      </w:tr>
      <w:tr>
        <w:trPr>
          <w:cantSplit/>
        </w:trPr>
        <w:tc>
          <w:tcPr>
            <w:tcW w:type="dxa" w:w="2880"/>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Ошибка</w:t>
            </w:r>
          </w:p>
        </w:tc>
        <w:tc>
          <w:tcPr>
            <w:tcW w:type="dxa" w:w="7200"/>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Причина, следующий шаг, детали для поддержки</w:t>
            </w:r>
          </w:p>
        </w:tc>
      </w:tr>
      <w:tr>
        <w:trPr>
          <w:cantSplit/>
        </w:trPr>
        <w:tc>
          <w:tcPr>
            <w:tcW w:type="dxa" w:w="2880"/>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Нет прав</w:t>
            </w:r>
          </w:p>
        </w:tc>
        <w:tc>
          <w:tcPr>
            <w:tcW w:type="dxa" w:w="7200"/>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Понятное ограничение без утечки чужих данных</w:t>
            </w:r>
          </w:p>
        </w:tc>
      </w:tr>
      <w:tr>
        <w:trPr>
          <w:cantSplit/>
        </w:trPr>
        <w:tc>
          <w:tcPr>
            <w:tcW w:type="dxa" w:w="2880"/>
            <w:vAlign w:val="center"/>
            <w:tcMar>
              <w:top w:w="70" w:type="dxa"/>
              <w:bottom w:w="70" w:type="dxa"/>
              <w:left w:w="105" w:type="dxa"/>
              <w:right w:w="105" w:type="dxa"/>
            </w:tcMar>
            <w:shd w:fill="FFFFFF"/>
          </w:tcPr>
          <w:p>
            <w:pPr>
              <w:spacing w:after="0" w:line="252" w:lineRule="auto"/>
            </w:pPr>
            <w:r>
              <w:rPr>
                <w:rFonts w:ascii="Arial" w:hAnsi="Arial"/>
                <w:b w:val="0"/>
                <w:color w:val="000000"/>
                <w:sz w:val="21"/>
              </w:rPr>
              <w:t>Устарело</w:t>
            </w:r>
          </w:p>
        </w:tc>
        <w:tc>
          <w:tcPr>
            <w:tcW w:type="dxa" w:w="7200"/>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Какие данные изменились и как пересчитать</w:t>
            </w:r>
          </w:p>
        </w:tc>
      </w:tr>
      <w:tr>
        <w:trPr>
          <w:cantSplit/>
        </w:trPr>
        <w:tc>
          <w:tcPr>
            <w:tcW w:type="dxa" w:w="2880"/>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Нет сети</w:t>
            </w:r>
          </w:p>
        </w:tc>
        <w:tc>
          <w:tcPr>
            <w:tcW w:type="dxa" w:w="7200"/>
            <w:vAlign w:val="center"/>
            <w:tcMar>
              <w:top w:w="70" w:type="dxa"/>
              <w:bottom w:w="70" w:type="dxa"/>
              <w:left w:w="105" w:type="dxa"/>
              <w:right w:w="105" w:type="dxa"/>
            </w:tcMar>
            <w:shd w:fill="F5F6F7"/>
          </w:tcPr>
          <w:p>
            <w:pPr>
              <w:spacing w:after="0" w:line="252" w:lineRule="auto"/>
            </w:pPr>
            <w:r>
              <w:rPr>
                <w:rFonts w:ascii="Arial" w:hAnsi="Arial"/>
                <w:b w:val="0"/>
                <w:color w:val="000000"/>
                <w:sz w:val="21"/>
              </w:rPr>
              <w:t>Сохранить ввод, запретить неподтверждённый успех</w:t>
            </w:r>
          </w:p>
        </w:tc>
      </w:tr>
      <w:tr>
        <w:trPr>
          <w:cantSplit/>
        </w:trPr>
        <w:tc>
          <w:tcPr>
            <w:tcW w:type="dxa" w:w="2880"/>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Конфликт версии</w:t>
            </w:r>
          </w:p>
        </w:tc>
        <w:tc>
          <w:tcPr>
            <w:tcW w:type="dxa" w:w="7200"/>
            <w:vAlign w:val="center"/>
            <w:tcMar>
              <w:top w:w="70" w:type="dxa"/>
              <w:bottom w:w="70" w:type="dxa"/>
              <w:left w:w="105" w:type="dxa"/>
              <w:right w:w="105" w:type="dxa"/>
            </w:tcMar>
            <w:shd w:fill="FFFFFF"/>
          </w:tcPr>
          <w:p>
            <w:pPr>
              <w:spacing w:after="0" w:line="252" w:lineRule="auto"/>
            </w:pPr>
            <w:r>
              <w:rPr>
                <w:rFonts w:ascii="Arial" w:hAnsi="Arial"/>
                <w:b w:val="0"/>
                <w:color w:val="000000"/>
                <w:sz w:val="21"/>
              </w:rPr>
              <w:t>Повторно открыть и проверить текущую версию</w:t>
            </w:r>
          </w:p>
        </w:tc>
      </w:tr>
      <w:tr>
        <w:trPr>
          <w:cantSplit/>
        </w:trPr>
        <w:tc>
          <w:tcPr>
            <w:tcW w:type="dxa" w:w="2880"/>
            <w:vAlign w:val="center"/>
            <w:tcMar>
              <w:top w:w="70" w:type="dxa"/>
              <w:bottom w:w="70" w:type="dxa"/>
              <w:left w:w="105" w:type="dxa"/>
              <w:right w:w="105" w:type="dxa"/>
            </w:tcMar>
            <w:shd w:fill="F5F6F7"/>
          </w:tcPr>
          <w:p>
            <w:pPr>
              <w:spacing w:after="0" w:line="252" w:lineRule="auto"/>
            </w:pPr>
            <w:r>
              <w:rPr>
                <w:rFonts w:ascii="Arial" w:hAnsi="Arial"/>
                <w:b w:val="0"/>
                <w:color w:val="000000"/>
                <w:sz w:val="21"/>
              </w:rPr>
              <w:t>Успех</w:t>
            </w:r>
          </w:p>
        </w:tc>
        <w:tc>
          <w:tcPr>
            <w:tcW w:type="dxa" w:w="7200"/>
            <w:vAlign w:val="center"/>
            <w:tcMar>
              <w:top w:w="70" w:type="dxa"/>
              <w:bottom w:w="70" w:type="dxa"/>
              <w:left w:w="105" w:type="dxa"/>
              <w:right w:w="105" w:type="dxa"/>
            </w:tcMar>
            <w:shd w:fill="F5F6F7"/>
          </w:tcPr>
          <w:p>
            <w:pPr>
              <w:spacing w:after="0" w:line="252" w:lineRule="auto"/>
            </w:pPr>
            <w:r>
              <w:rPr>
                <w:rFonts w:ascii="Arial" w:hAnsi="Arial"/>
                <w:b w:val="0"/>
                <w:color w:val="000000"/>
                <w:sz w:val="21"/>
              </w:rPr>
              <w:t>Подтверждённый результат и следующий шаг</w:t>
            </w:r>
          </w:p>
        </w:tc>
      </w:tr>
    </w:tbl>
    <w:p>
      <w:pPr>
        <w:spacing w:after="0" w:before="0" w:line="240" w:lineRule="auto"/>
      </w:pPr>
      <w:r>
        <w:rPr>
          <w:sz w:val="6"/>
        </w:rPr>
      </w:r>
    </w:p>
    <w:p>
      <w:r>
        <w:t>Медленная сеть, закрытая сессия, длинное название блюда, большое число ошибок CSV и нулевые суммы должны выглядеть так же аккуратно, как идеальный демонстрационный сценарий.</w:t>
      </w:r>
    </w:p>
    <w:p>
      <w:r>
        <w:t>Если после разрыва связи неизвестен результат импорта или складского документа, сохрани исходную команду. Предложи проверить результат или выполнить точный идемпотентный повтор. Не подменяй это новым изменённым запросом с общей кнопкой «Попробовать снова».</w:t>
      </w:r>
    </w:p>
    <w:p>
      <w:r>
        <w:br w:type="page"/>
      </w:r>
    </w:p>
    <w:p>
      <w:pPr>
        <w:pStyle w:val="Heading1"/>
      </w:pPr>
      <w:r>
        <w:t>19 Реализация и границы изменений</w:t>
      </w:r>
    </w:p>
    <w:p>
      <w:pPr>
        <w:pStyle w:val="Heading2"/>
      </w:pPr>
      <w:r>
        <w:t>Последовательность разработки</w:t>
      </w:r>
    </w:p>
    <w:p>
      <w:pPr>
        <w:ind w:left="317" w:hanging="317"/>
      </w:pPr>
      <w:r>
        <w:rPr>
          <w:b/>
        </w:rPr>
        <w:t xml:space="preserve">1. </w:t>
      </w:r>
      <w:r>
        <w:t>Сними исходное состояние и составь карту маршрутов, ролей и данных. Проверь последние результаты тестов, чтобы не повторять тяжёлые проверки без причины.</w:t>
      </w:r>
    </w:p>
    <w:p>
      <w:pPr>
        <w:ind w:left="317" w:hanging="317"/>
      </w:pPr>
      <w:r>
        <w:rPr>
          <w:b/>
        </w:rPr>
        <w:t xml:space="preserve">2. </w:t>
      </w:r>
      <w:r>
        <w:t>Введи токены, типографику, кнопки, поля, статусы и основу адаптивной сетки. Переработай App.tsx и общую оболочку, сохранив авторизацию и гонки переключения контекста.</w:t>
      </w:r>
    </w:p>
    <w:p>
      <w:pPr>
        <w:ind w:left="317" w:hanging="317"/>
      </w:pPr>
      <w:r>
        <w:rPr>
          <w:b/>
        </w:rPr>
        <w:t xml:space="preserve">3. </w:t>
      </w:r>
      <w:r>
        <w:t>Собери главную и один полный рабочий путь: подготовка → импорт → прогноз → закупка → утверждение → выгрузка. На этом этапе добейся работающих действий, а не отдельных красивых макетов.</w:t>
      </w:r>
    </w:p>
    <w:p>
      <w:pPr>
        <w:ind w:left="317" w:hanging="317"/>
      </w:pPr>
      <w:r>
        <w:rPr>
          <w:b/>
        </w:rPr>
        <w:t xml:space="preserve">4. </w:t>
      </w:r>
      <w:r>
        <w:t>Приведи склад, рецепты, поставщиков, отчёты, аудит и настройки к той же системе. Не оставляй второстепенные страницы в старом несовместимом оформлении.</w:t>
      </w:r>
    </w:p>
    <w:p>
      <w:pPr>
        <w:ind w:left="317" w:hanging="317"/>
      </w:pPr>
      <w:r>
        <w:rPr>
          <w:b/>
        </w:rPr>
        <w:t xml:space="preserve">5. </w:t>
      </w:r>
      <w:r>
        <w:t>Проверь оба языка, узкие экраны, все важные состояния, клавиатуру и полную цепочку с API. Исправь регрессии, затем добавь тонкую визуальную полировку.</w:t>
      </w:r>
    </w:p>
    <w:p>
      <w:pPr>
        <w:pStyle w:val="Heading2"/>
      </w:pPr>
      <w:r>
        <w:t>Правила кода</w:t>
      </w:r>
    </w:p>
    <w:p>
      <w:r>
        <w:t>Сохрани React, TypeScript и Vite. Не мигрируй на другой framework и не добавляй тяжёлую UI библиотеку ради стиля. Используй существующие Lucide и API client. Раздели слишком большие компоненты по смыслу, но избегай абстракций без повторного применения. Упорядочь style.css и stock-ledger.css: не наращивай цепочку переопределений с одинаковой специфичностью.</w:t>
      </w:r>
    </w:p>
    <w:p>
      <w:r>
        <w:t>Состояния интерфейса выводи из серверных данных и уже существующих правил. Не добавляй фронтенд обходы бизнес ограничений. Сохрани HttpOnly сессии, CSRF, проверки роли, филиала и организации, idempotency, version checks и аудит. Для объяснения вычислений используй фактический ответ, а не повторную приблизительную финансовую арифметику в UI.</w:t>
      </w:r>
    </w:p>
    <w:p>
      <w:pPr>
        <w:pStyle w:val="Heading2"/>
      </w:pPr>
      <w:r>
        <w:t>Контракты и документация</w:t>
      </w:r>
    </w:p>
    <w:p>
      <w:r>
        <w:t>После изменения CSS и copy выполни python scripts/generate_contracts.py. Проверь актуальность design/tokens.json, design/screens.json и словарей. Если меняется API schema, регенерируй OpenAPI и добавь нужные проверки; обычный редизайн не должен требовать необоснованных миграций базы.</w:t>
      </w:r>
    </w:p>
    <w:p>
      <w:r>
        <w:t>Обнови документацию рабочего сценария и журнал прогресса с реальными командами и результатами. Делай небольшие связные commits в рамках текущего разрешения владельца; не добавляй базы, секреты, пользовательские CSV и traces с сессиями. Перед commit проверь staged diff и python scripts/check_secrets.py --staged. Не сбрасывай историю и не выполняй force push.</w:t>
      </w:r>
    </w:p>
    <w:p>
      <w:r>
        <w:br w:type="page"/>
      </w:r>
    </w:p>
    <w:p>
      <w:pPr>
        <w:pStyle w:val="Heading1"/>
      </w:pPr>
      <w:r>
        <w:t>20 Проверка качества и итоговая передача</w:t>
      </w:r>
    </w:p>
    <w:p>
      <w:pPr>
        <w:pStyle w:val="Heading2"/>
      </w:pPr>
      <w:r>
        <w:t>Обязательные сценарии приёмки</w:t>
      </w:r>
    </w:p>
    <w:p>
      <w:pPr>
        <w:pStyle w:val="ListBullet"/>
      </w:pPr>
      <w:r>
        <w:t>Визуальная приёмка: сливовая оболочка, бумажное рабочее поле, лаванда в главном действии, плотные заголовки и разные композиции экранов. Зелёно белый шаблон, равнозначная сетка KPI карточек и фиолетовый градиент не принимаются.</w:t>
      </w:r>
    </w:p>
    <w:p>
      <w:pPr>
        <w:pStyle w:val="ListBullet"/>
      </w:pPr>
      <w:r>
        <w:t>Валидный CSV проходит предпросмотр, подтверждение и запись. Невалидный CSV показывает точное исправление и не изменяет операционные строки. Нет декоративных неработающих кнопок.</w:t>
      </w:r>
    </w:p>
    <w:p>
      <w:pPr>
        <w:pStyle w:val="ListBullet"/>
      </w:pPr>
      <w:r>
        <w:t>Прогноз запускается на допустимую дату и проходит реальные состояния задания. Baseline не получает выдуманные интервалы, HGB не обещает гарантированную точность.</w:t>
      </w:r>
    </w:p>
    <w:p>
      <w:pPr>
        <w:pStyle w:val="ListBullet"/>
      </w:pPr>
      <w:r>
        <w:t>Закупка показывает источник, точную дату остатков, упаковки, стоимость и дефицит. Статус optimal не скрывает нехватку. Утверждение защищено версией, причиной и требуемым подтверждением дефицита.</w:t>
      </w:r>
    </w:p>
    <w:p>
      <w:pPr>
        <w:pStyle w:val="ListBullet"/>
      </w:pPr>
      <w:r>
        <w:t>Сотрудник склада и аналитик не получают действия управляющего. Смена филиала и истечение сессии не оставляют доступ к чужим данным. История утверждённого решения и экспорт сохраняются.</w:t>
      </w:r>
    </w:p>
    <w:p>
      <w:pPr>
        <w:pStyle w:val="ListBullet"/>
      </w:pPr>
      <w:r>
        <w:t>Все ключевые страницы проверены на казахском и русском, на 390 и 1440 px; отдельные проверки адаптивности выполнены также на 360, 768 и 1024 px. Нет перекрытий, обрезанных кнопок и горизонтального скролла всей страницы.</w:t>
      </w:r>
    </w:p>
    <w:p>
      <w:pPr>
        <w:pStyle w:val="Heading2"/>
      </w:pPr>
      <w:r>
        <w:t>Что запускать и как доказывать результат</w:t>
      </w:r>
    </w:p>
    <w:p>
      <w:r>
        <w:t>Запусти npm run build. Для изменённых сценариев выполни соответствующие браузерные проверки; полный финальный e2e требует отдельно работающих API, worker и web и подготовки python scripts/prepare_e2e.py. Используй изолированные тестовые данные. Python тесты запускай при изменении backend или общей логики. Не объявляй типизацию доказательством работающего интерфейса.</w:t>
      </w:r>
    </w:p>
    <w:p>
      <w:r>
        <w:t>Проверь контраст и клавиатуру вручную, а также доступными автоматическими средствами. Сохрани скриншоты входа, пустого пространства, главной, ошибки CSV, результата прогноза, дефицитного плана, утверждения и склада. Если реальных пользователей нет, назови проверку экспертным проходом; не выдумывай результаты исследования удобства.</w:t>
      </w:r>
    </w:p>
    <w:p>
      <w:pPr>
        <w:pStyle w:val="Heading2"/>
      </w:pPr>
      <w:r>
        <w:t>Что передать владельцу</w:t>
      </w:r>
    </w:p>
    <w:p>
      <w:r>
        <w:t>Работающий интерфейс в существующем проекте; краткое описание новой системы; карта изменённых экранов; скриншоты до и после; точные команды проверок; известные ограничения; инструкция проверки локально; commit hash и результат push, если push был разрешён и выполнен. Раздели DONE, TESTED, NOT TESTED и BLOCKED. Не называй продукт готовым к коммерческому запуску только на основании редизайна.</w:t>
      </w:r>
    </w:p>
    <w:p>
      <w:r>
        <w:t>Сначала реализуй оболочку, главную и импорт как законченный образец нового стиля. Сравни их с принципами референса и схемой в документе, затем перенеси систему на остальные экраны. Заверши реальной проверкой сценариев и отчётом. Не выдавай редизайн за готовый коммерческий запуск.</w:t>
      </w:r>
    </w:p>
    <w:sectPr w:rsidR="00FC693F" w:rsidRPr="0006063C" w:rsidSect="00034616">
      <w:footerReference w:type="default" r:id="rId9"/>
      <w:pgSz w:w="12240" w:h="15840"/>
      <w:pgMar w:top="936" w:right="1080" w:bottom="864"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8"/>
      </w:rPr>
      <w:t xml:space="preserve">AsBoljam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2" w:lineRule="auto"/>
      <w:outlineLvl w:val="0"/>
    </w:pPr>
    <w:rPr>
      <w:rFonts w:asciiTheme="majorHAnsi" w:eastAsiaTheme="majorEastAsia" w:hAnsiTheme="majorHAnsi" w:cstheme="majorBidi" w:ascii="Arial" w:hAnsi="Arial" w:eastAsia="Arial" w:cs="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52" w:lineRule="auto" w:before="0"/>
      <w:contextualSpacing/>
    </w:pPr>
    <w:rPr>
      <w:rFonts w:asciiTheme="majorHAnsi" w:eastAsiaTheme="majorEastAsia" w:hAnsiTheme="majorHAnsi" w:cstheme="majorBidi" w:ascii="Arial" w:hAnsi="Arial" w:eastAsia="Arial" w:cs="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ind w:left="259" w:hanging="259"/>
      <w:contextualSpacing/>
    </w:pPr>
    <w:rPr>
      <w:rFonts w:ascii="Arial" w:hAnsi="Arial" w:eastAsia="Arial"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ind w:left="259" w:hanging="259"/>
      <w:contextualSpacing/>
    </w:pPr>
    <w:rPr>
      <w:rFonts w:ascii="Arial" w:hAnsi="Arial" w:eastAsia="Arial" w:cs="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ory.ai/" TargetMode="External"/><Relationship Id="rId11" Type="http://schemas.openxmlformats.org/officeDocument/2006/relationships/hyperlink" Target="https://www.nory.ai/product/business-intelligence"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Задание на редизайн AsBoljam</dc:title>
  <dc:subject>Единый промпт для дизайна и реализации веб интерфейса</dc:subject>
  <dc:creator>AsBoljam</dc:creator>
  <cp:keywords>AsBoljam, UI, UX, дизайн, интерфейс, промпт</cp:keywords>
  <dc:description>generated by python-docx</dc:description>
  <cp:lastModifiedBy/>
  <cp:revision>1</cp:revision>
  <dcterms:created xsi:type="dcterms:W3CDTF">2013-12-23T23:15:00Z</dcterms:created>
  <dcterms:modified xsi:type="dcterms:W3CDTF">2013-12-23T23:15:00Z</dcterms:modified>
  <cp:category/>
</cp:coreProperties>
</file>