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6B40"/>
          <w:sz w:val="52"/>
          <w:szCs w:val="52"/>
        </w:rPr>
        <w:t xml:space="preserve">BUSINESS REQUIREMENT DOCUMENT</w:t>
      </w:r>
    </w:p>
    <w:p>
      <w:pPr>
        <w:pBdr>
          <w:bottom w:val="single" w:color="1F6B40" w:sz="12"/>
        </w:pBdr>
        <w:spacing w:after="480" w:before="0"/>
        <w:jc w:val="center"/>
      </w:pPr>
      <w:r>
        <w:rPr>
          <w:rFonts w:ascii="Arial" w:cs="Arial" w:eastAsia="Arial" w:hAnsi="Arial"/>
          <w:b/>
          <w:bCs/>
          <w:color w:val="000000"/>
          <w:sz w:val="36"/>
          <w:szCs w:val="36"/>
        </w:rPr>
        <w:t xml:space="preserve">Trucking Price Setup: Batch Rate Update in JDE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2400"/>
        <w:gridCol w:w="1080"/>
      </w:tblGrid>
      <w:tr>
        <w:tc>
          <w:tcPr>
            <w:tcW w:type="dxa" w:w="24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BSO Reference Number</w:t>
            </w:r>
          </w:p>
        </w:tc>
        <w:tc>
          <w:tcPr>
            <w:tcW w:type="dxa" w:w="34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TBD</w:t>
            </w:r>
          </w:p>
        </w:tc>
        <w:tc>
          <w:tcPr>
            <w:tcW w:type="dxa" w:w="24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0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May 2026</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Trucking Price Setup: Batch Rate Update in JDE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4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Entity</w:t>
            </w:r>
          </w:p>
        </w:tc>
        <w:tc>
          <w:tcPr>
            <w:tcW w:type="dxa" w:w="34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Heineken Vietnam Brewery Limited</w:t>
            </w:r>
          </w:p>
        </w:tc>
        <w:tc>
          <w:tcPr>
            <w:tcW w:type="dxa" w:w="24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0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Department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Procurement / Logistics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Dang Thanh Nhan</w:t>
            </w:r>
          </w:p>
        </w:tc>
      </w:tr>
      <w:tr>
        <w:tc>
          <w:tcPr>
            <w:tcW w:type="dxa" w:w="24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Person</w:t>
            </w:r>
          </w:p>
        </w:tc>
        <w:tc>
          <w:tcPr>
            <w:tcW w:type="dxa" w:w="34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4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0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bl>
    <w:p>
      <w:pPr>
        <w:spacing w:after="40" w:before="40"/>
      </w:pPr>
      <w:r>
        <w:rPr>
          <w:rFonts w:ascii="Arial" w:cs="Arial" w:eastAsia="Arial" w:hAnsi="Arial"/>
          <w:sz w:val="20"/>
          <w:szCs w:val="20"/>
        </w:rPr>
        <w:t xml:space="preserve"> </w:t>
      </w:r>
    </w:p>
    <w:p>
      <w:pPr>
        <w:pBdr>
          <w:bottom w:val="single" w:color="D6EAD8" w:sz="4"/>
        </w:pBdr>
        <w:spacing w:after="80" w:before="180"/>
      </w:pPr>
      <w:r>
        <w:rPr>
          <w:rFonts w:ascii="Arial" w:cs="Arial" w:eastAsia="Arial" w:hAnsi="Arial"/>
          <w:b/>
          <w:bCs/>
          <w:color w:val="1F6B40"/>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160"/>
        <w:gridCol w:w="4000"/>
      </w:tblGrid>
      <w:tr>
        <w:tc>
          <w:tcPr>
            <w:tcW w:type="dxa" w:w="12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Dang Thanh Nhan</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draft – Trucking Price batch rate update in JDE</w:t>
            </w:r>
          </w:p>
        </w:tc>
      </w:tr>
      <w:tr>
        <w:tc>
          <w:tcPr>
            <w:tcW w:type="dxa" w:w="12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2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21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bl>
    <w:p>
      <w:pPr>
        <w:spacing w:after="40" w:before="40"/>
      </w:pPr>
      <w:r>
        <w:rPr>
          <w:rFonts w:ascii="Arial" w:cs="Arial" w:eastAsia="Arial" w:hAnsi="Arial"/>
          <w:sz w:val="20"/>
          <w:szCs w:val="20"/>
        </w:rPr>
        <w:t xml:space="preserve"> </w:t>
      </w:r>
    </w:p>
    <w:p>
      <w:pPr>
        <w:pBdr>
          <w:bottom w:val="single" w:color="D6EAD8" w:sz="4"/>
        </w:pBdr>
        <w:spacing w:after="80" w:before="180"/>
      </w:pPr>
      <w:r>
        <w:rPr>
          <w:rFonts w:ascii="Arial" w:cs="Arial" w:eastAsia="Arial" w:hAnsi="Arial"/>
          <w:b/>
          <w:bCs/>
          <w:color w:val="1F6B40"/>
          <w:sz w:val="24"/>
          <w:szCs w:val="24"/>
        </w:rPr>
        <w:t xml:space="preserve">Process / Service Offering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Source to Pay</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Demand to Warehouse</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Market to Cash</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Record to Report</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Security</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Technical</w:t>
            </w: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  (Primary)</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  (Supporting)</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bl>
    <w:p>
      <w:pPr>
        <w:spacing w:after="40" w:before="40"/>
      </w:pPr>
      <w:r>
        <w:rPr>
          <w:rFonts w:ascii="Arial" w:cs="Arial" w:eastAsia="Arial" w:hAnsi="Arial"/>
          <w:sz w:val="20"/>
          <w:szCs w:val="20"/>
        </w:rPr>
        <w:t xml:space="preserve"> </w:t>
      </w:r>
    </w:p>
    <w:p>
      <w:r>
        <w:br w:type="page"/>
      </w:r>
    </w:p>
    <w:p>
      <w:pPr>
        <w:shd w:fill="1F6B40" w:val="clear"/>
        <w:spacing w:after="120" w:before="280"/>
        <w:ind w:left="120"/>
      </w:pPr>
      <w:r>
        <w:rPr>
          <w:rFonts w:ascii="Arial" w:cs="Arial" w:eastAsia="Arial" w:hAnsi="Arial"/>
          <w:b/>
          <w:bCs/>
          <w:color w:val="FFFFFF"/>
          <w:sz w:val="28"/>
          <w:szCs w:val="28"/>
        </w:rPr>
        <w:t xml:space="preserve">1.  Background Information</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Heineken Vietnam operates a freight rate management process in JD Edwards (JDE) using the Work with Rate Schedules module (Rate Detail Revisions). Trucking rates are maintained per carrier, per origin, per Route Code, and per Truck Type. As of the current state, the system contains more than 285 route-carrier-truck type combinations.</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Rate updates are periodically required due to contract renewals, carrier negotiations, or route structure changes. The current As-Is process requires manual entry of each rate individually in the JDE Rate Detail Revisions screen. With the scale of the rate matrix (multiple carriers such as FWD VITRANIMEX, multiple origins such as DC Ha Noi HVBB, and truck types including TRUCK02, TRUCK2H, TRUCK3H, TRUCK04, TRUCK05, TRUCK08, TRUCK10, TRUCK13, TRUCK19), the manual approach is highly time-consuming and prone to data entry errors.</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JDE provides a batch rate update capability (Update Rate by Batch) that allows rates to be prepared, validated in Proof mode, and then committed in Final mode. This BRD defines the requirements to formalise and standardise the use of this batch update process as the To-Be standard for trucking price setup.</w:t>
      </w:r>
    </w:p>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2.  Problem Definition</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The current As-Is process for trucking rate updates contains the following pain points:</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46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rate entry cell by cell in JDE Rate Detail Revisions screen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time investment per update cycle; risk of human error on individual entries</w:t>
            </w:r>
          </w:p>
        </w:tc>
      </w:tr>
      <w:tr>
        <w:tc>
          <w:tcPr>
            <w:tcW w:type="dxa" w:w="4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2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structured review/validation step before rate commitment</w:t>
            </w:r>
          </w:p>
        </w:tc>
        <w:tc>
          <w:tcPr>
            <w:tcW w:type="dxa" w:w="46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Incorrect rates may be committed and used in logistics cost calculations before errors are detected</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matrix is large (285+ records across multiple carriers, origins, route codes, and truck types)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Volume of manual work is disproportionate to the complexity of the change</w:t>
            </w:r>
          </w:p>
        </w:tc>
      </w:tr>
      <w:tr>
        <w:tc>
          <w:tcPr>
            <w:tcW w:type="dxa" w:w="4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2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audit trail or batch traceability for rate changes</w:t>
            </w:r>
          </w:p>
        </w:tc>
        <w:tc>
          <w:tcPr>
            <w:tcW w:type="dxa" w:w="46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Difficult to review what changed, when, and by whom across a full rate update cycle</w:t>
            </w:r>
          </w:p>
        </w:tc>
      </w:tr>
      <w:tr>
        <w:tc>
          <w:tcPr>
            <w:tcW w:type="dxa" w:w="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inconsistency risk between carriers sharing same route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Without batch validation, partial updates may leave the rate table in an inconsistent state</w:t>
            </w:r>
          </w:p>
        </w:tc>
      </w:tr>
    </w:tbl>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3.  As-Is Process Flow</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The following table describes the current state (As-Is) trucking rate setup process:</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3600"/>
        <w:gridCol w:w="3000"/>
      </w:tblGrid>
      <w:tr>
        <w:tc>
          <w:tcPr>
            <w:tcW w:type="dxa" w:w="9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6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Action / System</w:t>
            </w:r>
          </w:p>
        </w:tc>
        <w:tc>
          <w:tcPr>
            <w:tcW w:type="dxa" w:w="30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Receives updated rate schedule from carrier (email/Excel)</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standard template or intake format</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 JDE: Work with Rate Schedules &gt; Lookup Rate Detail Revisions</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 is manual; no automation</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Selects Rate Name (e.g. 14101VHF / FWD VITRANIMEX) and filters by Carrier, Origin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Manually updates each rate cell per Route Code x Truck Type combination</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285+ records; high error risk; time-consuming</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Saves changes directly (no Proof/validation step)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validation before rates go live; errors discovered only during PO creation or invoicing</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6 (Exception)</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Identifies error; re-opens Rate Detail Revisions and corrects manually</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Rework cycle; potential impact on in-flight logistics transactions</w:t>
            </w:r>
          </w:p>
        </w:tc>
      </w:tr>
    </w:tbl>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4.  To-Be Process Flow</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The proposed To-Be process uses JDE's Update Rate by Batch functionality to replace manual cell-by-cell entry with a structured, validated batch update workflow. The process includes a mandatory Proof (validation) step before committing rates via Final mode.</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3600"/>
        <w:gridCol w:w="3000"/>
      </w:tblGrid>
      <w:tr>
        <w:tc>
          <w:tcPr>
            <w:tcW w:type="dxa" w:w="9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6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Action / System</w:t>
            </w:r>
          </w:p>
        </w:tc>
        <w:tc>
          <w:tcPr>
            <w:tcW w:type="dxa" w:w="30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Receives updated rate schedule from carrier; prepares input data (Route Code, Truck Type, New Rate) in standard format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intake template recommended</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 JDE: Work with Rate Schedules &gt; Work with Rate Definitions (or equivalent batch entry screen)</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manual cell editing</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Executes Update Rate by Batch – Proof mode: validates all proposed rate changes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Proof report shows affected records, old rate vs. new rate; no changes committed yet</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 / Approver</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Reviews Proof report; confirms accuracy of all rate changes</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Mandatory review gate before commit</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Executes Update Rate by Batch – Final mode: commits approved rate changes to JDE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Rates go live; batch log provides audit trail</w:t>
            </w:r>
          </w:p>
        </w:tc>
      </w:tr>
      <w:tr>
        <w:tc>
          <w:tcPr>
            <w:tcW w:type="dxa" w:w="9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8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Validates key route-carrier combinations in Work with Rate Schedules to confirm rates are correctly updated</w:t>
            </w:r>
          </w:p>
        </w:tc>
        <w:tc>
          <w:tcPr>
            <w:tcW w:type="dxa" w:w="30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Spot-check verification step</w:t>
            </w:r>
          </w:p>
        </w:tc>
      </w:tr>
      <w:tr>
        <w:tc>
          <w:tcPr>
            <w:tcW w:type="dxa" w:w="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(Exception)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 Procurement</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errors found in Proof, corrects input data and re-runs Proof before proceeding to Final</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resolution before commit; no rework after go-live</w:t>
            </w:r>
          </w:p>
        </w:tc>
      </w:tr>
    </w:tbl>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5.  Needs and Features</w:t>
      </w:r>
    </w:p>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The following capabilities are required to support the To-Be process:</w:t>
      </w:r>
    </w:p>
    <w:p>
      <w:pPr>
        <w:spacing w:after="40" w:before="40"/>
      </w:pPr>
      <w:r>
        <w:rPr>
          <w:rFonts w:ascii="Arial" w:cs="Arial" w:eastAsia="Arial" w:hAnsi="Arial"/>
          <w:sz w:val="20"/>
          <w:szCs w:val="20"/>
        </w:rPr>
        <w:t xml:space="preserve"> </w:t>
      </w:r>
    </w:p>
    <w:p>
      <w:pPr>
        <w:pStyle w:val="ListParagraph"/>
        <w:numPr>
          <w:ilvl w:val="0"/>
          <w:numId w:val="2"/>
        </w:numPr>
        <w:spacing w:after="40" w:before="40"/>
      </w:pPr>
      <w:r>
        <w:rPr>
          <w:rFonts w:ascii="Arial" w:cs="Arial" w:eastAsia="Arial" w:hAnsi="Arial"/>
          <w:color w:val="000000"/>
          <w:sz w:val="20"/>
          <w:szCs w:val="20"/>
        </w:rPr>
        <w:t xml:space="preserve">Confirm availability and access rights for Update Rate by Batch (Proof and Final) in JDE for the Logistics/Procurement team.</w:t>
      </w:r>
    </w:p>
    <w:p>
      <w:pPr>
        <w:pStyle w:val="ListParagraph"/>
        <w:numPr>
          <w:ilvl w:val="0"/>
          <w:numId w:val="2"/>
        </w:numPr>
        <w:spacing w:after="40" w:before="40"/>
      </w:pPr>
      <w:r>
        <w:rPr>
          <w:rFonts w:ascii="Arial" w:cs="Arial" w:eastAsia="Arial" w:hAnsi="Arial"/>
          <w:color w:val="000000"/>
          <w:sz w:val="20"/>
          <w:szCs w:val="20"/>
        </w:rPr>
        <w:t xml:space="preserve">Define a standard rate input template (Route Code, Carrier, Truck Type, New Rate, Effective Date) for use in each update cycle.</w:t>
      </w:r>
    </w:p>
    <w:p>
      <w:pPr>
        <w:pStyle w:val="ListParagraph"/>
        <w:numPr>
          <w:ilvl w:val="0"/>
          <w:numId w:val="2"/>
        </w:numPr>
        <w:spacing w:after="40" w:before="40"/>
      </w:pPr>
      <w:r>
        <w:rPr>
          <w:rFonts w:ascii="Arial" w:cs="Arial" w:eastAsia="Arial" w:hAnsi="Arial"/>
          <w:color w:val="000000"/>
          <w:sz w:val="20"/>
          <w:szCs w:val="20"/>
        </w:rPr>
        <w:t xml:space="preserve">Establish a mandatory Proof-then-Final sequence as the required process for all rate updates (no direct entry without Proof).</w:t>
      </w:r>
    </w:p>
    <w:p>
      <w:pPr>
        <w:pStyle w:val="ListParagraph"/>
        <w:numPr>
          <w:ilvl w:val="0"/>
          <w:numId w:val="2"/>
        </w:numPr>
        <w:spacing w:after="40" w:before="40"/>
      </w:pPr>
      <w:r>
        <w:rPr>
          <w:rFonts w:ascii="Arial" w:cs="Arial" w:eastAsia="Arial" w:hAnsi="Arial"/>
          <w:color w:val="000000"/>
          <w:sz w:val="20"/>
          <w:szCs w:val="20"/>
        </w:rPr>
        <w:t xml:space="preserve">Define the review/approval step for Proof output before Final is executed.</w:t>
      </w:r>
    </w:p>
    <w:p>
      <w:pPr>
        <w:pStyle w:val="ListParagraph"/>
        <w:numPr>
          <w:ilvl w:val="0"/>
          <w:numId w:val="2"/>
        </w:numPr>
        <w:spacing w:after="40" w:before="40"/>
      </w:pPr>
      <w:r>
        <w:rPr>
          <w:rFonts w:ascii="Arial" w:cs="Arial" w:eastAsia="Arial" w:hAnsi="Arial"/>
          <w:color w:val="000000"/>
          <w:sz w:val="20"/>
          <w:szCs w:val="20"/>
        </w:rPr>
        <w:t xml:space="preserve">Confirm batch log/audit trail availability in JDE for traceability of rate changes.</w:t>
      </w:r>
    </w:p>
    <w:p>
      <w:pPr>
        <w:pStyle w:val="ListParagraph"/>
        <w:numPr>
          <w:ilvl w:val="0"/>
          <w:numId w:val="2"/>
        </w:numPr>
        <w:spacing w:after="40" w:before="40"/>
      </w:pPr>
      <w:r>
        <w:rPr>
          <w:rFonts w:ascii="Arial" w:cs="Arial" w:eastAsia="Arial" w:hAnsi="Arial"/>
          <w:color w:val="000000"/>
          <w:sz w:val="20"/>
          <w:szCs w:val="20"/>
        </w:rPr>
        <w:t xml:space="preserve">Update SOP to reflect the new batch update workflow and provide training to the Logistics/Procurement team.</w:t>
      </w:r>
    </w:p>
    <w:p>
      <w:pPr>
        <w:pStyle w:val="ListParagraph"/>
        <w:numPr>
          <w:ilvl w:val="0"/>
          <w:numId w:val="2"/>
        </w:numPr>
        <w:spacing w:after="40" w:before="40"/>
      </w:pPr>
      <w:r>
        <w:rPr>
          <w:rFonts w:ascii="Arial" w:cs="Arial" w:eastAsia="Arial" w:hAnsi="Arial"/>
          <w:color w:val="000000"/>
          <w:sz w:val="20"/>
          <w:szCs w:val="20"/>
        </w:rPr>
        <w:t xml:space="preserve">Define frequency and ownership: who triggers the rate update, who reviews, who approves.</w:t>
      </w:r>
    </w:p>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6.  Impact of Not Fulfilling</w:t>
      </w:r>
    </w:p>
    <w:p>
      <w:pPr>
        <w:spacing w:after="40" w:before="40"/>
      </w:pPr>
      <w:r>
        <w:rPr>
          <w:rFonts w:ascii="Arial" w:cs="Arial" w:eastAsia="Arial" w:hAnsi="Arial"/>
          <w:sz w:val="20"/>
          <w:szCs w:val="20"/>
        </w:rPr>
        <w:t xml:space="preserve"> </w:t>
      </w:r>
    </w:p>
    <w:p>
      <w:pPr>
        <w:pStyle w:val="ListParagraph"/>
        <w:numPr>
          <w:ilvl w:val="0"/>
          <w:numId w:val="2"/>
        </w:numPr>
        <w:spacing w:after="40" w:before="40"/>
      </w:pPr>
      <w:r>
        <w:rPr>
          <w:rFonts w:ascii="Arial" w:cs="Arial" w:eastAsia="Arial" w:hAnsi="Arial"/>
          <w:color w:val="000000"/>
          <w:sz w:val="20"/>
          <w:szCs w:val="20"/>
        </w:rPr>
        <w:t xml:space="preserve">Manual cell-by-cell rate entry will continue, with high risk of data entry errors across 285+ route-carrier-truck type combinations.</w:t>
      </w:r>
    </w:p>
    <w:p>
      <w:pPr>
        <w:pStyle w:val="ListParagraph"/>
        <w:numPr>
          <w:ilvl w:val="0"/>
          <w:numId w:val="2"/>
        </w:numPr>
        <w:spacing w:after="40" w:before="40"/>
      </w:pPr>
      <w:r>
        <w:rPr>
          <w:rFonts w:ascii="Arial" w:cs="Arial" w:eastAsia="Arial" w:hAnsi="Arial"/>
          <w:color w:val="000000"/>
          <w:sz w:val="20"/>
          <w:szCs w:val="20"/>
        </w:rPr>
        <w:t xml:space="preserve">Incorrect rates committed without validation may propagate into logistics cost calculations, PO valuations, and freight invoicing.</w:t>
      </w:r>
    </w:p>
    <w:p>
      <w:pPr>
        <w:pStyle w:val="ListParagraph"/>
        <w:numPr>
          <w:ilvl w:val="0"/>
          <w:numId w:val="2"/>
        </w:numPr>
        <w:spacing w:after="40" w:before="40"/>
      </w:pPr>
      <w:r>
        <w:rPr>
          <w:rFonts w:ascii="Arial" w:cs="Arial" w:eastAsia="Arial" w:hAnsi="Arial"/>
          <w:color w:val="000000"/>
          <w:sz w:val="20"/>
          <w:szCs w:val="20"/>
        </w:rPr>
        <w:t xml:space="preserve">Rework cycles (identify error &gt; correct &gt; re-enter) will continue to consume disproportionate effort per update cycle.</w:t>
      </w:r>
    </w:p>
    <w:p>
      <w:pPr>
        <w:pStyle w:val="ListParagraph"/>
        <w:numPr>
          <w:ilvl w:val="0"/>
          <w:numId w:val="2"/>
        </w:numPr>
        <w:spacing w:after="40" w:before="40"/>
      </w:pPr>
      <w:r>
        <w:rPr>
          <w:rFonts w:ascii="Arial" w:cs="Arial" w:eastAsia="Arial" w:hAnsi="Arial"/>
          <w:color w:val="000000"/>
          <w:sz w:val="20"/>
          <w:szCs w:val="20"/>
        </w:rPr>
        <w:t xml:space="preserve">Lack of audit trail will make it difficult to investigate rate discrepancies or reconcile carrier invoices against JDE rates.</w:t>
      </w:r>
    </w:p>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7.  Acceptance Criteria / Test Scenarios</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7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SC-01: User executes Update Rate by Batch – Proof mode with a prepared rate input file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Proof report generated; all affected Route Code x Truck Type records listed with old vs. new rate; no rates committed yet</w:t>
            </w:r>
          </w:p>
        </w:tc>
      </w:tr>
      <w:tr>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SC-02: Proof report reviewed – one incorrect rate identified</w:t>
            </w:r>
          </w:p>
        </w:tc>
        <w:tc>
          <w:tcPr>
            <w:tcW w:type="dxa" w:w="57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corrects the input data; re-runs Proof; corrected report generated without other records being affected</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SC-03: User executes Update Rate by Batch – Final mode after Proof approval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Rates committed to JDE; batch log records the update with timestamp and user</w:t>
            </w:r>
          </w:p>
        </w:tc>
      </w:tr>
      <w:tr>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SC-04: Spot-check in Work with Rate Schedules for a specific carrier and route</w:t>
            </w:r>
          </w:p>
        </w:tc>
        <w:tc>
          <w:tcPr>
            <w:tcW w:type="dxa" w:w="57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Rates shown match the values in the approved Proof report exactly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SC-05: Rate update for 285+ records across multiple carriers and truck types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records updated correctly in a single batch cycle; no manual cell editing required</w:t>
            </w:r>
          </w:p>
        </w:tc>
      </w:tr>
      <w:tr>
        <w:tc>
          <w:tcPr>
            <w:tcW w:type="dxa" w:w="360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SC-06 (Regression): User attempts direct manual entry without running Proof</w:t>
            </w:r>
          </w:p>
        </w:tc>
        <w:tc>
          <w:tcPr>
            <w:tcW w:type="dxa" w:w="57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SOP restricts direct entry; user directed to batch update workflow</w:t>
            </w:r>
          </w:p>
        </w:tc>
      </w:tr>
    </w:tbl>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8.  Other Systems Impacted</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48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JD Edwards (JDE)</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system. Rate Schedules module (Work with Rate Schedules, Rate Detail Revisions, Update Rate by Batch – Proof and Final).</w:t>
            </w:r>
          </w:p>
        </w:tc>
      </w:tr>
      <w:tr>
        <w:tc>
          <w:tcPr>
            <w:tcW w:type="dxa" w:w="28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Logistics Cost Calculation</w:t>
            </w:r>
          </w:p>
        </w:tc>
        <w:tc>
          <w:tcPr>
            <w:tcW w:type="dxa" w:w="648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Trucking rates feed into freight cost computations; accurate rates are critical for correct cost allocation.</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Carrier Invoice Reconciliation</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JDE rates are used to validate carrier invoices; batch accuracy directly impacts reconciliation quality.</w:t>
            </w:r>
          </w:p>
        </w:tc>
      </w:tr>
    </w:tbl>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9.  OpCo Procurement Approval</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1560"/>
        <w:gridCol w:w="2520"/>
      </w:tblGrid>
      <w:tr>
        <w:tc>
          <w:tcPr>
            <w:tcW w:type="dxa" w:w="312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1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2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Procurement / Logistics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c>
          <w:tcPr>
            <w:tcW w:type="dxa" w:w="312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21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56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2520"/>
            <w:tcBorders>
              <w:top w:val="single" w:color="AAAAAA" w:sz="4"/>
              <w:left w:val="single" w:color="AAAAAA" w:sz="4"/>
              <w:bottom w:val="single" w:color="AAAAAA" w:sz="4"/>
              <w:right w:val="single" w:color="AAAAAA" w:sz="4"/>
            </w:tcBorders>
            <w:shd w:fill="D6EAD8"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bl>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10.  Complexity Assessment</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Very Low</w:t>
            </w:r>
          </w:p>
        </w:tc>
        <w:tc>
          <w:tcPr>
            <w:tcW w:type="dxa" w:w="1872"/>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1872"/>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1872"/>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1872"/>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Very High</w:t>
            </w:r>
          </w:p>
        </w:tc>
      </w:tr>
      <w:tr>
        <w:tc>
          <w:tcPr>
            <w:tcW w:type="dxa" w:w="18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8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w:t>
            </w:r>
          </w:p>
        </w:tc>
        <w:tc>
          <w:tcPr>
            <w:tcW w:type="dxa" w:w="18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8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18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r>
    </w:tbl>
    <w:p>
      <w:pPr>
        <w:spacing w:after="40" w:before="40"/>
      </w:pPr>
      <w:r>
        <w:rPr>
          <w:rFonts w:ascii="Arial" w:cs="Arial" w:eastAsia="Arial" w:hAnsi="Arial"/>
          <w:sz w:val="20"/>
          <w:szCs w:val="20"/>
        </w:rPr>
        <w:t xml:space="preserve"> </w:t>
      </w:r>
    </w:p>
    <w:p>
      <w:pPr>
        <w:spacing w:after="80" w:before="80"/>
      </w:pPr>
      <w:r>
        <w:rPr>
          <w:rFonts w:ascii="Arial" w:cs="Arial" w:eastAsia="Arial" w:hAnsi="Arial"/>
          <w:color w:val="000000"/>
          <w:sz w:val="20"/>
          <w:szCs w:val="20"/>
        </w:rPr>
        <w:t xml:space="preserve">Rationale: JDE's Update Rate by Batch functionality already exists in the system. The primary change is process-level (mandating Proof before Final, standardising the intake template). System access rights and SOP updates are the main deliverables. No custom development required.</w:t>
      </w:r>
    </w:p>
    <w:p>
      <w:pPr>
        <w:spacing w:after="40" w:before="40"/>
      </w:pPr>
      <w:r>
        <w:rPr>
          <w:rFonts w:ascii="Arial" w:cs="Arial" w:eastAsia="Arial" w:hAnsi="Arial"/>
          <w:sz w:val="20"/>
          <w:szCs w:val="20"/>
        </w:rPr>
        <w:t xml:space="preserve"> </w:t>
      </w:r>
    </w:p>
    <w:p>
      <w:pPr>
        <w:shd w:fill="1F6B40" w:val="clear"/>
        <w:spacing w:after="120" w:before="280"/>
        <w:ind w:left="120"/>
      </w:pPr>
      <w:r>
        <w:rPr>
          <w:rFonts w:ascii="Arial" w:cs="Arial" w:eastAsia="Arial" w:hAnsi="Arial"/>
          <w:b/>
          <w:bCs/>
          <w:color w:val="FFFFFF"/>
          <w:sz w:val="28"/>
          <w:szCs w:val="28"/>
        </w:rPr>
        <w:t xml:space="preserve">11.  BSO Review</w:t>
      </w:r>
    </w:p>
    <w:p>
      <w:pPr>
        <w:spacing w:after="40" w:before="4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Date Received</w:t>
            </w:r>
          </w:p>
        </w:tc>
        <w:tc>
          <w:tcPr>
            <w:tcW w:type="dxa" w:w="24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Date Reviewed</w:t>
            </w:r>
          </w:p>
        </w:tc>
        <w:tc>
          <w:tcPr>
            <w:tcW w:type="dxa" w:w="216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BSO Lead</w:t>
            </w:r>
          </w:p>
        </w:tc>
        <w:tc>
          <w:tcPr>
            <w:tcW w:type="dxa" w:w="2400"/>
            <w:tcBorders>
              <w:top w:val="single" w:color="AAAAAA" w:sz="4"/>
              <w:left w:val="single" w:color="AAAAAA" w:sz="4"/>
              <w:bottom w:val="single" w:color="AAAAAA" w:sz="4"/>
              <w:right w:val="single" w:color="AAAAAA" w:sz="4"/>
            </w:tcBorders>
            <w:shd w:fill="1F6B40"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JDE – Rate Schedules Module</w:t>
            </w:r>
          </w:p>
        </w:tc>
      </w:tr>
    </w:tbl>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B40" w:sz="4"/>
      </w:pBdr>
      <w:tabs>
        <w:tab w:val="right" w:pos="8640"/>
      </w:tabs>
      <w:spacing w:after="0" w:before="80"/>
    </w:pPr>
    <w:r>
      <w:rPr>
        <w:rFonts w:ascii="Arial" w:cs="Arial" w:eastAsia="Arial" w:hAnsi="Arial"/>
        <w:color w:val="777777"/>
        <w:sz w:val="16"/>
        <w:szCs w:val="16"/>
      </w:rPr>
      <w:t xml:space="preserve">Heineken Vietnam Brewery Limited  |  Procurement / Logistics Department</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B40" w:val="clear"/>
      <w:tabs>
        <w:tab w:val="right" w:pos="8640"/>
      </w:tabs>
      <w:spacing w:after="80" w:before="80"/>
      <w:ind w:left="120"/>
    </w:pPr>
    <w:r>
      <w:rPr>
        <w:rFonts w:ascii="Arial" w:cs="Arial" w:eastAsia="Arial" w:hAnsi="Arial"/>
        <w:b/>
        <w:bCs/>
        <w:color w:val="FFFFFF"/>
        <w:sz w:val="18"/>
        <w:szCs w:val="18"/>
      </w:rPr>
      <w:t xml:space="preserve">BUSINESS REQUIREMENT DOCUMENT  |  TRUCKING PRICE SETUP</w:t>
    </w:r>
    <w:r>
      <w:rPr>
        <w:rFonts w:ascii="Arial" w:cs="Arial" w:eastAsia="Arial" w:hAnsi="Arial"/>
        <w:color w:val="FFFFFF"/>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F6B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2026-05-25T00:00:40.611Z</dcterms:created>
  <dcterms:modified xsi:type="dcterms:W3CDTF">2026-05-25T00:00:40.612Z</dcterms:modified>
</cp:coreProperties>
</file>

<file path=docProps/custom.xml><?xml version="1.0" encoding="utf-8"?>
<Properties xmlns="http://schemas.openxmlformats.org/officeDocument/2006/custom-properties" xmlns:vt="http://schemas.openxmlformats.org/officeDocument/2006/docPropsVTypes"/>
</file>