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ch_02.pdf</w:t>
      </w:r>
    </w:p>
    <w:p>
      <w:pPr>
        <w:pStyle w:val="Title"/>
        <w:jc w:val="left"/>
      </w:pPr>
      <w:r>
        <w:t>Chapter 2 Summary: Conduct of Business Standards - General</w:t>
      </w:r>
    </w:p>
    <w:p>
      <w:pPr>
        <w:pStyle w:val="Heading1"/>
      </w:pPr>
      <w:r>
        <w:t>Overview</w:t>
      </w:r>
    </w:p>
    <w:p>
      <w:r>
        <w:t>This chapter establishes general conduct of business standards for firms engaged in credit-related regulated activities. It covers fundamental principles including fair treatment of customers, restrictions on misleading names, marketing practices, and specific requirements for different types of credit-related activities including lending, broking, debt counselling, and distance marketing.</w:t>
      </w:r>
    </w:p>
    <w:p>
      <w:pPr>
        <w:pStyle w:val="Heading1"/>
      </w:pPr>
      <w:r>
        <w:t>Key Points and Main Findings</w:t>
      </w:r>
    </w:p>
    <w:p>
      <w:pPr>
        <w:pStyle w:val="Heading2"/>
      </w:pPr>
      <w:r>
        <w:t>General Principles (Section 2.2)</w:t>
      </w:r>
    </w:p>
    <w:p>
      <w:pPr>
        <w:pStyle w:val="ListBullet"/>
      </w:pPr>
      <w:r>
        <w:t>Principle 6 Compliance: Firms must treat customers fairly and pay due regard to their interests</w:t>
      </w:r>
    </w:p>
    <w:p>
      <w:pPr>
        <w:pStyle w:val="ListBullet"/>
      </w:pPr>
      <w:r>
        <w:t>Prohibited behaviors include:</w:t>
        <w:br/>
        <w:br/>
        <w:t>Targeting unsuitable credit agreements to vulnerable customers</w:t>
        <w:br/>
        <w:t>High-pressure selling or oppressive behavior</w:t>
        <w:br/>
        <w:t>Not allowing reasonable time for repayment</w:t>
        <w:br/>
        <w:t>Repossessing homes except as last resort</w:t>
        <w:br/>
      </w:r>
    </w:p>
    <w:p>
      <w:pPr>
        <w:pStyle w:val="ListBullet"/>
      </w:pPr>
      <w:r>
        <w:t>Targeting unsuitable credit agreements to vulnerable customers</w:t>
      </w:r>
    </w:p>
    <w:p>
      <w:pPr>
        <w:pStyle w:val="ListBullet"/>
      </w:pPr>
      <w:r>
        <w:t>High-pressure selling or oppressive behavior</w:t>
      </w:r>
    </w:p>
    <w:p>
      <w:pPr>
        <w:pStyle w:val="ListBullet"/>
      </w:pPr>
      <w:r>
        <w:t>Not allowing reasonable time for repayment</w:t>
      </w:r>
    </w:p>
    <w:p>
      <w:pPr>
        <w:pStyle w:val="ListBullet"/>
      </w:pPr>
      <w:r>
        <w:t>Repossessing homes except as last resort</w:t>
      </w:r>
    </w:p>
    <w:p>
      <w:pPr>
        <w:pStyle w:val="ListBullet"/>
      </w:pPr>
      <w:r>
        <w:t>Misleading names prohibition: Firms cannot operate under names that mislead about their status or business nature</w:t>
      </w:r>
    </w:p>
    <w:p>
      <w:pPr>
        <w:pStyle w:val="ListBullet"/>
      </w:pPr>
      <w:r>
        <w:t>Active election requirement: Customers must actively elect optional products with fees (no pre-ticked boxes)</w:t>
      </w:r>
    </w:p>
    <w:p>
      <w:pPr>
        <w:pStyle w:val="ListBullet"/>
      </w:pPr>
      <w:r>
        <w:t>Targeting unsuitable credit agreements to vulnerable customers</w:t>
      </w:r>
    </w:p>
    <w:p>
      <w:pPr>
        <w:pStyle w:val="ListBullet"/>
      </w:pPr>
      <w:r>
        <w:t>High-pressure selling or oppressive behavior</w:t>
      </w:r>
    </w:p>
    <w:p>
      <w:pPr>
        <w:pStyle w:val="ListBullet"/>
      </w:pPr>
      <w:r>
        <w:t>Not allowing reasonable time for repayment</w:t>
      </w:r>
    </w:p>
    <w:p>
      <w:pPr>
        <w:pStyle w:val="ListBullet"/>
      </w:pPr>
      <w:r>
        <w:t>Repossessing homes except as last resort</w:t>
      </w:r>
    </w:p>
    <w:p>
      <w:pPr>
        <w:pStyle w:val="Heading2"/>
      </w:pPr>
      <w:r>
        <w:t>Credit Broking Requirements (Section 2.5)</w:t>
      </w:r>
    </w:p>
    <w:p>
      <w:pPr>
        <w:pStyle w:val="ListBullet"/>
      </w:pPr>
      <w:r>
        <w:t>Must explain key features of credit agreements</w:t>
      </w:r>
    </w:p>
    <w:p>
      <w:pPr>
        <w:pStyle w:val="ListBullet"/>
      </w:pPr>
      <w:r>
        <w:t>Cannot make unsolicited calls to registered numbers</w:t>
      </w:r>
    </w:p>
    <w:p>
      <w:pPr>
        <w:pStyle w:val="ListBullet"/>
      </w:pPr>
      <w:r>
        <w:t>Must obtain consent before passing customer data to third parties</w:t>
      </w:r>
    </w:p>
    <w:p>
      <w:pPr>
        <w:pStyle w:val="ListBullet"/>
      </w:pPr>
      <w:r>
        <w:t>Prohibited from charging fees for introductions to different credit types without consent</w:t>
      </w:r>
    </w:p>
    <w:p>
      <w:pPr>
        <w:pStyle w:val="ListBullet"/>
      </w:pPr>
      <w:r>
        <w:t>Must disclose any group relationships with lenders</w:t>
      </w:r>
    </w:p>
    <w:p>
      <w:pPr>
        <w:pStyle w:val="Heading2"/>
      </w:pPr>
      <w:r>
        <w:t>Lender Conduct (Section 2.3)</w:t>
      </w:r>
    </w:p>
    <w:p>
      <w:pPr>
        <w:pStyle w:val="ListBullet"/>
      </w:pPr>
      <w:r>
        <w:t>Must explain key features to enable informed choice</w:t>
      </w:r>
    </w:p>
    <w:p>
      <w:pPr>
        <w:pStyle w:val="ListBullet"/>
      </w:pPr>
      <w:r>
        <w:t>Monitor repayment records and act on difficulties</w:t>
      </w:r>
    </w:p>
    <w:p>
      <w:pPr>
        <w:pStyle w:val="ListBullet"/>
      </w:pPr>
      <w:r>
        <w:t>Verify credit brokers are authorized</w:t>
      </w:r>
    </w:p>
    <w:p>
      <w:pPr>
        <w:pStyle w:val="ListBullet"/>
      </w:pPr>
      <w:r>
        <w:t>Credit card cheques: Only provided on customer request (max 3 per request)</w:t>
      </w:r>
    </w:p>
    <w:p>
      <w:pPr>
        <w:pStyle w:val="Heading2"/>
      </w:pPr>
      <w:r>
        <w:t>Debt Counselling/Adjusting (Section 2.6)</w:t>
      </w:r>
    </w:p>
    <w:p>
      <w:pPr>
        <w:pStyle w:val="ListBullet"/>
      </w:pPr>
      <w:r>
        <w:t>Cannot use coercion or pressure to sell services</w:t>
      </w:r>
    </w:p>
    <w:p>
      <w:pPr>
        <w:pStyle w:val="ListBullet"/>
      </w:pPr>
      <w:r>
        <w:t>Cannot exploit customer's lack of legal knowledge</w:t>
      </w:r>
    </w:p>
    <w:p>
      <w:pPr>
        <w:pStyle w:val="ListBullet"/>
      </w:pPr>
      <w:r>
        <w:t>Must respect customer requests regarding visits</w:t>
      </w:r>
    </w:p>
    <w:p>
      <w:pPr>
        <w:pStyle w:val="ListBullet"/>
      </w:pPr>
      <w:r>
        <w:t>Premium rate call restrictions apply</w:t>
      </w:r>
    </w:p>
    <w:p>
      <w:pPr>
        <w:pStyle w:val="Heading2"/>
      </w:pPr>
      <w:r>
        <w:t>Distance Marketing (Section 2.7)</w:t>
      </w:r>
    </w:p>
    <w:p>
      <w:pPr>
        <w:pStyle w:val="ListBullet"/>
      </w:pPr>
      <w:r>
        <w:t>Comprehensive information requirements before contract binding</w:t>
      </w:r>
    </w:p>
    <w:p>
      <w:pPr>
        <w:pStyle w:val="ListBullet"/>
      </w:pPr>
      <w:r>
        <w:t>Must provide information in durable medium</w:t>
      </w:r>
    </w:p>
    <w:p>
      <w:pPr>
        <w:pStyle w:val="ListBullet"/>
      </w:pPr>
      <w:r>
        <w:t>Consumer rights to paper copies and communication method changes</w:t>
      </w:r>
    </w:p>
    <w:p>
      <w:pPr>
        <w:pStyle w:val="ListBullet"/>
      </w:pPr>
      <w:r>
        <w:t>Special provisions for voice telephony communications</w:t>
      </w:r>
    </w:p>
    <w:p>
      <w:pPr>
        <w:pStyle w:val="Heading2"/>
      </w:pPr>
      <w:r>
        <w:t>E-commerce Requirements (Section 2.8)</w:t>
      </w:r>
    </w:p>
    <w:p>
      <w:pPr>
        <w:pStyle w:val="ListBullet"/>
      </w:pPr>
      <w:r>
        <w:t>Must make firm information permanently accessible</w:t>
      </w:r>
    </w:p>
    <w:p>
      <w:pPr>
        <w:pStyle w:val="ListBullet"/>
      </w:pPr>
      <w:r>
        <w:t>Clear identification of commercial communications</w:t>
      </w:r>
    </w:p>
    <w:p>
      <w:pPr>
        <w:pStyle w:val="ListBullet"/>
      </w:pPr>
      <w:r>
        <w:t>Technical requirements for order placement and acknowledgment</w:t>
      </w:r>
    </w:p>
    <w:p>
      <w:pPr>
        <w:pStyle w:val="ListBullet"/>
      </w:pPr>
      <w:r>
        <w:t>Unsolicited email must be clearly identifiable</w:t>
      </w:r>
    </w:p>
    <w:p>
      <w:pPr>
        <w:pStyle w:val="Heading2"/>
      </w:pPr>
      <w:r>
        <w:t>Mental Capacity Guidance (Section 2.10)</w:t>
      </w:r>
    </w:p>
    <w:p>
      <w:pPr>
        <w:pStyle w:val="ListBullet"/>
      </w:pPr>
      <w:r>
        <w:t>Firms must have procedures for customers with potential mental capacity limitations</w:t>
      </w:r>
    </w:p>
    <w:p>
      <w:pPr>
        <w:pStyle w:val="ListBullet"/>
      </w:pPr>
      <w:r>
        <w:t>Should assume capacity unless reasonable grounds to suspect otherwise</w:t>
      </w:r>
    </w:p>
    <w:p>
      <w:pPr>
        <w:pStyle w:val="ListBullet"/>
      </w:pPr>
      <w:r>
        <w:t>Must balance protection with avoiding unfair discrimination</w:t>
      </w:r>
    </w:p>
    <w:p>
      <w:pPr>
        <w:pStyle w:val="ListBullet"/>
      </w:pPr>
      <w:r>
        <w:t>Enhanced scrutiny for creditworthiness assessments when capacity concerns exist</w:t>
      </w:r>
    </w:p>
    <w:p>
      <w:pPr>
        <w:pStyle w:val="Heading2"/>
      </w:pPr>
      <w:r>
        <w:t>Remuneration Policies (Section 2.11)</w:t>
      </w:r>
    </w:p>
    <w:p>
      <w:pPr>
        <w:pStyle w:val="ListBullet"/>
      </w:pPr>
      <w:r>
        <w:t>Must manage risks from incentive structures</w:t>
      </w:r>
    </w:p>
    <w:p>
      <w:pPr>
        <w:pStyle w:val="ListBullet"/>
      </w:pPr>
      <w:r>
        <w:t>Policies needed to detect and manage conflicts from volume-based compensation</w:t>
      </w:r>
    </w:p>
    <w:p>
      <w:pPr>
        <w:pStyle w:val="ListBullet"/>
      </w:pPr>
      <w:r>
        <w:t>Monitoring required for sales activities and debt collection practices</w:t>
      </w:r>
    </w:p>
    <w:p>
      <w:pPr>
        <w:pStyle w:val="Heading1"/>
      </w:pPr>
      <w:r>
        <w:t>Important Details and Conclusions</w:t>
      </w:r>
    </w:p>
    <w:p>
      <w:r>
        <w:t>The chapter emphasizes consumer protection through:</w:t>
        <w:br/>
        <w:t xml:space="preserve">1. </w:t>
      </w:r>
      <w:r>
        <w:rPr>
          <w:b/>
        </w:rPr>
        <w:t>Transparency</w:t>
      </w:r>
      <w:r>
        <w:t>: Clear disclosure requirements across all activities</w:t>
        <w:br/>
        <w:t xml:space="preserve">2. </w:t>
      </w:r>
      <w:r>
        <w:rPr>
          <w:b/>
        </w:rPr>
        <w:t>Fair treatment</w:t>
      </w:r>
      <w:r>
        <w:t>: Explicit prohibitions on exploitative practices</w:t>
        <w:br/>
        <w:t xml:space="preserve">3. </w:t>
      </w:r>
      <w:r>
        <w:rPr>
          <w:b/>
        </w:rPr>
        <w:t>Vulnerable customer protection</w:t>
      </w:r>
      <w:r>
        <w:t>: Special provisions for those with mental capacity limitations</w:t>
        <w:br/>
        <w:t xml:space="preserve">4. </w:t>
      </w:r>
      <w:r>
        <w:rPr>
          <w:b/>
        </w:rPr>
        <w:t>Active consent</w:t>
      </w:r>
      <w:r>
        <w:t>: Requirements preventing opt-out selling</w:t>
        <w:br/>
        <w:t xml:space="preserve">5. </w:t>
      </w:r>
      <w:r>
        <w:rPr>
          <w:b/>
        </w:rPr>
        <w:t>Regulatory alignment</w:t>
      </w:r>
      <w:r>
        <w:t>: Integration with CCA requirements and other consumer protection legislation</w:t>
      </w:r>
    </w:p>
    <w:p>
      <w:r>
        <w:t>The overarching theme is ensuring firms conduct business in ways that enable informed consumer decision-making while preventing exploitation of vulnerable individuals. Firms must establish comprehensive policies and procedures to identify and manage risks to customers arising from their business practices, particularly regarding sales incentives and performance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