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Summary of ch_05.pdf</w:t>
      </w:r>
    </w:p>
    <w:p>
      <w:pPr>
        <w:pStyle w:val="Title"/>
        <w:jc w:val="left"/>
      </w:pPr>
      <w:r>
        <w:t>Chapter 5: Responsible Lending - Summary</w:t>
      </w:r>
    </w:p>
    <w:p>
      <w:pPr>
        <w:pStyle w:val="Heading1"/>
      </w:pPr>
      <w:r>
        <w:t>Overview</w:t>
      </w:r>
    </w:p>
    <w:p>
      <w:r>
        <w:t>This chapter of the Consumer Credit sourcebook (CONC 5) establishes comprehensive rules and guidance for responsible lending practices, focusing primarily on creditworthiness assessments for consumer credit agreements and peer-to-peer (P2P) lending arrangements. The chapter has been significantly revised, with several sections deleted and replaced by detailed requirements in sections 5.2A and 5.5A.</w:t>
      </w:r>
    </w:p>
    <w:p>
      <w:pPr>
        <w:pStyle w:val="Heading1"/>
      </w:pPr>
      <w:r>
        <w:t>Key Points and Main Findings</w:t>
      </w:r>
    </w:p>
    <w:p>
      <w:pPr>
        <w:pStyle w:val="Heading2"/>
      </w:pPr>
      <w:r>
        <w:t>Creditworthiness Assessment Requirements (Section 5.2A)</w:t>
      </w:r>
    </w:p>
    <w:p>
      <w:pPr>
        <w:pStyle w:val="ListBullet"/>
      </w:pPr>
      <w:r>
        <w:t>Mandatory assessment required before:</w:t>
        <w:br/>
        <w:br/>
        <w:t>Entering into regulated credit agreements</w:t>
        <w:br/>
        <w:t>Significantly increasing credit amounts</w:t>
        <w:br/>
        <w:t>Significantly increasing credit limits for running-account credit</w:t>
        <w:br/>
      </w:r>
    </w:p>
    <w:p>
      <w:pPr>
        <w:pStyle w:val="ListBullet"/>
      </w:pPr>
      <w:r>
        <w:t>Entering into regulated credit agreements</w:t>
      </w:r>
    </w:p>
    <w:p>
      <w:pPr>
        <w:pStyle w:val="ListBullet"/>
      </w:pPr>
      <w:r>
        <w:t>Significantly increasing credit amounts</w:t>
      </w:r>
    </w:p>
    <w:p>
      <w:pPr>
        <w:pStyle w:val="ListBullet"/>
      </w:pPr>
      <w:r>
        <w:t>Significantly increasing credit limits for running-account credit</w:t>
      </w:r>
    </w:p>
    <w:p>
      <w:pPr>
        <w:pStyle w:val="ListBullet"/>
      </w:pPr>
      <w:r>
        <w:t>Dual risk consideration:</w:t>
        <w:br/>
        <w:br/>
        <w:t>Credit risk (likelihood of non-repayment)</w:t>
        <w:br/>
        <w:t>Affordability risk (customer's ability to repay without financial hardship)</w:t>
        <w:br/>
      </w:r>
    </w:p>
    <w:p>
      <w:pPr>
        <w:pStyle w:val="ListBullet"/>
      </w:pPr>
      <w:r>
        <w:t>Credit risk (likelihood of non-repayment)</w:t>
      </w:r>
    </w:p>
    <w:p>
      <w:pPr>
        <w:pStyle w:val="ListBullet"/>
      </w:pPr>
      <w:r>
        <w:t>Affordability risk (customer's ability to repay without financial hardship)</w:t>
      </w:r>
    </w:p>
    <w:p>
      <w:pPr>
        <w:pStyle w:val="ListBullet"/>
      </w:pPr>
      <w:r>
        <w:t>Income and expenditure analysis must include:</w:t>
        <w:br/>
        <w:br/>
        <w:t>Current income determination or reasonable estimates</w:t>
        <w:br/>
        <w:t>Non-discretionary expenditure assessment</w:t>
        <w:br/>
        <w:t>Consideration of foreseeable changes in financial circumstances</w:t>
        <w:br/>
      </w:r>
    </w:p>
    <w:p>
      <w:pPr>
        <w:pStyle w:val="ListBullet"/>
      </w:pPr>
      <w:r>
        <w:t>Current income determination or reasonable estimates</w:t>
      </w:r>
    </w:p>
    <w:p>
      <w:pPr>
        <w:pStyle w:val="ListBullet"/>
      </w:pPr>
      <w:r>
        <w:t>Non-discretionary expenditure assessment</w:t>
      </w:r>
    </w:p>
    <w:p>
      <w:pPr>
        <w:pStyle w:val="ListBullet"/>
      </w:pPr>
      <w:r>
        <w:t>Consideration of foreseeable changes in financial circumstances</w:t>
      </w:r>
    </w:p>
    <w:p>
      <w:pPr>
        <w:pStyle w:val="ListBullet"/>
      </w:pPr>
      <w:r>
        <w:t>Prohibited practices:</w:t>
        <w:br/>
        <w:br/>
        <w:t>Cannot rely on guarantees/security when assessing affordability</w:t>
        <w:br/>
        <w:t>Must not complete application forms without customer consent</w:t>
        <w:br/>
        <w:t>Must reject applications where customer dishonesty is suspected</w:t>
        <w:br/>
      </w:r>
    </w:p>
    <w:p>
      <w:pPr>
        <w:pStyle w:val="ListBullet"/>
      </w:pPr>
      <w:r>
        <w:t>Cannot rely on guarantees/security when assessing affordability</w:t>
      </w:r>
    </w:p>
    <w:p>
      <w:pPr>
        <w:pStyle w:val="ListBullet"/>
      </w:pPr>
      <w:r>
        <w:t>Must not complete application forms without customer consent</w:t>
      </w:r>
    </w:p>
    <w:p>
      <w:pPr>
        <w:pStyle w:val="ListBullet"/>
      </w:pPr>
      <w:r>
        <w:t>Must reject applications where customer dishonesty is suspected</w:t>
      </w:r>
    </w:p>
    <w:p>
      <w:pPr>
        <w:pStyle w:val="ListBullet"/>
      </w:pPr>
      <w:r>
        <w:t>Entering into regulated credit agreements</w:t>
      </w:r>
    </w:p>
    <w:p>
      <w:pPr>
        <w:pStyle w:val="ListBullet"/>
      </w:pPr>
      <w:r>
        <w:t>Significantly increasing credit amounts</w:t>
      </w:r>
    </w:p>
    <w:p>
      <w:pPr>
        <w:pStyle w:val="ListBullet"/>
      </w:pPr>
      <w:r>
        <w:t>Significantly increasing credit limits for running-account credit</w:t>
      </w:r>
    </w:p>
    <w:p>
      <w:pPr>
        <w:pStyle w:val="ListBullet"/>
      </w:pPr>
      <w:r>
        <w:t>Credit risk (likelihood of non-repayment)</w:t>
      </w:r>
    </w:p>
    <w:p>
      <w:pPr>
        <w:pStyle w:val="ListBullet"/>
      </w:pPr>
      <w:r>
        <w:t>Affordability risk (customer's ability to repay without financial hardship)</w:t>
      </w:r>
    </w:p>
    <w:p>
      <w:pPr>
        <w:pStyle w:val="ListBullet"/>
      </w:pPr>
      <w:r>
        <w:t>Current income determination or reasonable estimates</w:t>
      </w:r>
    </w:p>
    <w:p>
      <w:pPr>
        <w:pStyle w:val="ListBullet"/>
      </w:pPr>
      <w:r>
        <w:t>Non-discretionary expenditure assessment</w:t>
      </w:r>
    </w:p>
    <w:p>
      <w:pPr>
        <w:pStyle w:val="ListBullet"/>
      </w:pPr>
      <w:r>
        <w:t>Consideration of foreseeable changes in financial circumstances</w:t>
      </w:r>
    </w:p>
    <w:p>
      <w:pPr>
        <w:pStyle w:val="ListBullet"/>
      </w:pPr>
      <w:r>
        <w:t>Cannot rely on guarantees/security when assessing affordability</w:t>
      </w:r>
    </w:p>
    <w:p>
      <w:pPr>
        <w:pStyle w:val="ListBullet"/>
      </w:pPr>
      <w:r>
        <w:t>Must not complete application forms without customer consent</w:t>
      </w:r>
    </w:p>
    <w:p>
      <w:pPr>
        <w:pStyle w:val="ListBullet"/>
      </w:pPr>
      <w:r>
        <w:t>Must reject applications where customer dishonesty is suspected</w:t>
      </w:r>
    </w:p>
    <w:p>
      <w:pPr>
        <w:pStyle w:val="Heading2"/>
      </w:pPr>
      <w:r>
        <w:t>P2P Lending Requirements (Section 5.5A)</w:t>
      </w:r>
    </w:p>
    <w:p>
      <w:pPr>
        <w:pStyle w:val="ListBullet"/>
      </w:pPr>
      <w:r>
        <w:t>Parallel obligations for P2P platforms operating electronic lending systems</w:t>
      </w:r>
    </w:p>
    <w:p>
      <w:pPr>
        <w:pStyle w:val="ListBullet"/>
      </w:pPr>
      <w:r>
        <w:t>Similar assessment framework to traditional lending with adaptations for P2P context</w:t>
      </w:r>
    </w:p>
    <w:p>
      <w:pPr>
        <w:pStyle w:val="ListBullet"/>
      </w:pPr>
      <w:r>
        <w:t>Platform responsibilities include:</w:t>
        <w:br/>
        <w:br/>
        <w:t>Conducting creditworthiness assessments for borrowers</w:t>
        <w:br/>
        <w:t>Assessing guarantors where applicable</w:t>
        <w:br/>
        <w:t>Informing lenders of suspected borrower dishonesty</w:t>
        <w:br/>
      </w:r>
    </w:p>
    <w:p>
      <w:pPr>
        <w:pStyle w:val="ListBullet"/>
      </w:pPr>
      <w:r>
        <w:t>Conducting creditworthiness assessments for borrowers</w:t>
      </w:r>
    </w:p>
    <w:p>
      <w:pPr>
        <w:pStyle w:val="ListBullet"/>
      </w:pPr>
      <w:r>
        <w:t>Assessing guarantors where applicable</w:t>
      </w:r>
    </w:p>
    <w:p>
      <w:pPr>
        <w:pStyle w:val="ListBullet"/>
      </w:pPr>
      <w:r>
        <w:t>Informing lenders of suspected borrower dishonesty</w:t>
      </w:r>
    </w:p>
    <w:p>
      <w:pPr>
        <w:pStyle w:val="ListBullet"/>
      </w:pPr>
      <w:r>
        <w:t>Specific considerations for business borrowers and joint borrowers</w:t>
      </w:r>
    </w:p>
    <w:p>
      <w:pPr>
        <w:pStyle w:val="ListBullet"/>
      </w:pPr>
      <w:r>
        <w:t>Conducting creditworthiness assessments for borrowers</w:t>
      </w:r>
    </w:p>
    <w:p>
      <w:pPr>
        <w:pStyle w:val="ListBullet"/>
      </w:pPr>
      <w:r>
        <w:t>Assessing guarantors where applicable</w:t>
      </w:r>
    </w:p>
    <w:p>
      <w:pPr>
        <w:pStyle w:val="ListBullet"/>
      </w:pPr>
      <w:r>
        <w:t>Informing lenders of suspected borrower dishonesty</w:t>
      </w:r>
    </w:p>
    <w:p>
      <w:pPr>
        <w:pStyle w:val="Heading2"/>
      </w:pPr>
      <w:r>
        <w:t>Proportionality Principle</w:t>
      </w:r>
    </w:p>
    <w:p>
      <w:pPr>
        <w:pStyle w:val="ListBullet"/>
      </w:pPr>
      <w:r>
        <w:t>Assessment scope must be proportionate to:</w:t>
        <w:br/>
        <w:br/>
        <w:t>Credit amount and duration</w:t>
        <w:br/>
        <w:t>Total cost of credit</w:t>
        <w:br/>
        <w:t>Customer's financial circumstances</w:t>
        <w:br/>
        <w:t>Potential adverse consequences of non-payment</w:t>
        <w:br/>
      </w:r>
    </w:p>
    <w:p>
      <w:pPr>
        <w:pStyle w:val="ListBullet"/>
      </w:pPr>
      <w:r>
        <w:t>Credit amount and duration</w:t>
      </w:r>
    </w:p>
    <w:p>
      <w:pPr>
        <w:pStyle w:val="ListBullet"/>
      </w:pPr>
      <w:r>
        <w:t>Total cost of credit</w:t>
      </w:r>
    </w:p>
    <w:p>
      <w:pPr>
        <w:pStyle w:val="ListBullet"/>
      </w:pPr>
      <w:r>
        <w:t>Customer's financial circumstances</w:t>
      </w:r>
    </w:p>
    <w:p>
      <w:pPr>
        <w:pStyle w:val="ListBullet"/>
      </w:pPr>
      <w:r>
        <w:t>Potential adverse consequences of non-payment</w:t>
      </w:r>
    </w:p>
    <w:p>
      <w:pPr>
        <w:pStyle w:val="ListBullet"/>
      </w:pPr>
      <w:r>
        <w:t>Information requirements vary based on:</w:t>
        <w:br/>
        <w:br/>
        <w:t>Level of affordability risk</w:t>
        <w:br/>
        <w:t>Complexity of the credit product</w:t>
        <w:br/>
        <w:t>Customer vulnerability indicators</w:t>
        <w:br/>
      </w:r>
    </w:p>
    <w:p>
      <w:pPr>
        <w:pStyle w:val="ListBullet"/>
      </w:pPr>
      <w:r>
        <w:t>Level of affordability risk</w:t>
      </w:r>
    </w:p>
    <w:p>
      <w:pPr>
        <w:pStyle w:val="ListBullet"/>
      </w:pPr>
      <w:r>
        <w:t>Complexity of the credit product</w:t>
      </w:r>
    </w:p>
    <w:p>
      <w:pPr>
        <w:pStyle w:val="ListBullet"/>
      </w:pPr>
      <w:r>
        <w:t>Customer vulnerability indicators</w:t>
      </w:r>
    </w:p>
    <w:p>
      <w:pPr>
        <w:pStyle w:val="ListBullet"/>
      </w:pPr>
      <w:r>
        <w:t>Credit amount and duration</w:t>
      </w:r>
    </w:p>
    <w:p>
      <w:pPr>
        <w:pStyle w:val="ListBullet"/>
      </w:pPr>
      <w:r>
        <w:t>Total cost of credit</w:t>
      </w:r>
    </w:p>
    <w:p>
      <w:pPr>
        <w:pStyle w:val="ListBullet"/>
      </w:pPr>
      <w:r>
        <w:t>Customer's financial circumstances</w:t>
      </w:r>
    </w:p>
    <w:p>
      <w:pPr>
        <w:pStyle w:val="ListBullet"/>
      </w:pPr>
      <w:r>
        <w:t>Potential adverse consequences of non-payment</w:t>
      </w:r>
    </w:p>
    <w:p>
      <w:pPr>
        <w:pStyle w:val="ListBullet"/>
      </w:pPr>
      <w:r>
        <w:t>Level of affordability risk</w:t>
      </w:r>
    </w:p>
    <w:p>
      <w:pPr>
        <w:pStyle w:val="ListBullet"/>
      </w:pPr>
      <w:r>
        <w:t>Complexity of the credit product</w:t>
      </w:r>
    </w:p>
    <w:p>
      <w:pPr>
        <w:pStyle w:val="ListBullet"/>
      </w:pPr>
      <w:r>
        <w:t>Customer vulnerability indicators</w:t>
      </w:r>
    </w:p>
    <w:p>
      <w:pPr>
        <w:pStyle w:val="Heading2"/>
      </w:pPr>
      <w:r>
        <w:t>Credit Broker Conduct (Section 5.4)</w:t>
      </w:r>
    </w:p>
    <w:p>
      <w:pPr>
        <w:pStyle w:val="ListBullet"/>
      </w:pPr>
      <w:r>
        <w:t>Customer-focused approach required when giving advice or recommendations</w:t>
      </w:r>
    </w:p>
    <w:p>
      <w:pPr>
        <w:pStyle w:val="ListBullet"/>
      </w:pPr>
      <w:r>
        <w:t>Due regard to affordability and suitability factors</w:t>
      </w:r>
    </w:p>
    <w:p>
      <w:pPr>
        <w:pStyle w:val="ListBullet"/>
      </w:pPr>
      <w:r>
        <w:t>Market search obligations when undertaking to search product markets</w:t>
      </w:r>
    </w:p>
    <w:p>
      <w:pPr>
        <w:pStyle w:val="Heading1"/>
      </w:pPr>
      <w:r>
        <w:t>Important Details and Conclusions</w:t>
      </w:r>
    </w:p>
    <w:p>
      <w:pPr>
        <w:pStyle w:val="Heading2"/>
      </w:pPr>
      <w:r>
        <w:t>Governance and Record-keeping</w:t>
      </w:r>
    </w:p>
    <w:p>
      <w:pPr>
        <w:pStyle w:val="ListBullet"/>
      </w:pPr>
      <w:r>
        <w:t>Firms must establish written policies and procedures for creditworthiness assessments</w:t>
      </w:r>
    </w:p>
    <w:p>
      <w:pPr>
        <w:pStyle w:val="ListBullet"/>
      </w:pPr>
      <w:r>
        <w:t>Regular review and assessment of policy effectiveness required</w:t>
      </w:r>
    </w:p>
    <w:p>
      <w:pPr>
        <w:pStyle w:val="ListBullet"/>
      </w:pPr>
      <w:r>
        <w:t>Comprehensive record-keeping to demonstrate compliance with assessment requirements</w:t>
      </w:r>
    </w:p>
    <w:p>
      <w:pPr>
        <w:pStyle w:val="ListBullet"/>
      </w:pPr>
      <w:r>
        <w:t>Senior management approval needed for policies (except sole traders)</w:t>
      </w:r>
    </w:p>
    <w:p>
      <w:pPr>
        <w:pStyle w:val="Heading2"/>
      </w:pPr>
      <w:r>
        <w:t>Special Circumstances</w:t>
      </w:r>
    </w:p>
    <w:p>
      <w:pPr>
        <w:pStyle w:val="ListBullet"/>
      </w:pPr>
      <w:r>
        <w:t>Vulnerable customers: Enhanced consideration for those with mental health difficulties or capacity limitations</w:t>
      </w:r>
    </w:p>
    <w:p>
      <w:pPr>
        <w:pStyle w:val="ListBullet"/>
      </w:pPr>
      <w:r>
        <w:t>Joint borrowers: May require individual assessments for each borrower</w:t>
      </w:r>
    </w:p>
    <w:p>
      <w:pPr>
        <w:pStyle w:val="ListBullet"/>
      </w:pPr>
      <w:r>
        <w:t>Business lending: Can consider business plans and resources, but assessments cannot rely solely on projections</w:t>
      </w:r>
    </w:p>
    <w:p>
      <w:pPr>
        <w:pStyle w:val="ListBullet"/>
      </w:pPr>
      <w:r>
        <w:t>Guarantor assessments: Separate evaluation required focusing on potential financial impact</w:t>
      </w:r>
    </w:p>
    <w:p>
      <w:pPr>
        <w:pStyle w:val="Heading2"/>
      </w:pPr>
      <w:r>
        <w:t>Exemptions</w:t>
      </w:r>
    </w:p>
    <w:p>
      <w:r>
        <w:t>The rules do not apply to:</w:t>
        <w:br/>
        <w:t>- Certain pawn agreements with limited liability</w:t>
        <w:br/>
        <w:t>- Current account overrunning situations</w:t>
        <w:br/>
        <w:t>- Non-commercial agreements</w:t>
        <w:br/>
        <w:t>- Small borrower-lender-supplier restricted-use credit agreements</w:t>
      </w:r>
    </w:p>
    <w:p>
      <w:pPr>
        <w:pStyle w:val="Heading2"/>
      </w:pPr>
      <w:r>
        <w:t>Key Compliance Themes</w:t>
      </w:r>
    </w:p>
    <w:p>
      <w:pPr>
        <w:pStyle w:val="ListBullet"/>
      </w:pPr>
      <w:r>
        <w:t>Evidence-based decision making: Assessments must be based on sufficient, verified information</w:t>
      </w:r>
    </w:p>
    <w:p>
      <w:pPr>
        <w:pStyle w:val="ListBullet"/>
      </w:pPr>
      <w:r>
        <w:t>Forward-looking analysis: Must consider likely future changes in customer circumstances</w:t>
      </w:r>
    </w:p>
    <w:p>
      <w:pPr>
        <w:pStyle w:val="ListBullet"/>
      </w:pPr>
      <w:r>
        <w:t>Holistic evaluation: Cannot ignore non-discretionary expenditure or rely solely on income statements</w:t>
      </w:r>
    </w:p>
    <w:p>
      <w:pPr>
        <w:pStyle w:val="ListBullet"/>
      </w:pPr>
      <w:r>
        <w:t>Proportionate approach: More rigorous assessment for higher-risk credit products</w:t>
      </w:r>
    </w:p>
    <w:p>
      <w:pPr>
        <w:pStyle w:val="ListBullet"/>
      </w:pPr>
      <w:r>
        <w:t>Consumer protection focus: Preventing lending that would cause financial hardship</w:t>
      </w:r>
    </w:p>
    <w:p>
      <w:r>
        <w:t>The chapter establishes a comprehensive framework ensuring responsible lending practices while maintaining flexibility for firms to adapt their approaches to different credit products and customer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