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ch_08.pdf</w:t>
      </w:r>
    </w:p>
    <w:p>
      <w:pPr>
        <w:pStyle w:val="Title"/>
        <w:jc w:val="left"/>
      </w:pPr>
      <w:r>
        <w:t>Chapter 8: Debt Advice - Summary</w:t>
      </w:r>
    </w:p>
    <w:p>
      <w:pPr>
        <w:pStyle w:val="Heading1"/>
      </w:pPr>
      <w:r>
        <w:t>Brief Overview</w:t>
      </w:r>
    </w:p>
    <w:p>
      <w:r>
        <w:t>This chapter of the Consumer Credit sourcebook (CONC 8) establishes comprehensive regulatory requirements for firms providing debt counselling, debt adjusting, and credit information services. It sets out conduct standards, pre-contract information requirements, and operational obligations to ensure customers receive appropriate debt advice and fair treatment, with particular emphasis on protecting vulnerable consumers and preventing conflicts of interest.</w:t>
      </w:r>
    </w:p>
    <w:p>
      <w:pPr>
        <w:pStyle w:val="Heading1"/>
      </w:pPr>
      <w:r>
        <w:t>Key Points and Main Findings</w:t>
      </w:r>
    </w:p>
    <w:p>
      <w:pPr>
        <w:pStyle w:val="Heading2"/>
      </w:pPr>
      <w:r>
        <w:t>Application and Scope</w:t>
      </w:r>
    </w:p>
    <w:p>
      <w:pPr>
        <w:pStyle w:val="ListBullet"/>
      </w:pPr>
      <w:r>
        <w:t>Applies to all firms (profit-seeking and not-for-profit) providing debt counselling, debt adjusting, and credit information services</w:t>
      </w:r>
    </w:p>
    <w:p>
      <w:pPr>
        <w:pStyle w:val="ListBullet"/>
      </w:pPr>
      <w:r>
        <w:t>Covers both regulated and unregulated credit agreements and consumer hire agreements</w:t>
      </w:r>
    </w:p>
    <w:p>
      <w:pPr>
        <w:pStyle w:val="ListBullet"/>
      </w:pPr>
      <w:r>
        <w:t>Includes specific provisions for firms operating electronic lending systems (P2P platforms)</w:t>
      </w:r>
    </w:p>
    <w:p>
      <w:pPr>
        <w:pStyle w:val="Heading2"/>
      </w:pPr>
      <w:r>
        <w:t>Core Conduct Standards</w:t>
      </w:r>
    </w:p>
    <w:p>
      <w:pPr>
        <w:pStyle w:val="ListBullet"/>
      </w:pPr>
      <w:r>
        <w:t>Overarching Principles: Firms must conduct business with due skill, care and diligence (Principle 2) and treat customers fairly (Principle 6)</w:t>
      </w:r>
    </w:p>
    <w:p>
      <w:pPr>
        <w:pStyle w:val="ListBullet"/>
      </w:pPr>
      <w:r>
        <w:t>Mandatory Signposting: Firms must prominently inform customers about free debt counselling services available through MoneyHelper in first communications</w:t>
      </w:r>
    </w:p>
    <w:p>
      <w:pPr>
        <w:pStyle w:val="ListBullet"/>
      </w:pPr>
      <w:r>
        <w:t>Vulnerable Customer Protection: Firms must establish clear policies to identify and appropriately support particularly vulnerable customers, including those with mental health issues</w:t>
      </w:r>
    </w:p>
    <w:p>
      <w:pPr>
        <w:pStyle w:val="Heading2"/>
      </w:pPr>
      <w:r>
        <w:t>Pre-Contract Requirements</w:t>
      </w:r>
    </w:p>
    <w:p>
      <w:pPr>
        <w:pStyle w:val="ListBullet"/>
      </w:pPr>
      <w:r>
        <w:t>Information Disclosure: Firms must provide comprehensive information about services, costs, duration, and potential credit rating impacts in a durable medium</w:t>
      </w:r>
    </w:p>
    <w:p>
      <w:pPr>
        <w:pStyle w:val="ListBullet"/>
      </w:pPr>
      <w:r>
        <w:t>Assessment Obligations: Must conduct thorough assessments of customer's financial position, personal circumstances, and provide advice in customer's best interests</w:t>
      </w:r>
    </w:p>
    <w:p>
      <w:pPr>
        <w:pStyle w:val="ListBullet"/>
      </w:pPr>
      <w:r>
        <w:t>Referral Requirements: Must refer customers to appropriate not-for-profit bodies when unable to assist or when customer cannot afford fees</w:t>
      </w:r>
    </w:p>
    <w:p>
      <w:pPr>
        <w:pStyle w:val="Heading2"/>
      </w:pPr>
      <w:r>
        <w:t>Prohibition on Debt Packager Remuneration</w:t>
      </w:r>
    </w:p>
    <w:p>
      <w:pPr>
        <w:pStyle w:val="ListBullet"/>
      </w:pPr>
      <w:r>
        <w:t>New Restriction: Debt packagers (firms providing debt counselling but not debt solutions) are prohibited from receiving commission or fees from debt solution providers</w:t>
      </w:r>
    </w:p>
    <w:p>
      <w:pPr>
        <w:pStyle w:val="ListBullet"/>
      </w:pPr>
      <w:r>
        <w:t>Purpose: Removes conflicts of interest between duty to advise customers appropriately and financial incentives from referral fees</w:t>
      </w:r>
    </w:p>
    <w:p>
      <w:pPr>
        <w:pStyle w:val="ListBullet"/>
      </w:pPr>
      <w:r>
        <w:t>Limited Exceptions: Only for statutory payments and specific government schemes</w:t>
      </w:r>
    </w:p>
    <w:p>
      <w:pPr>
        <w:pStyle w:val="Heading2"/>
      </w:pPr>
      <w:r>
        <w:t>Financial Statements and Debt Management Plans</w:t>
      </w:r>
    </w:p>
    <w:p>
      <w:pPr>
        <w:pStyle w:val="ListBullet"/>
      </w:pPr>
      <w:r>
        <w:t>Accuracy Requirements: Financial statements to lenders must be accurate, realistic, and sent only with customer consent</w:t>
      </w:r>
    </w:p>
    <w:p>
      <w:pPr>
        <w:pStyle w:val="ListBullet"/>
      </w:pPr>
      <w:r>
        <w:t>Sustainable Offers: Repayment proposals must be realistic and sustainable based on customer's disposable income</w:t>
      </w:r>
    </w:p>
    <w:p>
      <w:pPr>
        <w:pStyle w:val="ListBullet"/>
      </w:pPr>
      <w:r>
        <w:t>Ongoing Monitoring: Firms must regularly review and adapt debt management plans to reflect changes in customer circumstances</w:t>
      </w:r>
    </w:p>
    <w:p>
      <w:pPr>
        <w:pStyle w:val="ListBullet"/>
      </w:pPr>
      <w:r>
        <w:t>Annual Statements: Must provide detailed statements showing balances, fees, and payments to lenders</w:t>
      </w:r>
    </w:p>
    <w:p>
      <w:pPr>
        <w:pStyle w:val="Heading2"/>
      </w:pPr>
      <w:r>
        <w:t>Fee Restrictions and Transparency</w:t>
      </w:r>
    </w:p>
    <w:p>
      <w:pPr>
        <w:pStyle w:val="ListBullet"/>
      </w:pPr>
      <w:r>
        <w:t>Payment Timing: Cannot require payment before contract is entered</w:t>
      </w:r>
    </w:p>
    <w:p>
      <w:pPr>
        <w:pStyle w:val="ListBullet"/>
      </w:pPr>
      <w:r>
        <w:t>Fee Structure: Must not front-load fees in a way that undermines customer's ability to make significant repayments to lenders</w:t>
      </w:r>
    </w:p>
    <w:p>
      <w:pPr>
        <w:pStyle w:val="ListBullet"/>
      </w:pPr>
      <w:r>
        <w:t>Prohibited Practices: Cannot accept payment by credit card, impose unreasonable cancellation charges, or switch customers between debt solutions without justification</w:t>
      </w:r>
    </w:p>
    <w:p>
      <w:pPr>
        <w:pStyle w:val="ListBullet"/>
      </w:pPr>
      <w:r>
        <w:t>Refund Obligations: Must refund fees where advice was incorrect or service not provided with reasonable care</w:t>
      </w:r>
    </w:p>
    <w:p>
      <w:pPr>
        <w:pStyle w:val="Heading2"/>
      </w:pPr>
      <w:r>
        <w:t>Lead Generator Requirements</w:t>
      </w:r>
    </w:p>
    <w:p>
      <w:pPr>
        <w:pStyle w:val="ListBullet"/>
      </w:pPr>
      <w:r>
        <w:t>Due Diligence: Firms must verify lead generators comply with data protection laws and consumer protection regulations</w:t>
      </w:r>
    </w:p>
    <w:p>
      <w:pPr>
        <w:pStyle w:val="ListBullet"/>
      </w:pPr>
      <w:r>
        <w:t>Ongoing Monitoring: Must ensure lead generators don't provide unauthorized debt counselling or make misleading claims</w:t>
      </w:r>
    </w:p>
    <w:p>
      <w:pPr>
        <w:pStyle w:val="ListBullet"/>
      </w:pPr>
      <w:r>
        <w:t>Transparency: Lead generators must disclose their commercial relationships and obtain proper consent for communications</w:t>
      </w:r>
    </w:p>
    <w:p>
      <w:pPr>
        <w:pStyle w:val="Heading2"/>
      </w:pPr>
      <w:r>
        <w:t>Credit Information Services</w:t>
      </w:r>
    </w:p>
    <w:p>
      <w:pPr>
        <w:pStyle w:val="ListBullet"/>
      </w:pPr>
      <w:r>
        <w:t>Prohibited Claims: Cannot claim ability to remove accurate negative information from credit files or create new credit files</w:t>
      </w:r>
    </w:p>
    <w:p>
      <w:pPr>
        <w:pStyle w:val="ListBullet"/>
      </w:pPr>
      <w:r>
        <w:t>Transparency: Must clearly explain the extent and limitations of services offered</w:t>
      </w:r>
    </w:p>
    <w:p>
      <w:pPr>
        <w:pStyle w:val="Heading1"/>
      </w:pPr>
      <w:r>
        <w:t>Important Details and Conclusions</w:t>
      </w:r>
    </w:p>
    <w:p>
      <w:r>
        <w:t>The regulatory framework emphasizes consumer protection through multiple layers of requirements:</w:t>
      </w:r>
    </w:p>
    <w:p>
      <w:pPr>
        <w:pStyle w:val="ListBullet"/>
      </w:pPr>
      <w:r>
        <w:t>Information asymmetry reduction through mandatory disclosures and standardized financial statements</w:t>
      </w:r>
    </w:p>
    <w:p>
      <w:pPr>
        <w:pStyle w:val="ListBullet"/>
      </w:pPr>
      <w:r>
        <w:t>Conflict of interest elimination via the prohibition on referral fees for debt packagers</w:t>
      </w:r>
    </w:p>
    <w:p>
      <w:pPr>
        <w:pStyle w:val="ListBullet"/>
      </w:pPr>
      <w:r>
        <w:t>Vulnerable consumer safeguards through specific identification and support requirements</w:t>
      </w:r>
    </w:p>
    <w:p>
      <w:pPr>
        <w:pStyle w:val="ListBullet"/>
      </w:pPr>
      <w:r>
        <w:t>Quality assurance through ongoing monitoring and review obligations</w:t>
      </w:r>
    </w:p>
    <w:p>
      <w:pPr>
        <w:pStyle w:val="ListBullet"/>
      </w:pPr>
      <w:r>
        <w:t>Market integrity through restrictions on misleading practices and lead generator oversight</w:t>
      </w:r>
    </w:p>
    <w:p>
      <w:r>
        <w:t>The rules create a comprehensive framework ensuring debt advice firms operate in customers' best interests while maintaining transparency about services, fees, and potential consequences of debt solutions. The prohibition on debt packager remuneration from debt solution providers represents a significant structural reform aimed at improving advice quality by removing financial conflicts of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