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Summary of ch_12.pdf</w:t>
      </w:r>
    </w:p>
    <w:p>
      <w:pPr>
        <w:pStyle w:val="Title"/>
        <w:jc w:val="left"/>
      </w:pPr>
      <w:r>
        <w:t>Chapter 12 Summary: Requirements for Firms with Interim Permission for Credit-Related Regulated Activities</w:t>
      </w:r>
    </w:p>
    <w:p>
      <w:pPr>
        <w:pStyle w:val="Heading1"/>
      </w:pPr>
      <w:r>
        <w:t>Overview</w:t>
      </w:r>
    </w:p>
    <w:p>
      <w:r>
        <w:t>This chapter establishes rules for firms operating with interim permissions for credit-related regulated activities. It specifies which provisions of the FCA Handbook apply, which are disapplied, and which are modified for these firms during their interim permission period.</w:t>
      </w:r>
    </w:p>
    <w:p>
      <w:pPr>
        <w:pStyle w:val="Heading1"/>
      </w:pPr>
      <w:r>
        <w:t>Key Points and Main Findings</w:t>
      </w:r>
    </w:p>
    <w:p>
      <w:pPr>
        <w:pStyle w:val="Heading2"/>
      </w:pPr>
      <w:r>
        <w:t>Scope and Application</w:t>
      </w:r>
    </w:p>
    <w:p>
      <w:pPr>
        <w:pStyle w:val="ListBullet"/>
      </w:pPr>
      <w:r>
        <w:t>Applies to: All firms with interim permission status</w:t>
      </w:r>
    </w:p>
    <w:p>
      <w:pPr>
        <w:pStyle w:val="ListBullet"/>
      </w:pPr>
      <w:r>
        <w:t>Purpose: To clarify regulatory requirements during the interim permission period</w:t>
      </w:r>
    </w:p>
    <w:p>
      <w:pPr>
        <w:pStyle w:val="ListBullet"/>
      </w:pPr>
      <w:r>
        <w:t>Effective date: Rules relate to interim permissions granted on/after April 1, 2014</w:t>
      </w:r>
    </w:p>
    <w:p>
      <w:pPr>
        <w:pStyle w:val="Heading2"/>
      </w:pPr>
      <w:r>
        <w:t>Major Regulatory Modifications</w:t>
      </w:r>
    </w:p>
    <w:p>
      <w:pPr>
        <w:pStyle w:val="Heading3"/>
      </w:pPr>
      <w:r>
        <w:t>Disapplied Requirements:</w:t>
      </w:r>
    </w:p>
    <w:p>
      <w:pPr>
        <w:pStyle w:val="ListBullet"/>
      </w:pPr>
      <w:r>
        <w:t>Senior Management (SYSC):</w:t>
        <w:br/>
        <w:br/>
        <w:t>No requirement to appoint compliance officer (debt management/credit repair firms)</w:t>
        <w:br/>
        <w:t>Anti-money laundering systems and controls exemption</w:t>
        <w:br/>
        <w:t>Money laundering reporting officer appointment not required</w:t>
        <w:br/>
      </w:r>
    </w:p>
    <w:p>
      <w:pPr>
        <w:pStyle w:val="ListBullet"/>
      </w:pPr>
      <w:r>
        <w:t>No requirement to appoint compliance officer (debt management/credit repair firms)</w:t>
      </w:r>
    </w:p>
    <w:p>
      <w:pPr>
        <w:pStyle w:val="ListBullet"/>
      </w:pPr>
      <w:r>
        <w:t>Anti-money laundering systems and controls exemption</w:t>
      </w:r>
    </w:p>
    <w:p>
      <w:pPr>
        <w:pStyle w:val="ListBullet"/>
      </w:pPr>
      <w:r>
        <w:t>Money laundering reporting officer appointment not required</w:t>
      </w:r>
    </w:p>
    <w:p>
      <w:pPr>
        <w:pStyle w:val="ListBullet"/>
      </w:pPr>
      <w:r>
        <w:t>Supervision (SUP):</w:t>
        <w:br/>
        <w:br/>
        <w:t>Auditors, FCA Approved persons, and Appointed representatives rules don't apply</w:t>
        <w:br/>
        <w:t>Exception: SUP3.10 and SUP3.11 apply for electronic lending systems</w:t>
        <w:br/>
      </w:r>
    </w:p>
    <w:p>
      <w:pPr>
        <w:pStyle w:val="ListBullet"/>
      </w:pPr>
      <w:r>
        <w:t>Auditors, FCA Approved persons, and Appointed representatives rules don't apply</w:t>
      </w:r>
    </w:p>
    <w:p>
      <w:pPr>
        <w:pStyle w:val="ListBullet"/>
      </w:pPr>
      <w:r>
        <w:t>Exception: SUP3.10 and SUP3.11 apply for electronic lending systems</w:t>
      </w:r>
    </w:p>
    <w:p>
      <w:pPr>
        <w:pStyle w:val="ListBullet"/>
      </w:pPr>
      <w:r>
        <w:t>Client Assets (CASS):</w:t>
        <w:br/>
        <w:br/>
        <w:t>Does not apply if firms follow OFT366rev guidance (paragraphs 3.42-3.43)</w:t>
        <w:br/>
      </w:r>
    </w:p>
    <w:p>
      <w:pPr>
        <w:pStyle w:val="ListBullet"/>
      </w:pPr>
      <w:r>
        <w:t>Does not apply if firms follow OFT366rev guidance (paragraphs 3.42-3.43)</w:t>
      </w:r>
    </w:p>
    <w:p>
      <w:pPr>
        <w:pStyle w:val="ListBullet"/>
      </w:pPr>
      <w:r>
        <w:t>Reporting Requirements:</w:t>
        <w:br/>
        <w:br/>
        <w:t>SUP16 largely doesn't apply except for SUP16.14</w:t>
        <w:br/>
        <w:t>Complaints reporting rules (DISP1.10 and DISP1.10A) don't apply</w:t>
        <w:br/>
      </w:r>
    </w:p>
    <w:p>
      <w:pPr>
        <w:pStyle w:val="ListBullet"/>
      </w:pPr>
      <w:r>
        <w:t>SUP16 largely doesn't apply except for SUP16.14</w:t>
      </w:r>
    </w:p>
    <w:p>
      <w:pPr>
        <w:pStyle w:val="ListBullet"/>
      </w:pPr>
      <w:r>
        <w:t>Complaints reporting rules (DISP1.10 and DISP1.10A) don't apply</w:t>
      </w:r>
    </w:p>
    <w:p>
      <w:pPr>
        <w:pStyle w:val="ListBullet"/>
      </w:pPr>
      <w:r>
        <w:t>Prudential Requirements:</w:t>
        <w:br/>
        <w:br/>
        <w:t>CONC10 (Prudential requirements for debt management firms) doesn't apply</w:t>
        <w:br/>
      </w:r>
    </w:p>
    <w:p>
      <w:pPr>
        <w:pStyle w:val="ListBullet"/>
      </w:pPr>
      <w:r>
        <w:t>CONC10 (Prudential requirements for debt management firms) doesn't apply</w:t>
      </w:r>
    </w:p>
    <w:p>
      <w:r>
        <w:t>Senior Management (SYSC):</w:t>
      </w:r>
    </w:p>
    <w:p>
      <w:pPr>
        <w:pStyle w:val="ListBullet"/>
      </w:pPr>
      <w:r>
        <w:t>No requirement to appoint compliance officer (debt management/credit repair firms)</w:t>
      </w:r>
    </w:p>
    <w:p>
      <w:pPr>
        <w:pStyle w:val="ListBullet"/>
      </w:pPr>
      <w:r>
        <w:t>Anti-money laundering systems and controls exemption</w:t>
      </w:r>
    </w:p>
    <w:p>
      <w:pPr>
        <w:pStyle w:val="ListBullet"/>
      </w:pPr>
      <w:r>
        <w:t>Money laundering reporting officer appointment not required</w:t>
      </w:r>
    </w:p>
    <w:p>
      <w:r>
        <w:t>Supervision (SUP):</w:t>
      </w:r>
    </w:p>
    <w:p>
      <w:pPr>
        <w:pStyle w:val="ListBullet"/>
      </w:pPr>
      <w:r>
        <w:t>Auditors, FCA Approved persons, and Appointed representatives rules don't apply</w:t>
      </w:r>
    </w:p>
    <w:p>
      <w:pPr>
        <w:pStyle w:val="ListBullet"/>
      </w:pPr>
      <w:r>
        <w:t>Exception: SUP3.10 and SUP3.11 apply for electronic lending systems</w:t>
      </w:r>
    </w:p>
    <w:p>
      <w:r>
        <w:t>Client Assets (CASS):</w:t>
      </w:r>
    </w:p>
    <w:p>
      <w:pPr>
        <w:pStyle w:val="ListBullet"/>
      </w:pPr>
      <w:r>
        <w:t>Does not apply if firms follow OFT366rev guidance (paragraphs 3.42-3.43)</w:t>
      </w:r>
    </w:p>
    <w:p>
      <w:r>
        <w:t>Reporting Requirements:</w:t>
      </w:r>
    </w:p>
    <w:p>
      <w:pPr>
        <w:pStyle w:val="ListBullet"/>
      </w:pPr>
      <w:r>
        <w:t>SUP16 largely doesn't apply except for SUP16.14</w:t>
      </w:r>
    </w:p>
    <w:p>
      <w:pPr>
        <w:pStyle w:val="ListBullet"/>
      </w:pPr>
      <w:r>
        <w:t>Complaints reporting rules (DISP1.10 and DISP1.10A) don't apply</w:t>
      </w:r>
    </w:p>
    <w:p>
      <w:r>
        <w:t>Prudential Requirements:</w:t>
      </w:r>
    </w:p>
    <w:p>
      <w:pPr>
        <w:pStyle w:val="ListBullet"/>
      </w:pPr>
      <w:r>
        <w:t>CONC10 (Prudential requirements for debt management firms) doesn't apply</w:t>
      </w:r>
    </w:p>
    <w:p>
      <w:pPr>
        <w:pStyle w:val="Heading3"/>
      </w:pPr>
      <w:r>
        <w:t>Modified Requirements:</w:t>
      </w:r>
    </w:p>
    <w:p>
      <w:pPr>
        <w:pStyle w:val="ListBullet"/>
      </w:pPr>
      <w:r>
        <w:t>Fees: Limited application of Fees manual</w:t>
      </w:r>
    </w:p>
    <w:p>
      <w:pPr>
        <w:pStyle w:val="ListBullet"/>
      </w:pPr>
      <w:r>
        <w:t>Threshold Conditions: Apply with modifications reflecting the 2013 Order</w:t>
      </w:r>
    </w:p>
    <w:p>
      <w:pPr>
        <w:pStyle w:val="ListBullet"/>
      </w:pPr>
      <w:r>
        <w:t>Change Notifications: Must use online Consumer Credit Interim Permissions system</w:t>
      </w:r>
    </w:p>
    <w:p>
      <w:pPr>
        <w:pStyle w:val="ListBullet"/>
      </w:pPr>
      <w:r>
        <w:t>Perimeter Guidance: Modified to accommodate interim permission activities</w:t>
      </w:r>
    </w:p>
    <w:p>
      <w:pPr>
        <w:pStyle w:val="Heading1"/>
      </w:pPr>
      <w:r>
        <w:t>Important Details and Conclusions</w:t>
      </w:r>
    </w:p>
    <w:p>
      <w:pPr>
        <w:pStyle w:val="Heading2"/>
      </w:pPr>
      <w:r>
        <w:t>Legal Framework</w:t>
      </w:r>
    </w:p>
    <w:p>
      <w:pPr>
        <w:pStyle w:val="ListBullet"/>
      </w:pPr>
      <w:r>
        <w:t>Interim permissions derive from the Financial Services and Markets Act 2000 (Regulated Activities) (Amendment) (No 2) Order 2013</w:t>
      </w:r>
    </w:p>
    <w:p>
      <w:pPr>
        <w:pStyle w:val="ListBullet"/>
      </w:pPr>
      <w:r>
        <w:t>Firms with interim permission have limited status - not considered full authorized persons for certain purposes</w:t>
      </w:r>
    </w:p>
    <w:p>
      <w:pPr>
        <w:pStyle w:val="ListBullet"/>
      </w:pPr>
      <w:r>
        <w:t>The FCA/PRA retain powers to vary or cancel permissions if threshold conditions aren't met</w:t>
      </w:r>
    </w:p>
    <w:p>
      <w:pPr>
        <w:pStyle w:val="Heading2"/>
      </w:pPr>
      <w:r>
        <w:t>Practical Implications</w:t>
      </w:r>
    </w:p>
    <w:p>
      <w:pPr>
        <w:pStyle w:val="ListBullet"/>
      </w:pPr>
      <w:r>
        <w:t>Firms with only interim permissions face reduced regulatory burden during transition</w:t>
      </w:r>
    </w:p>
    <w:p>
      <w:pPr>
        <w:pStyle w:val="ListBullet"/>
      </w:pPr>
      <w:r>
        <w:t>Firms must use specific online systems for notifications and changes</w:t>
      </w:r>
    </w:p>
    <w:p>
      <w:pPr>
        <w:pStyle w:val="ListBullet"/>
      </w:pPr>
      <w:r>
        <w:t>Different rules apply depending on whether a firm has:</w:t>
        <w:br/>
        <w:br/>
        <w:t>Only an interim permission</w:t>
        <w:br/>
        <w:t>An interim permission treated as a variation of existing permission</w:t>
        <w:br/>
      </w:r>
    </w:p>
    <w:p>
      <w:pPr>
        <w:pStyle w:val="ListBullet"/>
      </w:pPr>
      <w:r>
        <w:t>Only an interim permission</w:t>
      </w:r>
    </w:p>
    <w:p>
      <w:pPr>
        <w:pStyle w:val="ListBullet"/>
      </w:pPr>
      <w:r>
        <w:t>An interim permission treated as a variation of existing permission</w:t>
      </w:r>
    </w:p>
    <w:p>
      <w:pPr>
        <w:pStyle w:val="ListBullet"/>
      </w:pPr>
      <w:r>
        <w:t>Only an interim permission</w:t>
      </w:r>
    </w:p>
    <w:p>
      <w:pPr>
        <w:pStyle w:val="ListBullet"/>
      </w:pPr>
      <w:r>
        <w:t>An interim permission treated as a variation of existing permission</w:t>
      </w:r>
    </w:p>
    <w:p>
      <w:pPr>
        <w:pStyle w:val="Heading2"/>
      </w:pPr>
      <w:r>
        <w:t>Transition Considerations</w:t>
      </w:r>
    </w:p>
    <w:p>
      <w:pPr>
        <w:pStyle w:val="ListBullet"/>
      </w:pPr>
      <w:r>
        <w:t>Applications for full Part 4A permission may incorporate activities under interim permission</w:t>
      </w:r>
    </w:p>
    <w:p>
      <w:pPr>
        <w:pStyle w:val="ListBullet"/>
      </w:pPr>
      <w:r>
        <w:t>Firms cannot act as principals for activities under interim permission but may be appointed representatives for other activities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