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F55" w:rsidRDefault="00FC1F55">
      <w:r>
        <w:t>Overview of VC707 Evaluation Board</w:t>
      </w:r>
    </w:p>
    <w:p w:rsidR="00FC1F55" w:rsidRDefault="00FC1F55">
      <w:r>
        <w:t xml:space="preserve">During the </w:t>
      </w:r>
      <w:r w:rsidR="00DB6CBB">
        <w:t>internship,</w:t>
      </w:r>
      <w:r>
        <w:t xml:space="preserve"> I have been using VC707 evaluation board which provides a hardware environment or developing and evaluating designs targeting Virtex-7 XC7Vx485T-2FFG1761C FPGA.</w:t>
      </w:r>
    </w:p>
    <w:p w:rsidR="00DB6CBB" w:rsidRDefault="00DB6CBB">
      <w:r>
        <w:t>Some features of VC707 evaluation board are listed below.</w:t>
      </w:r>
    </w:p>
    <w:p w:rsidR="007C70C9" w:rsidRDefault="007C70C9" w:rsidP="007C70C9">
      <w:pPr>
        <w:pStyle w:val="ListParagraph"/>
        <w:numPr>
          <w:ilvl w:val="0"/>
          <w:numId w:val="2"/>
        </w:numPr>
      </w:pPr>
      <w:r>
        <w:t>Clock Generation:</w:t>
      </w:r>
    </w:p>
    <w:p w:rsidR="007C70C9" w:rsidRDefault="007C70C9" w:rsidP="007C70C9">
      <w:pPr>
        <w:pStyle w:val="ListParagraph"/>
        <w:numPr>
          <w:ilvl w:val="1"/>
          <w:numId w:val="2"/>
        </w:numPr>
      </w:pPr>
      <w:r>
        <w:t>Fixed 200 MHz LVDS oscillator (</w:t>
      </w:r>
      <w:r>
        <w:t>Differential</w:t>
      </w:r>
      <w:r>
        <w:t>)</w:t>
      </w:r>
    </w:p>
    <w:p w:rsidR="007C70C9" w:rsidRDefault="007C70C9" w:rsidP="007C70C9">
      <w:pPr>
        <w:pStyle w:val="ListParagraph"/>
        <w:numPr>
          <w:ilvl w:val="1"/>
          <w:numId w:val="2"/>
        </w:numPr>
      </w:pPr>
      <w:r>
        <w:t>I2C Programmable LVDS oscillator (</w:t>
      </w:r>
      <w:r>
        <w:t>Differential</w:t>
      </w:r>
      <w:r>
        <w:t>)</w:t>
      </w:r>
    </w:p>
    <w:p w:rsidR="007C70C9" w:rsidRDefault="007C70C9" w:rsidP="007C70C9">
      <w:pPr>
        <w:pStyle w:val="ListParagraph"/>
        <w:numPr>
          <w:ilvl w:val="1"/>
          <w:numId w:val="2"/>
        </w:numPr>
      </w:pPr>
      <w:r>
        <w:t>SMA connector (Differential)</w:t>
      </w:r>
    </w:p>
    <w:p w:rsidR="007C70C9" w:rsidRDefault="007C70C9" w:rsidP="007C70C9">
      <w:pPr>
        <w:pStyle w:val="ListParagraph"/>
        <w:numPr>
          <w:ilvl w:val="1"/>
          <w:numId w:val="2"/>
        </w:numPr>
      </w:pPr>
      <w:r>
        <w:t xml:space="preserve">SMA connector for GTX transceiver </w:t>
      </w:r>
      <w:r>
        <w:t>(Differential)</w:t>
      </w:r>
    </w:p>
    <w:p w:rsidR="007C70C9" w:rsidRDefault="007C70C9" w:rsidP="007C70C9">
      <w:pPr>
        <w:pStyle w:val="ListParagraph"/>
        <w:numPr>
          <w:ilvl w:val="1"/>
          <w:numId w:val="2"/>
        </w:numPr>
      </w:pPr>
      <w:r>
        <w:t>Also 25 MHz clock is available for Ethernet PHY</w:t>
      </w:r>
    </w:p>
    <w:p w:rsidR="008E7C0D" w:rsidRDefault="008E7C0D" w:rsidP="008E7C0D">
      <w:pPr>
        <w:pStyle w:val="ListParagraph"/>
        <w:numPr>
          <w:ilvl w:val="0"/>
          <w:numId w:val="2"/>
        </w:numPr>
      </w:pPr>
      <w:r>
        <w:t>User I/O</w:t>
      </w:r>
    </w:p>
    <w:p w:rsidR="008E7C0D" w:rsidRDefault="008E7C0D" w:rsidP="00000BFF">
      <w:pPr>
        <w:pStyle w:val="ListParagraph"/>
        <w:numPr>
          <w:ilvl w:val="1"/>
          <w:numId w:val="2"/>
        </w:numPr>
      </w:pPr>
      <w:r>
        <w:t>8 User LEDs</w:t>
      </w:r>
    </w:p>
    <w:p w:rsidR="008E7C0D" w:rsidRDefault="008E7C0D" w:rsidP="00000BFF">
      <w:pPr>
        <w:pStyle w:val="ListParagraph"/>
        <w:numPr>
          <w:ilvl w:val="1"/>
          <w:numId w:val="2"/>
        </w:numPr>
      </w:pPr>
      <w:r>
        <w:t>5 User Push Buttons</w:t>
      </w:r>
    </w:p>
    <w:p w:rsidR="008E7C0D" w:rsidRDefault="008E7C0D" w:rsidP="00000BFF">
      <w:pPr>
        <w:pStyle w:val="ListParagraph"/>
        <w:numPr>
          <w:ilvl w:val="1"/>
          <w:numId w:val="2"/>
        </w:numPr>
      </w:pPr>
      <w:r>
        <w:t>8-pole DIP Switches</w:t>
      </w:r>
    </w:p>
    <w:p w:rsidR="008E7C0D" w:rsidRDefault="008E7C0D" w:rsidP="00000BFF">
      <w:pPr>
        <w:pStyle w:val="ListParagraph"/>
        <w:numPr>
          <w:ilvl w:val="1"/>
          <w:numId w:val="2"/>
        </w:numPr>
      </w:pPr>
      <w:r>
        <w:t>One pair of User SMA GPIO Connectors</w:t>
      </w:r>
    </w:p>
    <w:p w:rsidR="008E7C0D" w:rsidRDefault="008E7C0D" w:rsidP="00000BFF">
      <w:pPr>
        <w:pStyle w:val="ListParagraph"/>
        <w:numPr>
          <w:ilvl w:val="1"/>
          <w:numId w:val="2"/>
        </w:numPr>
      </w:pPr>
      <w:r>
        <w:t>16x2 Character LCD</w:t>
      </w:r>
    </w:p>
    <w:p w:rsidR="008E7C0D" w:rsidRDefault="008E7C0D" w:rsidP="008E7C0D">
      <w:pPr>
        <w:pStyle w:val="ListParagraph"/>
        <w:numPr>
          <w:ilvl w:val="0"/>
          <w:numId w:val="2"/>
        </w:numPr>
      </w:pPr>
      <w:proofErr w:type="spellStart"/>
      <w:r>
        <w:t>PMBus</w:t>
      </w:r>
      <w:proofErr w:type="spellEnd"/>
      <w:r>
        <w:t xml:space="preserve"> voltage and current monitoring through TI power controller</w:t>
      </w:r>
    </w:p>
    <w:p w:rsidR="008E7C0D" w:rsidRDefault="008E7C0D" w:rsidP="008E7C0D">
      <w:pPr>
        <w:pStyle w:val="ListParagraph"/>
        <w:numPr>
          <w:ilvl w:val="0"/>
          <w:numId w:val="2"/>
        </w:numPr>
      </w:pPr>
      <w:r>
        <w:t>HDMI CODEC</w:t>
      </w:r>
    </w:p>
    <w:p w:rsidR="008E7C0D" w:rsidRDefault="008E7C0D" w:rsidP="008E7C0D">
      <w:pPr>
        <w:pStyle w:val="ListParagraph"/>
        <w:numPr>
          <w:ilvl w:val="0"/>
          <w:numId w:val="2"/>
        </w:numPr>
      </w:pPr>
      <w:r>
        <w:t>10/100/1000 tri-speed Ethernet PHY</w:t>
      </w:r>
    </w:p>
    <w:p w:rsidR="008E7C0D" w:rsidRDefault="008E7C0D" w:rsidP="008E7C0D">
      <w:pPr>
        <w:pStyle w:val="ListParagraph"/>
        <w:numPr>
          <w:ilvl w:val="0"/>
          <w:numId w:val="2"/>
        </w:numPr>
      </w:pPr>
      <w:r>
        <w:t>SFP+ Connector</w:t>
      </w:r>
    </w:p>
    <w:p w:rsidR="008E7C0D" w:rsidRDefault="008E7C0D" w:rsidP="008E7C0D">
      <w:pPr>
        <w:pStyle w:val="ListParagraph"/>
        <w:numPr>
          <w:ilvl w:val="0"/>
          <w:numId w:val="2"/>
        </w:numPr>
      </w:pPr>
      <w:r>
        <w:t xml:space="preserve">PCI Express endpoint connectivity </w:t>
      </w:r>
    </w:p>
    <w:p w:rsidR="008E7C0D" w:rsidRDefault="00EE02DC" w:rsidP="008E7C0D">
      <w:pPr>
        <w:pStyle w:val="ListParagraph"/>
        <w:numPr>
          <w:ilvl w:val="0"/>
          <w:numId w:val="2"/>
        </w:numPr>
      </w:pPr>
      <w:r>
        <w:t>VITA 57.1 FMC1/2 HPC Connector</w:t>
      </w:r>
    </w:p>
    <w:p w:rsidR="001B328D" w:rsidRDefault="001B328D" w:rsidP="008E7C0D">
      <w:pPr>
        <w:pStyle w:val="ListParagraph"/>
        <w:numPr>
          <w:ilvl w:val="0"/>
          <w:numId w:val="2"/>
        </w:numPr>
      </w:pPr>
      <w:r>
        <w:t>1 GB DDR3 memory SODIMM</w:t>
      </w:r>
    </w:p>
    <w:p w:rsidR="001B328D" w:rsidRDefault="001B328D" w:rsidP="002867EC">
      <w:pPr>
        <w:pStyle w:val="ListParagraph"/>
        <w:numPr>
          <w:ilvl w:val="0"/>
          <w:numId w:val="2"/>
        </w:numPr>
      </w:pPr>
      <w:r>
        <w:t>128 MB BPI Flash memory</w:t>
      </w:r>
    </w:p>
    <w:p w:rsidR="008E7C0D" w:rsidRDefault="0062180B" w:rsidP="008E7C0D">
      <w:pPr>
        <w:ind w:left="1080"/>
      </w:pPr>
      <w:r>
        <w:t>Block Diagram of the Board is shown below.</w:t>
      </w:r>
    </w:p>
    <w:p w:rsidR="00B94D2B" w:rsidRDefault="0062180B" w:rsidP="00B94D2B">
      <w:pPr>
        <w:pStyle w:val="ListParagraph"/>
      </w:pPr>
      <w:r>
        <w:rPr>
          <w:noProof/>
        </w:rPr>
        <w:drawing>
          <wp:inline distT="0" distB="0" distL="0" distR="0" wp14:anchorId="6A962CB3" wp14:editId="1E3DCBA3">
            <wp:extent cx="4465675" cy="3544188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54BBD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438" cy="35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2B" w:rsidRDefault="00B94D2B" w:rsidP="00B94D2B">
      <w:r>
        <w:lastRenderedPageBreak/>
        <w:t>FPGA Configuration:</w:t>
      </w:r>
    </w:p>
    <w:p w:rsidR="00B94D2B" w:rsidRDefault="00CA6105" w:rsidP="00B94D2B">
      <w:pPr>
        <w:jc w:val="both"/>
      </w:pPr>
      <w:r>
        <w:t>Before using the FPGA board, configuration switches must be set. There are two configuration modes of the VC707 which are Ma</w:t>
      </w:r>
      <w:r w:rsidR="00993C66">
        <w:t>s</w:t>
      </w:r>
      <w:r>
        <w:t>ter BPI and JTAG</w:t>
      </w:r>
      <w:r w:rsidR="00993C66">
        <w:t>. Configuration switches and modes are shown below.</w:t>
      </w:r>
    </w:p>
    <w:p w:rsidR="00993C66" w:rsidRDefault="00993C66" w:rsidP="00993C66">
      <w:pPr>
        <w:jc w:val="center"/>
      </w:pPr>
      <w:r>
        <w:rPr>
          <w:noProof/>
        </w:rPr>
        <w:drawing>
          <wp:inline distT="0" distB="0" distL="0" distR="0">
            <wp:extent cx="2796363" cy="1476292"/>
            <wp:effectExtent l="0" t="0" r="4445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548A7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841" cy="150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66" w:rsidRDefault="00993C66" w:rsidP="00B94D2B">
      <w:pPr>
        <w:jc w:val="both"/>
      </w:pPr>
      <w:r>
        <w:rPr>
          <w:noProof/>
        </w:rPr>
        <w:drawing>
          <wp:inline distT="0" distB="0" distL="0" distR="0">
            <wp:extent cx="5715798" cy="1181265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54E26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2B" w:rsidRDefault="00B94D2B" w:rsidP="00B94D2B">
      <w:pPr>
        <w:pStyle w:val="ListParagraph"/>
      </w:pPr>
      <w:r>
        <w:tab/>
      </w:r>
      <w:bookmarkStart w:id="0" w:name="_GoBack"/>
      <w:bookmarkEnd w:id="0"/>
    </w:p>
    <w:sectPr w:rsidR="00B94D2B" w:rsidSect="007F3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612"/>
    <w:multiLevelType w:val="hybridMultilevel"/>
    <w:tmpl w:val="7B30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04EEE"/>
    <w:multiLevelType w:val="hybridMultilevel"/>
    <w:tmpl w:val="A80A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1F"/>
    <w:rsid w:val="00000BFF"/>
    <w:rsid w:val="001B328D"/>
    <w:rsid w:val="002867EC"/>
    <w:rsid w:val="005A7685"/>
    <w:rsid w:val="0062180B"/>
    <w:rsid w:val="007C70C9"/>
    <w:rsid w:val="007F3A84"/>
    <w:rsid w:val="008E7C0D"/>
    <w:rsid w:val="00993C66"/>
    <w:rsid w:val="009D7E1F"/>
    <w:rsid w:val="00B94D2B"/>
    <w:rsid w:val="00BA1893"/>
    <w:rsid w:val="00CA6105"/>
    <w:rsid w:val="00DB6CBB"/>
    <w:rsid w:val="00EE02DC"/>
    <w:rsid w:val="00FA4324"/>
    <w:rsid w:val="00FC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10729"/>
  <w15:chartTrackingRefBased/>
  <w15:docId w15:val="{C11EC681-CE02-4A7F-B6FA-A06793A8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Fatih_kaya</dc:creator>
  <cp:keywords/>
  <dc:description/>
  <cp:lastModifiedBy>Fatih_kaya</cp:lastModifiedBy>
  <cp:revision>8</cp:revision>
  <dcterms:created xsi:type="dcterms:W3CDTF">2017-09-16T14:24:00Z</dcterms:created>
  <dcterms:modified xsi:type="dcterms:W3CDTF">2017-09-16T15:59:00Z</dcterms:modified>
</cp:coreProperties>
</file>