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Forja NL: programa de créditos de IA para emprendedores</w:t>
      </w:r>
    </w:p>
    <w:p>
      <w:r>
        <w:t>Responsable: Jesús Ferniz · Investigación unificada: 14 de octubre de 2026.</w:t>
      </w:r>
    </w:p>
    <w:p>
      <w:pPr>
        <w:pStyle w:val="Heading1"/>
      </w:pPr>
      <w:r>
        <w:t>1. Propuesta y oportunidad local</w:t>
      </w:r>
    </w:p>
    <w:p>
      <w:r>
        <w:t>Nuevo León puede combinar formación, mentoría y consumo financiado de IA para crear negocios o mejorar empresas existentes. La ruta recomendada tiene dos vías: créditos de proveedores asignados directamente a empresas elegibles y apoyo estatal para personas que todavía no cumplen sus requisitos. Ningún laboratorio ha comprometido financiamiento para esta iniciativa.</w:t>
      </w:r>
    </w:p>
    <w:p>
      <w:r>
        <w:t>La primera puerta es la Secretaría de Economía: ya colaboró con OpenAI Academy en talleres en U-ERRE y el Tec, reportados el 29 de enero de 2026. Ese antecedente acredita capacitación, sin acreditar una donación de créditos. “Hola IA”, con Csoftmty, IBM SkillsBuild y Latimpacto, aporta otra base formativa; su meta anunciada de 10,000 personas no equivale a personas capacitadas. [1–2]</w:t>
      </w:r>
    </w:p>
    <w:p>
      <w:r>
        <w:t>El apoyo se expresará en saldo para servicios de IA, con tope y vencimiento; la cantidad de tokens dependerá del modelo y del uso. Una suscripción de chat y créditos de API son productos distintos.</w:t>
      </w:r>
    </w:p>
    <w:p>
      <w:r>
        <w:rPr>
          <w:b/>
        </w:rPr>
        <w:t>Duda pendiente P1:</w:t>
      </w:r>
      <w:r>
        <w:t xml:space="preserve"> ¿atenderemos primero a jóvenes con ideas, startups constituidas o negocios existentes? Definir requisitos y cupos por categoría antes de presupuestar.</w:t>
      </w:r>
    </w:p>
    <w:p>
      <w:pPr>
        <w:pStyle w:val="Heading1"/>
      </w:pPr>
      <w:r>
        <w:t>2. Laboratorios: qué ofrecen y cómo acercarnos</w:t>
      </w:r>
    </w:p>
    <w:p>
      <w:r>
        <w:t>Los montos siguientes son máximos publicados en las fuentes recuperadas, sujetos a aprobación. Son créditos de servicios, no efectivo ni recursos ya obtenidos para Nuevo León.</w:t>
      </w:r>
    </w:p>
    <w:tbl>
      <w:tblPr>
        <w:tblStyle w:val="LightShading-Accent1"/>
        <w:tblW w:type="auto" w:w="0"/>
        <w:tblLayout w:type="fixed"/>
        <w:tblLook w:firstColumn="1" w:firstRow="1" w:lastColumn="0" w:lastRow="0" w:noHBand="0" w:noVBand="1" w:val="04A0"/>
      </w:tblPr>
      <w:tblGrid>
        <w:gridCol w:w="3326"/>
        <w:gridCol w:w="3326"/>
        <w:gridCol w:w="3326"/>
      </w:tblGrid>
      <w:tr>
        <w:trPr>
          <w:cantSplit/>
          <w:tblHeader/>
        </w:trPr>
        <w:tc>
          <w:tcPr>
            <w:tcW w:type="dxa" w:w="1247"/>
          </w:tcPr>
          <w:p>
            <w:pPr>
              <w:spacing w:after="60"/>
            </w:pPr>
            <w:r>
              <w:rPr>
                <w:b/>
                <w:sz w:val="18"/>
              </w:rPr>
              <w:t>Proveedor</w:t>
            </w:r>
          </w:p>
        </w:tc>
        <w:tc>
          <w:tcPr>
            <w:tcW w:type="dxa" w:w="4592"/>
          </w:tcPr>
          <w:p>
            <w:pPr>
              <w:spacing w:after="60"/>
            </w:pPr>
            <w:r>
              <w:rPr>
                <w:b/>
                <w:sz w:val="18"/>
              </w:rPr>
              <w:t>Apoyo y condición decisiva</w:t>
            </w:r>
          </w:p>
        </w:tc>
        <w:tc>
          <w:tcPr>
            <w:tcW w:type="dxa" w:w="4139"/>
          </w:tcPr>
          <w:p>
            <w:pPr>
              <w:spacing w:after="60"/>
            </w:pPr>
            <w:r>
              <w:rPr>
                <w:b/>
                <w:sz w:val="18"/>
              </w:rPr>
              <w:t>Vía de conexión</w:t>
            </w:r>
          </w:p>
        </w:tc>
      </w:tr>
      <w:tr>
        <w:trPr>
          <w:cantSplit/>
        </w:trPr>
        <w:tc>
          <w:tcPr>
            <w:tcW w:type="dxa" w:w="1247"/>
          </w:tcPr>
          <w:p>
            <w:pPr>
              <w:spacing w:after="60"/>
            </w:pPr>
            <w:r>
              <w:rPr>
                <w:sz w:val="18"/>
              </w:rPr>
              <w:t>OpenAI</w:t>
            </w:r>
          </w:p>
        </w:tc>
        <w:tc>
          <w:tcPr>
            <w:tcW w:type="dxa" w:w="4592"/>
          </w:tcPr>
          <w:p>
            <w:pPr>
              <w:spacing w:after="60"/>
            </w:pPr>
            <w:r>
              <w:rPr>
                <w:sz w:val="18"/>
              </w:rPr>
              <w:t>Créditos API mediante fondos de capital de riesgo socios; sin monto universal publicado. La formación local no garantiza elegibilidad. [3]</w:t>
            </w:r>
          </w:p>
        </w:tc>
        <w:tc>
          <w:tcPr>
            <w:tcW w:type="dxa" w:w="4139"/>
          </w:tcPr>
          <w:p>
            <w:pPr>
              <w:spacing w:after="60"/>
            </w:pPr>
            <w:r>
              <w:rPr>
                <w:sz w:val="18"/>
              </w:rPr>
              <w:t>Reactivar el contacto de OpenAI Academy mediante Economía; pedir enlace técnico, formación y evaluación de créditos. Las startups con inversión pueden consultar a su fondo.</w:t>
            </w:r>
          </w:p>
        </w:tc>
      </w:tr>
      <w:tr>
        <w:trPr>
          <w:cantSplit/>
        </w:trPr>
        <w:tc>
          <w:tcPr>
            <w:tcW w:type="dxa" w:w="1247"/>
          </w:tcPr>
          <w:p>
            <w:pPr>
              <w:spacing w:after="60"/>
            </w:pPr>
            <w:r>
              <w:rPr>
                <w:sz w:val="18"/>
              </w:rPr>
              <w:t>Google Cloud</w:t>
            </w:r>
          </w:p>
        </w:tc>
        <w:tc>
          <w:tcPr>
            <w:tcW w:type="dxa" w:w="4592"/>
          </w:tcPr>
          <w:p>
            <w:pPr>
              <w:spacing w:after="60"/>
            </w:pPr>
            <w:r>
              <w:rPr>
                <w:sz w:val="18"/>
              </w:rPr>
              <w:t>Start: hasta USD 2,000 por un año para startups elegibles. IA: hasta USD 350,000 en dos años con inversión elegible y uso previsto de Gemini; primer año hasta USD 250,000, segundo año cubre 20% del consumo hasta USD 100,000. Excluye gobiernos y modelos de terceros. [4]</w:t>
            </w:r>
          </w:p>
        </w:tc>
        <w:tc>
          <w:tcPr>
            <w:tcW w:type="dxa" w:w="4139"/>
          </w:tcPr>
          <w:p>
            <w:pPr>
              <w:spacing w:after="60"/>
            </w:pPr>
            <w:r>
              <w:rPr>
                <w:sz w:val="18"/>
              </w:rPr>
              <w:t>Solicitud individual de la empresa y reunión con Startups/sector público para formación y acompañamiento. El subsidio estatal no sustituye el requisito de inversión.</w:t>
            </w:r>
          </w:p>
        </w:tc>
      </w:tr>
      <w:tr>
        <w:trPr>
          <w:cantSplit/>
        </w:trPr>
        <w:tc>
          <w:tcPr>
            <w:tcW w:type="dxa" w:w="1247"/>
          </w:tcPr>
          <w:p>
            <w:pPr>
              <w:spacing w:after="60"/>
            </w:pPr>
            <w:r>
              <w:rPr>
                <w:sz w:val="18"/>
              </w:rPr>
              <w:t>AWS</w:t>
            </w:r>
          </w:p>
        </w:tc>
        <w:tc>
          <w:tcPr>
            <w:tcW w:type="dxa" w:w="4592"/>
          </w:tcPr>
          <w:p>
            <w:pPr>
              <w:spacing w:after="60"/>
            </w:pPr>
            <w:r>
              <w:rPr>
                <w:sz w:val="18"/>
              </w:rPr>
              <w:t>Founders comienza con USD 1,000; seleccionados pueden alcanzar USD 5,000. Portfolio: hasta USD 200,000 con código de un Activate Provider, como una aceleradora o fondo. [5]</w:t>
            </w:r>
          </w:p>
        </w:tc>
        <w:tc>
          <w:tcPr>
            <w:tcW w:type="dxa" w:w="4139"/>
          </w:tcPr>
          <w:p>
            <w:pPr>
              <w:spacing w:after="60"/>
            </w:pPr>
            <w:r>
              <w:rPr>
                <w:sz w:val="18"/>
              </w:rPr>
              <w:t>Identificar un Provider reconocido; confirmar por escrito el efecto del financiamiento público en la elegibilidad. Activate excluye entidades gubernamentales y organizaciones sustancialmente financiadas por gobierno.</w:t>
            </w:r>
          </w:p>
        </w:tc>
      </w:tr>
      <w:tr>
        <w:trPr>
          <w:cantSplit/>
        </w:trPr>
        <w:tc>
          <w:tcPr>
            <w:tcW w:type="dxa" w:w="1247"/>
          </w:tcPr>
          <w:p>
            <w:pPr>
              <w:spacing w:after="60"/>
            </w:pPr>
            <w:r>
              <w:rPr>
                <w:sz w:val="18"/>
              </w:rPr>
              <w:t>Microsoft</w:t>
            </w:r>
          </w:p>
        </w:tc>
        <w:tc>
          <w:tcPr>
            <w:tcW w:type="dxa" w:w="4592"/>
          </w:tcPr>
          <w:p>
            <w:pPr>
              <w:spacing w:after="60"/>
            </w:pPr>
            <w:r>
              <w:rPr>
                <w:sz w:val="18"/>
              </w:rPr>
              <w:t>Hasta USD 150,000 liberados según progreso y uso; hasta USD 200,000 para empresas elegibles de Investor Network. Exige producto propio y empresa privada con fines de lucro. [6]</w:t>
            </w:r>
          </w:p>
        </w:tc>
        <w:tc>
          <w:tcPr>
            <w:tcW w:type="dxa" w:w="4139"/>
          </w:tcPr>
          <w:p>
            <w:pPr>
              <w:spacing w:after="60"/>
            </w:pPr>
            <w:r>
              <w:rPr>
                <w:sz w:val="18"/>
              </w:rPr>
              <w:t>Postular a Microsoft for Startups y confirmar modelos, servicios, cuotas y cobertura territorial.</w:t>
            </w:r>
          </w:p>
        </w:tc>
      </w:tr>
      <w:tr>
        <w:trPr>
          <w:cantSplit/>
        </w:trPr>
        <w:tc>
          <w:tcPr>
            <w:tcW w:type="dxa" w:w="1247"/>
          </w:tcPr>
          <w:p>
            <w:pPr>
              <w:spacing w:after="60"/>
            </w:pPr>
            <w:r>
              <w:rPr>
                <w:sz w:val="18"/>
              </w:rPr>
              <w:t>Anthropic</w:t>
            </w:r>
          </w:p>
        </w:tc>
        <w:tc>
          <w:tcPr>
            <w:tcW w:type="dxa" w:w="4592"/>
          </w:tcPr>
          <w:p>
            <w:pPr>
              <w:spacing w:after="60"/>
            </w:pPr>
            <w:r>
              <w:rPr>
                <w:sz w:val="18"/>
              </w:rPr>
              <w:t>La cohorte general figuraba llena al corte. La FAQ conserva una vía de hasta USD 100,000 adicionales mediante fondos socios; solo API propia, sin uso en AWS, Google o Azure. [7]</w:t>
            </w:r>
          </w:p>
        </w:tc>
        <w:tc>
          <w:tcPr>
            <w:tcW w:type="dxa" w:w="4139"/>
          </w:tcPr>
          <w:p>
            <w:pPr>
              <w:spacing w:after="60"/>
            </w:pPr>
            <w:r>
              <w:rPr>
                <w:sz w:val="18"/>
              </w:rPr>
              <w:t>Consultar al fondo socio o esperar reapertura. Explorar alianza institucional por separado; no contar estos créditos en el presupuesto inicial.</w:t>
            </w:r>
          </w:p>
        </w:tc>
      </w:tr>
      <w:tr>
        <w:trPr>
          <w:cantSplit/>
        </w:trPr>
        <w:tc>
          <w:tcPr>
            <w:tcW w:type="dxa" w:w="1247"/>
          </w:tcPr>
          <w:p>
            <w:pPr>
              <w:spacing w:after="60"/>
            </w:pPr>
            <w:r>
              <w:rPr>
                <w:sz w:val="18"/>
              </w:rPr>
              <w:t>Grok / xAI</w:t>
            </w:r>
          </w:p>
        </w:tc>
        <w:tc>
          <w:tcPr>
            <w:tcW w:type="dxa" w:w="4592"/>
          </w:tcPr>
          <w:p>
            <w:pPr>
              <w:spacing w:after="60"/>
            </w:pPr>
            <w:r>
              <w:rPr>
                <w:sz w:val="18"/>
              </w:rPr>
              <w:t>Los términos de Grok for Startups contemplan créditos evaluados caso por caso, sin monto garantizado; vencimiento predeterminado de seis meses y prohibición de transferencia. [8]</w:t>
            </w:r>
          </w:p>
        </w:tc>
        <w:tc>
          <w:tcPr>
            <w:tcW w:type="dxa" w:w="4139"/>
          </w:tcPr>
          <w:p>
            <w:pPr>
              <w:spacing w:after="60"/>
            </w:pPr>
            <w:r>
              <w:rPr>
                <w:sz w:val="18"/>
              </w:rPr>
              <w:t>Consultar a startups@x.ai sobre solicitudes desde México y una cohorte institucional. La página de postulación devolvió 404 en la investigación original; disponibilidad pendiente de confirmar.</w:t>
            </w:r>
          </w:p>
        </w:tc>
      </w:tr>
    </w:tbl>
    <w:p/>
    <w:p>
      <w:r>
        <w:rPr>
          <w:b/>
        </w:rPr>
        <w:t>Duda pendiente P2:</w:t>
      </w:r>
      <w:r>
        <w:t xml:space="preserve"> ¿qué proveedor acepta cada perfil mexicano y permite combinar su promoción con apoyo estatal? Obtener respuesta escrita sobre monto, servicios, vencimiento y elegibilidad; priorizar OpenAI por el antecedente local y explorar Google/AWS en paralelo.</w:t>
      </w:r>
    </w:p>
    <w:p>
      <w:pPr>
        <w:pStyle w:val="Heading1"/>
      </w:pPr>
      <w:r>
        <w:t>3. Antecedentes y beneficio que debemos demostrar</w:t>
      </w:r>
    </w:p>
    <w:p>
      <w:r>
        <w:t>No se identificó en las fuentes revisadas un programa estatal vigente con el alcance completo de Forja NL. Esto no demuestra que sea el primero de México o del mundo.</w:t>
      </w:r>
    </w:p>
    <w:p>
      <w:pPr>
        <w:pStyle w:val="ListBullet"/>
      </w:pPr>
      <w:r>
        <w:rPr>
          <w:b/>
        </w:rPr>
        <w:t>IndiaAI Compute:</w:t>
      </w:r>
      <w:r>
        <w:t xml:space="preserve"> acceso público a cómputo y servicios de IA con evaluación de proyectos y subsidios. Adoptar catálogo, selección técnica y gasto trazable. [9]</w:t>
      </w:r>
    </w:p>
    <w:p>
      <w:pPr>
        <w:pStyle w:val="ListBullet"/>
      </w:pPr>
      <w:r>
        <w:rPr>
          <w:b/>
        </w:rPr>
        <w:t>Singapur, Enterprise Compute Initiative:</w:t>
      </w:r>
      <w:r>
        <w:t xml:space="preserve"> combina créditos de proveedores, formación y consultoría apoyada por el gobierno. Adoptar la separación entre consumo tecnológico y acompañamiento. [10]</w:t>
      </w:r>
    </w:p>
    <w:p>
      <w:pPr>
        <w:pStyle w:val="ListBullet"/>
      </w:pPr>
      <w:r>
        <w:rPr>
          <w:b/>
        </w:rPr>
        <w:t>I2T2, Nuevo León:</w:t>
      </w:r>
      <w:r>
        <w:t xml:space="preserve"> los programas de incubación y FONLIN aportan una vía de vinculación local. Las convocatorias revisadas cerraron el 6 de mayo y el 12 de junio de 2026; no deben anunciarse abiertas. [11]</w:t>
      </w:r>
    </w:p>
    <w:p>
      <w:r>
        <w:t>El beneficio esperado es que más participantes construyan prototipos útiles y que los negocios mejoren tareas concretas. Mediremos proyectos probados con usuarios, costo público por prototipo validado, cambios en tiempo/calidad de una tarea y continuidad después del apoyo. Empleos, ventas e inversión deberán medirse; no se prometen como efectos demostrados.</w:t>
      </w:r>
    </w:p>
    <w:p>
      <w:r>
        <w:rPr>
          <w:b/>
        </w:rPr>
        <w:t>Duda pendiente P3:</w:t>
      </w:r>
      <w:r>
        <w:t xml:space="preserve"> ¿qué resultado mínimo justificará continuar? Fijar línea base y criterios de éxito antes de seleccionar participantes.</w:t>
      </w:r>
    </w:p>
    <w:p>
      <w:pPr>
        <w:pStyle w:val="Heading1"/>
      </w:pPr>
      <w:r>
        <w:t>4. Ruta de conexión y piloto</w:t>
      </w:r>
    </w:p>
    <w:tbl>
      <w:tblPr>
        <w:tblStyle w:val="LightShading-Accent1"/>
        <w:tblW w:type="auto" w:w="0"/>
        <w:tblLayout w:type="fixed"/>
        <w:tblLook w:firstColumn="1" w:firstRow="1" w:lastColumn="0" w:lastRow="0" w:noHBand="0" w:noVBand="1" w:val="04A0"/>
      </w:tblPr>
      <w:tblGrid>
        <w:gridCol w:w="4989"/>
        <w:gridCol w:w="4989"/>
      </w:tblGrid>
      <w:tr>
        <w:trPr>
          <w:cantSplit/>
          <w:tblHeader/>
        </w:trPr>
        <w:tc>
          <w:tcPr>
            <w:tcW w:type="dxa" w:w="1928"/>
          </w:tcPr>
          <w:p>
            <w:pPr>
              <w:spacing w:after="60"/>
            </w:pPr>
            <w:r>
              <w:rPr>
                <w:b/>
                <w:sz w:val="18"/>
              </w:rPr>
              <w:t>Plazo propuesto</w:t>
            </w:r>
          </w:p>
        </w:tc>
        <w:tc>
          <w:tcPr>
            <w:tcW w:type="dxa" w:w="8050"/>
          </w:tcPr>
          <w:p>
            <w:pPr>
              <w:spacing w:after="60"/>
            </w:pPr>
            <w:r>
              <w:rPr>
                <w:b/>
                <w:sz w:val="18"/>
              </w:rPr>
              <w:t>Acción y entrega</w:t>
            </w:r>
          </w:p>
        </w:tc>
      </w:tr>
      <w:tr>
        <w:trPr>
          <w:cantSplit/>
        </w:trPr>
        <w:tc>
          <w:tcPr>
            <w:tcW w:type="dxa" w:w="1928"/>
          </w:tcPr>
          <w:p>
            <w:pPr>
              <w:spacing w:after="60"/>
            </w:pPr>
            <w:r>
              <w:rPr>
                <w:sz w:val="18"/>
              </w:rPr>
              <w:t>Días 1–15</w:t>
            </w:r>
          </w:p>
        </w:tc>
        <w:tc>
          <w:tcPr>
            <w:tcW w:type="dxa" w:w="8050"/>
          </w:tcPr>
          <w:p>
            <w:pPr>
              <w:spacing w:after="60"/>
            </w:pPr>
            <w:r>
              <w:rPr>
                <w:sz w:val="18"/>
              </w:rPr>
              <w:t>Economía e I2T2 nombran responsable; convocan universidades y Csoftmty; preparan ficha de dos páginas con beneficiarios, presupuesto, apoyo solicitado y métricas.</w:t>
            </w:r>
          </w:p>
        </w:tc>
      </w:tr>
      <w:tr>
        <w:trPr>
          <w:cantSplit/>
        </w:trPr>
        <w:tc>
          <w:tcPr>
            <w:tcW w:type="dxa" w:w="1928"/>
          </w:tcPr>
          <w:p>
            <w:pPr>
              <w:spacing w:after="60"/>
            </w:pPr>
            <w:r>
              <w:rPr>
                <w:sz w:val="18"/>
              </w:rPr>
              <w:t>Días 16–30</w:t>
            </w:r>
          </w:p>
        </w:tc>
        <w:tc>
          <w:tcPr>
            <w:tcW w:type="dxa" w:w="8050"/>
          </w:tcPr>
          <w:p>
            <w:pPr>
              <w:spacing w:after="60"/>
            </w:pPr>
            <w:r>
              <w:rPr>
                <w:sz w:val="18"/>
              </w:rPr>
              <w:t>Solicitar reuniones con OpenAI, Google y AWS; comparar respuestas sobre créditos directos, formación, mentoría y restricciones.</w:t>
            </w:r>
          </w:p>
        </w:tc>
      </w:tr>
      <w:tr>
        <w:trPr>
          <w:cantSplit/>
        </w:trPr>
        <w:tc>
          <w:tcPr>
            <w:tcW w:type="dxa" w:w="1928"/>
          </w:tcPr>
          <w:p>
            <w:pPr>
              <w:spacing w:after="60"/>
            </w:pPr>
            <w:r>
              <w:rPr>
                <w:sz w:val="18"/>
              </w:rPr>
              <w:t>Días 31–60</w:t>
            </w:r>
          </w:p>
        </w:tc>
        <w:tc>
          <w:tcPr>
            <w:tcW w:type="dxa" w:w="8050"/>
          </w:tcPr>
          <w:p>
            <w:pPr>
              <w:spacing w:after="60"/>
            </w:pPr>
            <w:r>
              <w:rPr>
                <w:sz w:val="18"/>
              </w:rPr>
              <w:t>Operador, jurídico y finanzas acuerdan elegibilidad, contratación, privacidad, vencimientos, cobro de excedentes y auditoría.</w:t>
            </w:r>
          </w:p>
        </w:tc>
      </w:tr>
      <w:tr>
        <w:trPr>
          <w:cantSplit/>
        </w:trPr>
        <w:tc>
          <w:tcPr>
            <w:tcW w:type="dxa" w:w="1928"/>
          </w:tcPr>
          <w:p>
            <w:pPr>
              <w:spacing w:after="60"/>
            </w:pPr>
            <w:r>
              <w:rPr>
                <w:sz w:val="18"/>
              </w:rPr>
              <w:t>Días 61–90</w:t>
            </w:r>
          </w:p>
        </w:tc>
        <w:tc>
          <w:tcPr>
            <w:tcW w:type="dxa" w:w="8050"/>
          </w:tcPr>
          <w:p>
            <w:pPr>
              <w:spacing w:after="60"/>
            </w:pPr>
            <w:r>
              <w:rPr>
                <w:sz w:val="18"/>
              </w:rPr>
              <w:t>Abrir convocatoria y tramitar solicitudes individuales; iniciar piloto solo con presupuesto y condiciones aprobados.</w:t>
            </w:r>
          </w:p>
        </w:tc>
      </w:tr>
    </w:tbl>
    <w:p/>
    <w:p>
      <w:r>
        <w:rPr>
          <w:b/>
        </w:rPr>
        <w:t>Contactos publicados:</w:t>
      </w:r>
      <w:r>
        <w:t xml:space="preserve"> Economía: economia_nl@nuevoleon.gob.mx, 81 2033 3274; I2T2: contacto@i2t2.gob.mx, 81 2033 1100. Pedir a Economía el enlace de los talleres de OpenAI Academy. Canales comerciales: </w:t>
      </w:r>
      <w:hyperlink r:id="rId9">
        <w:r>
          <w:rPr>
            <w:color w:val="17456B"/>
            <w:u w:val="single"/>
          </w:rPr>
          <w:t>OpenAI</w:t>
        </w:r>
      </w:hyperlink>
      <w:r>
        <w:t xml:space="preserve">, </w:t>
      </w:r>
      <w:hyperlink r:id="rId10">
        <w:r>
          <w:rPr>
            <w:color w:val="17456B"/>
            <w:u w:val="single"/>
          </w:rPr>
          <w:t>Google Cloud</w:t>
        </w:r>
      </w:hyperlink>
      <w:r>
        <w:t xml:space="preserve">, </w:t>
      </w:r>
      <w:hyperlink r:id="rId11">
        <w:r>
          <w:rPr>
            <w:color w:val="17456B"/>
            <w:u w:val="single"/>
          </w:rPr>
          <w:t>Anthropic</w:t>
        </w:r>
      </w:hyperlink>
      <w:r>
        <w:t>. [12]</w:t>
      </w:r>
    </w:p>
    <w:p>
      <w:r>
        <w:t>La solicitud debe pedir un interlocutor, validación de elegibilidad y una propuesta escrita de apoyo. Nuevo León ofrecería formación, mentoría, coinversión y evaluación de resultados. OpenAI for Countries y los acuerdos gubernamentales de Anthropic son antecedentes de colaboración institucional; su existencia no garantiza acceso automático de un estado ni una bolsa de tokens. [13]</w:t>
      </w:r>
    </w:p>
    <w:p>
      <w:r>
        <w:rPr>
          <w:b/>
        </w:rPr>
        <w:t>Duda pendiente P4:</w:t>
      </w:r>
      <w:r>
        <w:t xml:space="preserve"> ¿qué institución operará el programa y quién tiene facultades para firmar y ejercer el presupuesto? El cronograma es una propuesta, no un compromiso de esas instituciones.</w:t>
      </w:r>
    </w:p>
    <w:p>
      <w:pPr>
        <w:pStyle w:val="Heading1"/>
      </w:pPr>
      <w:r>
        <w:t>5. Presupuesto inicial para decidir</w:t>
      </w:r>
    </w:p>
    <w:p>
      <w:r>
        <w:t>Piloto ilustrativo de seis meses: 100 participantes o equipos, 25 proyectos seleccionados para prototipo y hasta 10 para continuidad. Los apoyos de las etapas son acumulables.</w:t>
      </w:r>
    </w:p>
    <w:tbl>
      <w:tblPr>
        <w:tblStyle w:val="LightShading-Accent1"/>
        <w:tblW w:type="auto" w:w="0"/>
        <w:tblLayout w:type="fixed"/>
        <w:tblLook w:firstColumn="1" w:firstRow="1" w:lastColumn="0" w:lastRow="0" w:noHBand="0" w:noVBand="1" w:val="04A0"/>
      </w:tblPr>
      <w:tblGrid>
        <w:gridCol w:w="3326"/>
        <w:gridCol w:w="3326"/>
        <w:gridCol w:w="3326"/>
      </w:tblGrid>
      <w:tr>
        <w:trPr>
          <w:cantSplit/>
          <w:tblHeader/>
        </w:trPr>
        <w:tc>
          <w:tcPr>
            <w:tcW w:type="dxa" w:w="4535"/>
          </w:tcPr>
          <w:p>
            <w:pPr>
              <w:spacing w:after="60"/>
            </w:pPr>
            <w:r>
              <w:rPr>
                <w:b/>
                <w:sz w:val="18"/>
              </w:rPr>
              <w:t>Concepto</w:t>
            </w:r>
          </w:p>
        </w:tc>
        <w:tc>
          <w:tcPr>
            <w:tcW w:type="dxa" w:w="3742"/>
          </w:tcPr>
          <w:p>
            <w:pPr>
              <w:spacing w:after="60"/>
            </w:pPr>
            <w:r>
              <w:rPr>
                <w:b/>
                <w:sz w:val="18"/>
              </w:rPr>
              <w:t>Cálculo</w:t>
            </w:r>
          </w:p>
        </w:tc>
        <w:tc>
          <w:tcPr>
            <w:tcW w:type="dxa" w:w="1701"/>
          </w:tcPr>
          <w:p>
            <w:pPr>
              <w:spacing w:after="60"/>
            </w:pPr>
            <w:r>
              <w:rPr>
                <w:b/>
                <w:sz w:val="18"/>
              </w:rPr>
              <w:t>USD</w:t>
            </w:r>
          </w:p>
        </w:tc>
      </w:tr>
      <w:tr>
        <w:trPr>
          <w:cantSplit/>
        </w:trPr>
        <w:tc>
          <w:tcPr>
            <w:tcW w:type="dxa" w:w="4535"/>
          </w:tcPr>
          <w:p>
            <w:pPr>
              <w:spacing w:after="60"/>
            </w:pPr>
            <w:r>
              <w:rPr>
                <w:sz w:val="18"/>
              </w:rPr>
              <w:t>Consumo de formación</w:t>
            </w:r>
          </w:p>
        </w:tc>
        <w:tc>
          <w:tcPr>
            <w:tcW w:type="dxa" w:w="3742"/>
          </w:tcPr>
          <w:p>
            <w:pPr>
              <w:spacing w:after="60"/>
            </w:pPr>
            <w:r>
              <w:rPr>
                <w:sz w:val="18"/>
              </w:rPr>
              <w:t>100 × 50</w:t>
            </w:r>
          </w:p>
        </w:tc>
        <w:tc>
          <w:tcPr>
            <w:tcW w:type="dxa" w:w="1701"/>
          </w:tcPr>
          <w:p>
            <w:pPr>
              <w:spacing w:after="60"/>
            </w:pPr>
            <w:r>
              <w:rPr>
                <w:sz w:val="18"/>
              </w:rPr>
              <w:t>5,000</w:t>
            </w:r>
          </w:p>
        </w:tc>
      </w:tr>
      <w:tr>
        <w:trPr>
          <w:cantSplit/>
        </w:trPr>
        <w:tc>
          <w:tcPr>
            <w:tcW w:type="dxa" w:w="4535"/>
          </w:tcPr>
          <w:p>
            <w:pPr>
              <w:spacing w:after="60"/>
            </w:pPr>
            <w:r>
              <w:rPr>
                <w:sz w:val="18"/>
              </w:rPr>
              <w:t>Consumo adicional para prototipos</w:t>
            </w:r>
          </w:p>
        </w:tc>
        <w:tc>
          <w:tcPr>
            <w:tcW w:type="dxa" w:w="3742"/>
          </w:tcPr>
          <w:p>
            <w:pPr>
              <w:spacing w:after="60"/>
            </w:pPr>
            <w:r>
              <w:rPr>
                <w:sz w:val="18"/>
              </w:rPr>
              <w:t>25 × 500</w:t>
            </w:r>
          </w:p>
        </w:tc>
        <w:tc>
          <w:tcPr>
            <w:tcW w:type="dxa" w:w="1701"/>
          </w:tcPr>
          <w:p>
            <w:pPr>
              <w:spacing w:after="60"/>
            </w:pPr>
            <w:r>
              <w:rPr>
                <w:sz w:val="18"/>
              </w:rPr>
              <w:t>12,500</w:t>
            </w:r>
          </w:p>
        </w:tc>
      </w:tr>
      <w:tr>
        <w:trPr>
          <w:cantSplit/>
        </w:trPr>
        <w:tc>
          <w:tcPr>
            <w:tcW w:type="dxa" w:w="4535"/>
          </w:tcPr>
          <w:p>
            <w:pPr>
              <w:spacing w:after="60"/>
            </w:pPr>
            <w:r>
              <w:rPr>
                <w:sz w:val="18"/>
              </w:rPr>
              <w:t>Consumo adicional para continuidad</w:t>
            </w:r>
          </w:p>
        </w:tc>
        <w:tc>
          <w:tcPr>
            <w:tcW w:type="dxa" w:w="3742"/>
          </w:tcPr>
          <w:p>
            <w:pPr>
              <w:spacing w:after="60"/>
            </w:pPr>
            <w:r>
              <w:rPr>
                <w:sz w:val="18"/>
              </w:rPr>
              <w:t>10 × 2,000</w:t>
            </w:r>
          </w:p>
        </w:tc>
        <w:tc>
          <w:tcPr>
            <w:tcW w:type="dxa" w:w="1701"/>
          </w:tcPr>
          <w:p>
            <w:pPr>
              <w:spacing w:after="60"/>
            </w:pPr>
            <w:r>
              <w:rPr>
                <w:sz w:val="18"/>
              </w:rPr>
              <w:t>20,000</w:t>
            </w:r>
          </w:p>
        </w:tc>
      </w:tr>
      <w:tr>
        <w:trPr>
          <w:cantSplit/>
        </w:trPr>
        <w:tc>
          <w:tcPr>
            <w:tcW w:type="dxa" w:w="4535"/>
          </w:tcPr>
          <w:p>
            <w:pPr>
              <w:spacing w:after="60"/>
            </w:pPr>
            <w:r>
              <w:rPr>
                <w:sz w:val="18"/>
              </w:rPr>
              <w:t>Docencia, mentoría y soporte</w:t>
            </w:r>
          </w:p>
        </w:tc>
        <w:tc>
          <w:tcPr>
            <w:tcW w:type="dxa" w:w="3742"/>
          </w:tcPr>
          <w:p>
            <w:pPr>
              <w:spacing w:after="60"/>
            </w:pPr>
            <w:r>
              <w:rPr>
                <w:sz w:val="18"/>
              </w:rPr>
              <w:t>Estimación por cotizar</w:t>
            </w:r>
          </w:p>
        </w:tc>
        <w:tc>
          <w:tcPr>
            <w:tcW w:type="dxa" w:w="1701"/>
          </w:tcPr>
          <w:p>
            <w:pPr>
              <w:spacing w:after="60"/>
            </w:pPr>
            <w:r>
              <w:rPr>
                <w:sz w:val="18"/>
              </w:rPr>
              <w:t>20,000</w:t>
            </w:r>
          </w:p>
        </w:tc>
      </w:tr>
      <w:tr>
        <w:trPr>
          <w:cantSplit/>
        </w:trPr>
        <w:tc>
          <w:tcPr>
            <w:tcW w:type="dxa" w:w="4535"/>
          </w:tcPr>
          <w:p>
            <w:pPr>
              <w:spacing w:after="60"/>
            </w:pPr>
            <w:r>
              <w:rPr>
                <w:sz w:val="18"/>
              </w:rPr>
              <w:t>Operación y evaluación</w:t>
            </w:r>
          </w:p>
        </w:tc>
        <w:tc>
          <w:tcPr>
            <w:tcW w:type="dxa" w:w="3742"/>
          </w:tcPr>
          <w:p>
            <w:pPr>
              <w:spacing w:after="60"/>
            </w:pPr>
            <w:r>
              <w:rPr>
                <w:sz w:val="18"/>
              </w:rPr>
              <w:t>Estimación por cotizar</w:t>
            </w:r>
          </w:p>
        </w:tc>
        <w:tc>
          <w:tcPr>
            <w:tcW w:type="dxa" w:w="1701"/>
          </w:tcPr>
          <w:p>
            <w:pPr>
              <w:spacing w:after="60"/>
            </w:pPr>
            <w:r>
              <w:rPr>
                <w:sz w:val="18"/>
              </w:rPr>
              <w:t>10,000</w:t>
            </w:r>
          </w:p>
        </w:tc>
      </w:tr>
      <w:tr>
        <w:trPr>
          <w:cantSplit/>
        </w:trPr>
        <w:tc>
          <w:tcPr>
            <w:tcW w:type="dxa" w:w="4535"/>
          </w:tcPr>
          <w:p>
            <w:pPr>
              <w:spacing w:after="60"/>
            </w:pPr>
            <w:r>
              <w:rPr>
                <w:sz w:val="18"/>
              </w:rPr>
              <w:t>Subtotal</w:t>
            </w:r>
          </w:p>
        </w:tc>
        <w:tc>
          <w:tcPr>
            <w:tcW w:type="dxa" w:w="3742"/>
          </w:tcPr>
          <w:p>
            <w:pPr>
              <w:spacing w:after="60"/>
            </w:pPr>
          </w:p>
        </w:tc>
        <w:tc>
          <w:tcPr>
            <w:tcW w:type="dxa" w:w="1701"/>
          </w:tcPr>
          <w:p>
            <w:pPr>
              <w:spacing w:after="60"/>
            </w:pPr>
            <w:r>
              <w:rPr>
                <w:sz w:val="18"/>
              </w:rPr>
              <w:t>67,500</w:t>
            </w:r>
          </w:p>
        </w:tc>
      </w:tr>
      <w:tr>
        <w:trPr>
          <w:cantSplit/>
        </w:trPr>
        <w:tc>
          <w:tcPr>
            <w:tcW w:type="dxa" w:w="4535"/>
          </w:tcPr>
          <w:p>
            <w:pPr>
              <w:spacing w:after="60"/>
            </w:pPr>
            <w:r>
              <w:rPr>
                <w:sz w:val="18"/>
              </w:rPr>
              <w:t>Contingencia</w:t>
            </w:r>
          </w:p>
        </w:tc>
        <w:tc>
          <w:tcPr>
            <w:tcW w:type="dxa" w:w="3742"/>
          </w:tcPr>
          <w:p>
            <w:pPr>
              <w:spacing w:after="60"/>
            </w:pPr>
            <w:r>
              <w:rPr>
                <w:sz w:val="18"/>
              </w:rPr>
              <w:t>10% del subtotal</w:t>
            </w:r>
          </w:p>
        </w:tc>
        <w:tc>
          <w:tcPr>
            <w:tcW w:type="dxa" w:w="1701"/>
          </w:tcPr>
          <w:p>
            <w:pPr>
              <w:spacing w:after="60"/>
            </w:pPr>
            <w:r>
              <w:rPr>
                <w:sz w:val="18"/>
              </w:rPr>
              <w:t>6,750</w:t>
            </w:r>
          </w:p>
        </w:tc>
      </w:tr>
      <w:tr>
        <w:trPr>
          <w:cantSplit/>
        </w:trPr>
        <w:tc>
          <w:tcPr>
            <w:tcW w:type="dxa" w:w="4535"/>
          </w:tcPr>
          <w:p>
            <w:pPr>
              <w:spacing w:after="60"/>
            </w:pPr>
            <w:r>
              <w:rPr>
                <w:b/>
                <w:sz w:val="18"/>
              </w:rPr>
              <w:t>Total ilustrativo</w:t>
            </w:r>
          </w:p>
        </w:tc>
        <w:tc>
          <w:tcPr>
            <w:tcW w:type="dxa" w:w="3742"/>
          </w:tcPr>
          <w:p>
            <w:pPr>
              <w:spacing w:after="60"/>
            </w:pPr>
          </w:p>
        </w:tc>
        <w:tc>
          <w:tcPr>
            <w:tcW w:type="dxa" w:w="1701"/>
          </w:tcPr>
          <w:p>
            <w:pPr>
              <w:spacing w:after="60"/>
            </w:pPr>
            <w:r>
              <w:rPr>
                <w:b/>
                <w:sz w:val="18"/>
              </w:rPr>
              <w:t>74,250</w:t>
            </w:r>
          </w:p>
        </w:tc>
      </w:tr>
    </w:tbl>
    <w:p/>
    <w:p>
      <w:r>
        <w:t>El consumo suma USD 37,500; un proyecto que complete todas las etapas tendría un tope de USD 2,550. Se financiará uso comprobado hasta el límite. Presupuestar sin donaciones; descontar únicamente créditos aprobados, utilizables y efectivamente aplicados. Convertir a MXN con el tipo presupuestal e incorporar impuestos y costos locales antes de aprobar. Son supuestos propios, sin cotización ni financiamiento comprometido.</w:t>
      </w:r>
    </w:p>
    <w:p>
      <w:r>
        <w:rPr>
          <w:b/>
        </w:rPr>
        <w:t>Duda pendiente P5:</w:t>
      </w:r>
      <w:r>
        <w:t xml:space="preserve"> ¿cuál es el presupuesto disponible en MXN y qué parte cubrirá consumo, formación y operación? Ajustar cobertura con cotizaciones, sin usar precios de modelos de terceros como tarifa garantizada.</w:t>
      </w:r>
    </w:p>
    <w:p>
      <w:pPr>
        <w:pStyle w:val="Heading1"/>
      </w:pPr>
      <w:r>
        <w:t>6. Reglas mínimas de operación</w:t>
      </w:r>
    </w:p>
    <w:p>
      <w:r>
        <w:t xml:space="preserve">1. </w:t>
      </w:r>
      <w:r>
        <w:rPr>
          <w:b/>
        </w:rPr>
        <w:t>Entrega:</w:t>
      </w:r>
      <w:r>
        <w:t xml:space="preserve"> los créditos promocionales quedan en la cuenta beneficiaria autorizada. El apoyo estatal requiere una modalidad aprobada de pago, reembolso o servicio administrado. Revisar términos antes de compartir acceso; no redistribuir promociones ajenas. [14]</w:t>
      </w:r>
    </w:p>
    <w:p>
      <w:r>
        <w:t xml:space="preserve">2. </w:t>
      </w:r>
      <w:r>
        <w:rPr>
          <w:b/>
        </w:rPr>
        <w:t>Selección y gasto:</w:t>
      </w:r>
      <w:r>
        <w:t xml:space="preserve"> criterios públicos, evaluación por etapas, cuentas separadas y límites que realmente detengan consumo. Una alerta por correo no impide cargos.</w:t>
      </w:r>
    </w:p>
    <w:p>
      <w:r>
        <w:t xml:space="preserve">3. </w:t>
      </w:r>
      <w:r>
        <w:rPr>
          <w:b/>
        </w:rPr>
        <w:t>Datos y propiedad:</w:t>
      </w:r>
      <w:r>
        <w:t xml:space="preserve"> proteger claves; empezar con datos de prueba; definir consentimiento, responsable de datos, retención y propiedad del proyecto antes de usar información personal o confidencial.</w:t>
      </w:r>
    </w:p>
    <w:p>
      <w:r>
        <w:t xml:space="preserve">4. </w:t>
      </w:r>
      <w:r>
        <w:rPr>
          <w:b/>
        </w:rPr>
        <w:t>Salida:</w:t>
      </w:r>
      <w:r>
        <w:t xml:space="preserve"> avisar antes del agotamiento o vencimiento, detener el servicio o recabar aceptación del pago posterior y permitir exportación. Registrar por separado créditos otorgados, consumo y ahorro comprobado.</w:t>
      </w:r>
    </w:p>
    <w:p>
      <w:r>
        <w:rPr>
          <w:b/>
        </w:rPr>
        <w:t>Duda pendiente P6:</w:t>
      </w:r>
      <w:r>
        <w:t xml:space="preserve"> ¿quién controla cuentas, facturación y datos, y qué mecanismo impedirá cargos fuera del apoyo? Probarlo antes de entregar accesos.</w:t>
      </w:r>
    </w:p>
    <w:p>
      <w:pPr>
        <w:pStyle w:val="Heading1"/>
      </w:pPr>
      <w:r>
        <w:t>Fuentes y trazabilidad</w:t>
      </w:r>
    </w:p>
    <w:p>
      <w:r>
        <w:t xml:space="preserve">Se consolidaron completos </w:t>
      </w:r>
      <w:r>
        <w:t>Nuevo_Leon_Emprende_con_IA.docx</w:t>
      </w:r>
      <w:r>
        <w:t xml:space="preserve"> (Codex) y </w:t>
      </w:r>
      <w:r>
        <w:t>Programa_Tokens_IA_Nuevo_Leon.docx</w:t>
      </w:r>
      <w:r>
        <w:t xml:space="preserve"> (Claude), conservando los originales. Se eliminaron repeticiones, precios sin respaldo oficial y afirmaciones de primacía mundial. Las discrepancias sobre Grok y la disponibilidad de Anthropic se resolvieron con las páginas y términos recuperados por la investigación original; deben revalidarse al negociar. Ningún contacto fue enviado.</w:t>
      </w:r>
    </w:p>
    <w:p>
      <w:r>
        <w:t xml:space="preserve">La versión Word editable es </w:t>
      </w:r>
      <w:r>
        <w:t>programas-laboratorios-ia.docx</w:t>
      </w:r>
      <w:r>
        <w:t xml:space="preserve">; el PDF es la versión de lectura. Mantener este Markdown sincronizado con las ediciones de Word para que el proyecto conserve su fuente de investigación. Las preguntas P1–P6 quedan abiertas para la siguiente sesión. Las cifras destinadas a web o pitch deben pasar primero al dataset con sus fuentes y estado de verificación, conforme a </w:t>
      </w:r>
      <w:r>
        <w:t>AGENTS.md</w:t>
      </w:r>
      <w:r>
        <w:t>.</w:t>
      </w:r>
    </w:p>
    <w:p>
      <w:r>
        <w:t xml:space="preserve">1. </w:t>
      </w:r>
      <w:hyperlink r:id="rId12">
        <w:r>
          <w:rPr>
            <w:color w:val="17456B"/>
            <w:u w:val="single"/>
          </w:rPr>
          <w:t>Nuevo León: colaboración con OpenAI Academy, 29/01/2026</w:t>
        </w:r>
      </w:hyperlink>
      <w:r>
        <w:t>.</w:t>
      </w:r>
    </w:p>
    <w:p>
      <w:r>
        <w:t xml:space="preserve">2. </w:t>
      </w:r>
      <w:hyperlink r:id="rId13">
        <w:r>
          <w:rPr>
            <w:color w:val="17456B"/>
            <w:u w:val="single"/>
          </w:rPr>
          <w:t>Nuevo León: meta de formación de Hola IA</w:t>
        </w:r>
      </w:hyperlink>
      <w:r>
        <w:t>.</w:t>
      </w:r>
    </w:p>
    <w:p>
      <w:r>
        <w:t xml:space="preserve">3. </w:t>
      </w:r>
      <w:hyperlink r:id="rId14">
        <w:r>
          <w:rPr>
            <w:color w:val="17456B"/>
            <w:u w:val="single"/>
          </w:rPr>
          <w:t>OpenAI for Startups: acceso y créditos</w:t>
        </w:r>
      </w:hyperlink>
      <w:r>
        <w:t>.</w:t>
      </w:r>
    </w:p>
    <w:p>
      <w:r>
        <w:t xml:space="preserve">4. Google Cloud: </w:t>
      </w:r>
      <w:hyperlink r:id="rId15">
        <w:r>
          <w:rPr>
            <w:color w:val="17456B"/>
            <w:u w:val="single"/>
          </w:rPr>
          <w:t>programa de IA</w:t>
        </w:r>
      </w:hyperlink>
      <w:r>
        <w:t xml:space="preserve">, </w:t>
      </w:r>
      <w:hyperlink r:id="rId16">
        <w:r>
          <w:rPr>
            <w:color w:val="17456B"/>
            <w:u w:val="single"/>
          </w:rPr>
          <w:t>niveles y requisitos</w:t>
        </w:r>
      </w:hyperlink>
      <w:r>
        <w:t xml:space="preserve">, </w:t>
      </w:r>
      <w:hyperlink r:id="rId17">
        <w:r>
          <w:rPr>
            <w:color w:val="17456B"/>
            <w:u w:val="single"/>
          </w:rPr>
          <w:t>términos</w:t>
        </w:r>
      </w:hyperlink>
      <w:r>
        <w:t>.</w:t>
      </w:r>
    </w:p>
    <w:p>
      <w:r>
        <w:t xml:space="preserve">5. AWS: </w:t>
      </w:r>
      <w:hyperlink r:id="rId18">
        <w:r>
          <w:rPr>
            <w:color w:val="17456B"/>
            <w:u w:val="single"/>
          </w:rPr>
          <w:t>Activate y montos</w:t>
        </w:r>
      </w:hyperlink>
      <w:r>
        <w:t xml:space="preserve">, </w:t>
      </w:r>
      <w:hyperlink r:id="rId19">
        <w:r>
          <w:rPr>
            <w:color w:val="17456B"/>
            <w:u w:val="single"/>
          </w:rPr>
          <w:t>términos</w:t>
        </w:r>
      </w:hyperlink>
      <w:r>
        <w:t xml:space="preserve">, </w:t>
      </w:r>
      <w:hyperlink r:id="rId20">
        <w:r>
          <w:rPr>
            <w:color w:val="17456B"/>
            <w:u w:val="single"/>
          </w:rPr>
          <w:t>Activate Providers</w:t>
        </w:r>
      </w:hyperlink>
      <w:r>
        <w:t>.</w:t>
      </w:r>
    </w:p>
    <w:p>
      <w:r>
        <w:t xml:space="preserve">6. Microsoft: </w:t>
      </w:r>
      <w:hyperlink r:id="rId21">
        <w:r>
          <w:rPr>
            <w:color w:val="17456B"/>
            <w:u w:val="single"/>
          </w:rPr>
          <w:t>programa</w:t>
        </w:r>
      </w:hyperlink>
      <w:r>
        <w:t xml:space="preserve">, </w:t>
      </w:r>
      <w:hyperlink r:id="rId22">
        <w:r>
          <w:rPr>
            <w:color w:val="17456B"/>
            <w:u w:val="single"/>
          </w:rPr>
          <w:t>beneficios</w:t>
        </w:r>
      </w:hyperlink>
      <w:r>
        <w:t>.</w:t>
      </w:r>
    </w:p>
    <w:p>
      <w:r>
        <w:t xml:space="preserve">7. </w:t>
      </w:r>
      <w:hyperlink r:id="rId23">
        <w:r>
          <w:rPr>
            <w:color w:val="17456B"/>
            <w:u w:val="single"/>
          </w:rPr>
          <w:t>Anthropic: Claude Startups y FAQ</w:t>
        </w:r>
      </w:hyperlink>
      <w:r>
        <w:t>.</w:t>
      </w:r>
    </w:p>
    <w:p>
      <w:r>
        <w:t xml:space="preserve">8. </w:t>
      </w:r>
      <w:hyperlink r:id="rId24">
        <w:r>
          <w:rPr>
            <w:color w:val="17456B"/>
            <w:u w:val="single"/>
          </w:rPr>
          <w:t>Grok for Startups: términos, actualización 07/10/2026</w:t>
        </w:r>
      </w:hyperlink>
      <w:r>
        <w:t>. En el estudio original se recuperaron mediante lector de texto por bloqueo del acceso directo.</w:t>
      </w:r>
    </w:p>
    <w:p>
      <w:r>
        <w:t xml:space="preserve">9. </w:t>
      </w:r>
      <w:hyperlink r:id="rId25">
        <w:r>
          <w:rPr>
            <w:color w:val="17456B"/>
            <w:u w:val="single"/>
          </w:rPr>
          <w:t>Gobierno de India: IndiaAI Compute</w:t>
        </w:r>
      </w:hyperlink>
      <w:r>
        <w:t>.</w:t>
      </w:r>
    </w:p>
    <w:p>
      <w:r>
        <w:t xml:space="preserve">10. </w:t>
      </w:r>
      <w:hyperlink r:id="rId26">
        <w:r>
          <w:rPr>
            <w:color w:val="17456B"/>
            <w:u w:val="single"/>
          </w:rPr>
          <w:t>Digital Industry Singapore: Enterprise Compute Initiative</w:t>
        </w:r>
      </w:hyperlink>
      <w:r>
        <w:t>.</w:t>
      </w:r>
    </w:p>
    <w:p>
      <w:r>
        <w:t xml:space="preserve">11. I2T2: </w:t>
      </w:r>
      <w:hyperlink r:id="rId27">
        <w:r>
          <w:rPr>
            <w:color w:val="17456B"/>
            <w:u w:val="single"/>
          </w:rPr>
          <w:t>incubadoras 2026</w:t>
        </w:r>
      </w:hyperlink>
      <w:r>
        <w:t xml:space="preserve">, </w:t>
      </w:r>
      <w:hyperlink r:id="rId28">
        <w:r>
          <w:rPr>
            <w:color w:val="17456B"/>
            <w:u w:val="single"/>
          </w:rPr>
          <w:t>FONLIN 2026</w:t>
        </w:r>
      </w:hyperlink>
      <w:r>
        <w:t>.</w:t>
      </w:r>
    </w:p>
    <w:p>
      <w:r>
        <w:t xml:space="preserve">12. Directorios oficiales: </w:t>
      </w:r>
      <w:hyperlink r:id="rId29">
        <w:r>
          <w:rPr>
            <w:color w:val="17456B"/>
            <w:u w:val="single"/>
          </w:rPr>
          <w:t>Economía NL</w:t>
        </w:r>
      </w:hyperlink>
      <w:r>
        <w:t xml:space="preserve">, </w:t>
      </w:r>
      <w:hyperlink r:id="rId30">
        <w:r>
          <w:rPr>
            <w:color w:val="17456B"/>
            <w:u w:val="single"/>
          </w:rPr>
          <w:t>I2T2</w:t>
        </w:r>
      </w:hyperlink>
      <w:r>
        <w:t>.</w:t>
      </w:r>
    </w:p>
    <w:p>
      <w:r>
        <w:t xml:space="preserve">13. Acuerdos institucionales: </w:t>
      </w:r>
      <w:hyperlink r:id="rId31">
        <w:r>
          <w:rPr>
            <w:color w:val="17456B"/>
            <w:u w:val="single"/>
          </w:rPr>
          <w:t>OpenAI for Countries</w:t>
        </w:r>
      </w:hyperlink>
      <w:r>
        <w:t xml:space="preserve">, </w:t>
      </w:r>
      <w:hyperlink r:id="rId32">
        <w:r>
          <w:rPr>
            <w:color w:val="17456B"/>
            <w:u w:val="single"/>
          </w:rPr>
          <w:t>Anthropic–Reino Unido</w:t>
        </w:r>
      </w:hyperlink>
      <w:r>
        <w:t>.</w:t>
      </w:r>
    </w:p>
    <w:p>
      <w:r>
        <w:t xml:space="preserve">14. Restricciones de créditos: </w:t>
      </w:r>
      <w:hyperlink r:id="rId33">
        <w:r>
          <w:rPr>
            <w:color w:val="17456B"/>
            <w:u w:val="single"/>
          </w:rPr>
          <w:t>OpenAI</w:t>
        </w:r>
      </w:hyperlink>
      <w:r>
        <w:t>, Google [4], AWS [5] y Grok [8].</w:t>
      </w:r>
    </w:p>
    <w:sectPr w:rsidR="00FC693F" w:rsidRPr="0006063C" w:rsidSect="00034616">
      <w:footerReference w:type="default" r:id="rId34"/>
      <w:pgSz w:w="11906" w:h="16838"/>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Forja NL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penai.com/contact-sales/" TargetMode="External"/><Relationship Id="rId10" Type="http://schemas.openxmlformats.org/officeDocument/2006/relationships/hyperlink" Target="https://cloud.google.com/contact" TargetMode="External"/><Relationship Id="rId11" Type="http://schemas.openxmlformats.org/officeDocument/2006/relationships/hyperlink" Target="https://www.anthropic.com/contact-sales" TargetMode="External"/><Relationship Id="rId12" Type="http://schemas.openxmlformats.org/officeDocument/2006/relationships/hyperlink" Target="https://www.nl.gob.mx/es/boletines/promueve-nl-la-adopcion-de-ia-con-capacitaciones-de-openai" TargetMode="External"/><Relationship Id="rId13" Type="http://schemas.openxmlformats.org/officeDocument/2006/relationships/hyperlink" Target="https://www.nl.gob.mx/es/boletines/acercan-nuevo-leon-y-csoftmty-capacitacion-10-mil-personas-en-inteligencia-artificial-en" TargetMode="External"/><Relationship Id="rId14" Type="http://schemas.openxmlformats.org/officeDocument/2006/relationships/hyperlink" Target="https://openai.com/startups/" TargetMode="External"/><Relationship Id="rId15" Type="http://schemas.openxmlformats.org/officeDocument/2006/relationships/hyperlink" Target="https://cloud.google.com/startup/ai" TargetMode="External"/><Relationship Id="rId16" Type="http://schemas.openxmlformats.org/officeDocument/2006/relationships/hyperlink" Target="https://cloud.google.com/startup/benefits" TargetMode="External"/><Relationship Id="rId17" Type="http://schemas.openxmlformats.org/officeDocument/2006/relationships/hyperlink" Target="https://cloud.google.com/terms/startup-program-tos" TargetMode="External"/><Relationship Id="rId18" Type="http://schemas.openxmlformats.org/officeDocument/2006/relationships/hyperlink" Target="https://aws.amazon.com/startups/credits" TargetMode="External"/><Relationship Id="rId19" Type="http://schemas.openxmlformats.org/officeDocument/2006/relationships/hyperlink" Target="https://aws.amazon.com/activate/terms/" TargetMode="External"/><Relationship Id="rId20" Type="http://schemas.openxmlformats.org/officeDocument/2006/relationships/hyperlink" Target="https://startups.aws.com/providers" TargetMode="External"/><Relationship Id="rId21" Type="http://schemas.openxmlformats.org/officeDocument/2006/relationships/hyperlink" Target="https://learn.microsoft.com/en-us/microsoft-for-startups/" TargetMode="External"/><Relationship Id="rId22" Type="http://schemas.openxmlformats.org/officeDocument/2006/relationships/hyperlink" Target="https://learn.microsoft.com/en-us/microsoft-for-startups/benefits" TargetMode="External"/><Relationship Id="rId23" Type="http://schemas.openxmlformats.org/officeDocument/2006/relationships/hyperlink" Target="https://claude.com/programs/startups" TargetMode="External"/><Relationship Id="rId24" Type="http://schemas.openxmlformats.org/officeDocument/2006/relationships/hyperlink" Target="https://x.ai/legal/startup-program-terms" TargetMode="External"/><Relationship Id="rId25" Type="http://schemas.openxmlformats.org/officeDocument/2006/relationships/hyperlink" Target="https://compute.indiaai.gov.in/login" TargetMode="External"/><Relationship Id="rId26" Type="http://schemas.openxmlformats.org/officeDocument/2006/relationships/hyperlink" Target="https://www.disg.gov.sg/eci/enterprise-compute-initiative/" TargetMode="External"/><Relationship Id="rId27" Type="http://schemas.openxmlformats.org/officeDocument/2006/relationships/hyperlink" Target="https://i2t2.gob.mx/convocatorias/estimulo-al-emprendimiento-en-las-incubadoras-2026/" TargetMode="External"/><Relationship Id="rId28" Type="http://schemas.openxmlformats.org/officeDocument/2006/relationships/hyperlink" Target="https://i2t2.gob.mx/convocatorias/fonlin-2026/" TargetMode="External"/><Relationship Id="rId29" Type="http://schemas.openxmlformats.org/officeDocument/2006/relationships/hyperlink" Target="https://www.nl.gob.mx/es/economia" TargetMode="External"/><Relationship Id="rId30" Type="http://schemas.openxmlformats.org/officeDocument/2006/relationships/hyperlink" Target="https://www.nl.gob.mx/es/i2t2" TargetMode="External"/><Relationship Id="rId31" Type="http://schemas.openxmlformats.org/officeDocument/2006/relationships/hyperlink" Target="https://openai.com/global-affairs/openai-for-countries/" TargetMode="External"/><Relationship Id="rId32" Type="http://schemas.openxmlformats.org/officeDocument/2006/relationships/hyperlink" Target="https://www.anthropic.com/news/mou-uk-government" TargetMode="External"/><Relationship Id="rId33" Type="http://schemas.openxmlformats.org/officeDocument/2006/relationships/hyperlink" Target="https://openai.com/policies/service-credit-terms/" TargetMode="External"/><Relationship Id="rId3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Forja NL: programa de créditos de IA para emprendedores</dc:title>
  <dc:subject>Investigación unificada de laboratorios de IA</dc:subject>
  <dc:creator>Jesús Ferniz</dc:creator>
  <cp:keywords/>
  <dc:description>generated by python-docx</dc:description>
  <cp:lastModifiedBy/>
  <cp:revision>1</cp:revision>
  <dcterms:created xsi:type="dcterms:W3CDTF">2013-12-23T23:15:00Z</dcterms:created>
  <dcterms:modified xsi:type="dcterms:W3CDTF">2013-12-23T23:15:00Z</dcterms:modified>
  <cp:category/>
</cp:coreProperties>
</file>