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259" w:lineRule="auto"/>
        <w:rPr>
          <w:rFonts w:ascii="Roboto" w:cs="Roboto" w:eastAsia="Roboto" w:hAnsi="Roboto"/>
          <w:b w:val="1"/>
          <w:color w:val="48485e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color w:val="48485e"/>
          <w:sz w:val="32"/>
          <w:szCs w:val="32"/>
          <w:rtl w:val="0"/>
        </w:rPr>
        <w:t xml:space="preserve">Data Science Career Track</w:t>
      </w:r>
    </w:p>
    <w:p w:rsidR="00000000" w:rsidDel="00000000" w:rsidP="00000000" w:rsidRDefault="00000000" w:rsidRPr="00000000" w14:paraId="00000002">
      <w:pPr>
        <w:spacing w:line="259" w:lineRule="auto"/>
        <w:rPr>
          <w:rFonts w:ascii="Roboto" w:cs="Roboto" w:eastAsia="Roboto" w:hAnsi="Roboto"/>
          <w:b w:val="1"/>
          <w:color w:val="00c09d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color w:val="2d87b1"/>
          <w:sz w:val="32"/>
          <w:szCs w:val="32"/>
          <w:rtl w:val="0"/>
        </w:rPr>
        <w:t xml:space="preserve">ChemCorp: Data Analysis Worksheet Rubric</w:t>
      </w:r>
      <w:r w:rsidDel="00000000" w:rsidR="00000000" w:rsidRPr="00000000">
        <w:rPr>
          <w:rFonts w:ascii="Roboto" w:cs="Roboto" w:eastAsia="Roboto" w:hAnsi="Roboto"/>
          <w:b w:val="1"/>
          <w:color w:val="00c09d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Ind w:w="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5"/>
        <w:gridCol w:w="7275"/>
        <w:tblGridChange w:id="0">
          <w:tblGrid>
            <w:gridCol w:w="2115"/>
            <w:gridCol w:w="7275"/>
          </w:tblGrid>
        </w:tblGridChange>
      </w:tblGrid>
      <w:tr>
        <w:trPr>
          <w:trHeight w:val="540" w:hRule="atLeast"/>
        </w:trPr>
        <w:tc>
          <w:tcPr>
            <w:shd w:fill="48485e" w:val="clear"/>
          </w:tcPr>
          <w:p w:rsidR="00000000" w:rsidDel="00000000" w:rsidP="00000000" w:rsidRDefault="00000000" w:rsidRPr="00000000" w14:paraId="00000005">
            <w:pPr>
              <w:pBdr>
                <w:top w:color="000000" w:space="3" w:sz="0" w:val="none"/>
                <w:left w:color="000000" w:space="3" w:sz="0" w:val="none"/>
                <w:bottom w:color="000000" w:space="3" w:sz="0" w:val="none"/>
                <w:right w:color="000000" w:space="3" w:sz="0" w:val="none"/>
                <w:between w:color="000000" w:space="3" w:sz="0" w:val="none"/>
              </w:pBdr>
              <w:tabs>
                <w:tab w:val="right" w:pos="2121"/>
              </w:tabs>
              <w:spacing w:line="360" w:lineRule="auto"/>
              <w:rPr>
                <w:rFonts w:ascii="Roboto" w:cs="Roboto" w:eastAsia="Roboto" w:hAnsi="Roboto"/>
                <w:b w:val="1"/>
                <w:color w:val="48485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8485e" w:val="clear"/>
          </w:tcPr>
          <w:p w:rsidR="00000000" w:rsidDel="00000000" w:rsidP="00000000" w:rsidRDefault="00000000" w:rsidRPr="00000000" w14:paraId="00000006">
            <w:pPr>
              <w:pBdr>
                <w:top w:color="000000" w:space="3" w:sz="0" w:val="none"/>
                <w:left w:color="000000" w:space="3" w:sz="0" w:val="none"/>
                <w:bottom w:color="000000" w:space="3" w:sz="0" w:val="none"/>
                <w:right w:color="000000" w:space="3" w:sz="0" w:val="none"/>
                <w:between w:color="000000" w:space="3" w:sz="0" w:val="none"/>
              </w:pBdr>
              <w:spacing w:line="360" w:lineRule="auto"/>
              <w:rPr>
                <w:rFonts w:ascii="Roboto" w:cs="Roboto" w:eastAsia="Roboto" w:hAnsi="Roboto"/>
                <w:b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rtl w:val="0"/>
              </w:rPr>
              <w:t xml:space="preserve">Meets Expectations</w:t>
            </w:r>
          </w:p>
        </w:tc>
      </w:tr>
      <w:tr>
        <w:trPr>
          <w:trHeight w:val="400" w:hRule="atLeast"/>
        </w:trPr>
        <w:tc>
          <w:tcPr/>
          <w:p w:rsidR="00000000" w:rsidDel="00000000" w:rsidP="00000000" w:rsidRDefault="00000000" w:rsidRPr="00000000" w14:paraId="00000007">
            <w:pPr>
              <w:pBdr>
                <w:top w:color="000000" w:space="2" w:sz="0" w:val="none"/>
                <w:left w:color="000000" w:space="2" w:sz="0" w:val="none"/>
                <w:bottom w:color="000000" w:space="2" w:sz="0" w:val="none"/>
                <w:right w:color="000000" w:space="2" w:sz="0" w:val="none"/>
              </w:pBd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All three (3) areas of investigation have been completed covering the following:</w:t>
            </w:r>
          </w:p>
          <w:p w:rsidR="00000000" w:rsidDel="00000000" w:rsidP="00000000" w:rsidRDefault="00000000" w:rsidRPr="00000000" w14:paraId="00000009">
            <w:pPr>
              <w:numPr>
                <w:ilvl w:val="1"/>
                <w:numId w:val="3"/>
              </w:numPr>
              <w:spacing w:line="360" w:lineRule="auto"/>
              <w:ind w:left="144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Customer Strategy</w:t>
            </w:r>
          </w:p>
          <w:p w:rsidR="00000000" w:rsidDel="00000000" w:rsidP="00000000" w:rsidRDefault="00000000" w:rsidRPr="00000000" w14:paraId="0000000A">
            <w:pPr>
              <w:numPr>
                <w:ilvl w:val="1"/>
                <w:numId w:val="3"/>
              </w:numPr>
              <w:spacing w:line="360" w:lineRule="auto"/>
              <w:ind w:left="144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Market Opportunities</w:t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3"/>
              </w:numPr>
              <w:spacing w:line="360" w:lineRule="auto"/>
              <w:ind w:left="144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Product Divestment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Analysis has been completed in either Tableau or Power BI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Each area of investigation is clearly labeled in the worksheet (Students are able to combine multiple questions and address this in one ‘Dashboard’ or in multiple worksheets)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Overall presentation is no more than ‘9’ Slides / Worksheets in total </w:t>
            </w:r>
          </w:p>
        </w:tc>
      </w:tr>
      <w:tr>
        <w:tc>
          <w:tcPr/>
          <w:p w:rsidR="00000000" w:rsidDel="00000000" w:rsidP="00000000" w:rsidRDefault="00000000" w:rsidRPr="00000000" w14:paraId="0000000F">
            <w:pPr>
              <w:pBdr>
                <w:top w:color="000000" w:space="2" w:sz="0" w:val="none"/>
                <w:left w:color="000000" w:space="2" w:sz="0" w:val="none"/>
                <w:bottom w:color="000000" w:space="2" w:sz="0" w:val="none"/>
                <w:right w:color="000000" w:space="2" w:sz="0" w:val="none"/>
              </w:pBd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Process &amp; Understanding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Students are able to use Tableau or PowerBI effectively to analyze data and understand how to use certain visualizations to demonstrate  key points (i.e. showing Zip-codes on a Geomap in Tableau to highlight customer density)</w:t>
            </w:r>
          </w:p>
        </w:tc>
      </w:tr>
      <w:tr>
        <w:trPr>
          <w:trHeight w:val="680" w:hRule="atLeast"/>
        </w:trPr>
        <w:tc>
          <w:tcPr/>
          <w:p w:rsidR="00000000" w:rsidDel="00000000" w:rsidP="00000000" w:rsidRDefault="00000000" w:rsidRPr="00000000" w14:paraId="00000011">
            <w:pPr>
              <w:pBdr>
                <w:top w:color="000000" w:space="2" w:sz="0" w:val="none"/>
                <w:left w:color="000000" w:space="2" w:sz="0" w:val="none"/>
                <w:bottom w:color="000000" w:space="2" w:sz="0" w:val="none"/>
                <w:right w:color="000000" w:space="2" w:sz="0" w:val="none"/>
              </w:pBdr>
              <w:spacing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Presentation</w:t>
            </w:r>
          </w:p>
        </w:tc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pBdr>
                <w:top w:color="000000" w:space="2" w:sz="0" w:val="none"/>
                <w:left w:color="000000" w:space="2" w:sz="0" w:val="none"/>
                <w:bottom w:color="000000" w:space="2" w:sz="0" w:val="none"/>
                <w:right w:color="000000" w:space="2" w:sz="0" w:val="none"/>
              </w:pBdr>
              <w:spacing w:line="360" w:lineRule="auto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The analysis is submitted as a Tableau Presentation or PowerBI Presentation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pBdr>
                <w:top w:color="000000" w:space="2" w:sz="0" w:val="none"/>
                <w:left w:color="000000" w:space="2" w:sz="0" w:val="none"/>
                <w:bottom w:color="000000" w:space="2" w:sz="0" w:val="none"/>
                <w:right w:color="000000" w:space="2" w:sz="0" w:val="none"/>
              </w:pBdr>
              <w:spacing w:line="360" w:lineRule="auto"/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Presentation clearly answers each of the key questions that have been asked by Amelia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pBdr>
                <w:top w:color="000000" w:space="2" w:sz="0" w:val="none"/>
                <w:left w:color="000000" w:space="2" w:sz="0" w:val="none"/>
                <w:bottom w:color="000000" w:space="2" w:sz="0" w:val="none"/>
                <w:right w:color="000000" w:space="2" w:sz="0" w:val="none"/>
              </w:pBdr>
              <w:spacing w:line="360" w:lineRule="auto"/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heading=h.vpx0d9ady8rf" w:id="1"/>
            <w:bookmarkEnd w:id="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Each of the associated graphics/charts have a clear headline</w:t>
            </w:r>
          </w:p>
        </w:tc>
      </w:tr>
    </w:tbl>
    <w:p w:rsidR="00000000" w:rsidDel="00000000" w:rsidP="00000000" w:rsidRDefault="00000000" w:rsidRPr="00000000" w14:paraId="00000015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tabs>
        <w:tab w:val="center" w:pos="4680"/>
        <w:tab w:val="right" w:pos="9360"/>
      </w:tabs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-114295</wp:posOffset>
          </wp:positionH>
          <wp:positionV relativeFrom="paragraph">
            <wp:posOffset>180975</wp:posOffset>
          </wp:positionV>
          <wp:extent cx="1662113" cy="378501"/>
          <wp:effectExtent b="0" l="0" r="0" t="0"/>
          <wp:wrapSquare wrapText="bothSides" distB="114300" distT="11430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2371" l="12019" r="11698" t="32692"/>
                  <a:stretch>
                    <a:fillRect/>
                  </a:stretch>
                </pic:blipFill>
                <pic:spPr>
                  <a:xfrm>
                    <a:off x="0" y="0"/>
                    <a:ext cx="1662113" cy="37850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color w:val="000000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color w:val="000000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/>
      <w:outlineLvl w:val="0"/>
    </w:pPr>
    <w:rPr>
      <w:b w:val="1"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  <w:outlineLvl w:val="1"/>
    </w:pPr>
    <w:rPr>
      <w:b w:val="1"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/>
      <w:outlineLvl w:val="2"/>
    </w:pPr>
    <w:rPr>
      <w:b w:val="1"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/>
      <w:outlineLvl w:val="3"/>
    </w:pPr>
    <w:rPr>
      <w:b w:val="1"/>
      <w:color w:val="000000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/>
      <w:outlineLvl w:val="4"/>
    </w:pPr>
    <w:rPr>
      <w:b w:val="1"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/>
      <w:outlineLvl w:val="5"/>
    </w:pPr>
    <w:rPr>
      <w:b w:val="1"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Horz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Horz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Horz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Horz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Horz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Horz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tblPr/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paragraph" w:styleId="Header">
    <w:name w:val="header"/>
    <w:basedOn w:val="Normal"/>
    <w:link w:val="HeaderChar"/>
    <w:uiPriority w:val="99"/>
    <w:unhideWhenUsed w:val="1"/>
    <w:rsid w:val="009429A5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429A5"/>
  </w:style>
  <w:style w:type="paragraph" w:styleId="Footer">
    <w:name w:val="footer"/>
    <w:basedOn w:val="Normal"/>
    <w:link w:val="FooterChar"/>
    <w:uiPriority w:val="99"/>
    <w:unhideWhenUsed w:val="1"/>
    <w:rsid w:val="009429A5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429A5"/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1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Horz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band2Vert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fir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Co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lastRow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nw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eCell">
      <w:tcPr>
        <w:tcMar>
          <w:top w:w="0.0" w:type="dxa"/>
          <w:left w:w="115.0" w:type="dxa"/>
          <w:bottom w:w="0.0" w:type="dxa"/>
          <w:right w:w="115.0" w:type="dxa"/>
        </w:tcMar>
      </w:tcPr>
    </w:tblStylePr>
    <w:tblStylePr w:type="swCell">
      <w:tcPr>
        <w:tcMar>
          <w:top w:w="0.0" w:type="dxa"/>
          <w:left w:w="115.0" w:type="dxa"/>
          <w:bottom w:w="0.0" w:type="dxa"/>
          <w:right w:w="115.0" w:type="dxa"/>
        </w:tcMar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K2cdQRXNMBHS+lrC2eDflKtU0A==">AMUW2mXlvAIV0iPG/qDi2DgGsoOmHiAtgmJGHxLSzErYdyHGKd1Vt9TrW3RBZ2z+G0Vgrt3hNNhemaD/FmGq+KUqLrrGPsJ6gXcqKSSMKuN4VWp/kz6Nlu5GSK4C88YR9Nyxz8ZlZQlQiIofXstxq+8qqP612pgssQ==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2019-07-26T01:37:00Z</dcterms:created>
  <dc:creator>Hui, Chris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7c7b3fc-4128-41ae-86b4-e4b1b1ae5e15_Enabled">
    <vt:lpwstr>True</vt:lpwstr>
  </property>
  <property fmtid="{D5CDD505-2E9C-101B-9397-08002B2CF9AE}" pid="3" name="MSIP_Label_97c7b3fc-4128-41ae-86b4-e4b1b1ae5e15_SiteId">
    <vt:lpwstr>97160e56-eb00-44fe-b31d-0d6d351c636d</vt:lpwstr>
  </property>
  <property fmtid="{D5CDD505-2E9C-101B-9397-08002B2CF9AE}" pid="4" name="MSIP_Label_97c7b3fc-4128-41ae-86b4-e4b1b1ae5e15_Owner">
    <vt:lpwstr>Chris.Hui@origin.com.au</vt:lpwstr>
  </property>
  <property fmtid="{D5CDD505-2E9C-101B-9397-08002B2CF9AE}" pid="5" name="MSIP_Label_97c7b3fc-4128-41ae-86b4-e4b1b1ae5e15_SetDate">
    <vt:lpwstr>2019-05-20T22:31:00.8051316Z</vt:lpwstr>
  </property>
  <property fmtid="{D5CDD505-2E9C-101B-9397-08002B2CF9AE}" pid="6" name="MSIP_Label_97c7b3fc-4128-41ae-86b4-e4b1b1ae5e15_Name">
    <vt:lpwstr>General</vt:lpwstr>
  </property>
  <property fmtid="{D5CDD505-2E9C-101B-9397-08002B2CF9AE}" pid="7" name="MSIP_Label_97c7b3fc-4128-41ae-86b4-e4b1b1ae5e15_Application">
    <vt:lpwstr>Microsoft Azure Information Protection</vt:lpwstr>
  </property>
  <property fmtid="{D5CDD505-2E9C-101B-9397-08002B2CF9AE}" pid="8" name="MSIP_Label_97c7b3fc-4128-41ae-86b4-e4b1b1ae5e15_Extended_MSFT_Method">
    <vt:lpwstr>Automatic</vt:lpwstr>
  </property>
  <property fmtid="{D5CDD505-2E9C-101B-9397-08002B2CF9AE}" pid="9" name="Sensitivity">
    <vt:lpwstr>General</vt:lpwstr>
  </property>
</Properties>
</file>