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7786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ECCV 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本文主要研究了语义分割网络中的高级和低级特征的融合效率，像Unet，</w:t>
      </w:r>
      <w:r>
        <w:t>当特征层级或空间分辨率存在较大差距时，特征的融合效率较低</w:t>
      </w:r>
      <w:r>
        <w:rPr>
          <w:rFonts w:hint="eastAsia"/>
          <w:lang w:eastAsia="zh-CN"/>
        </w:rPr>
        <w:t>。文章</w:t>
      </w:r>
      <w:r>
        <w:t>提出了几种特征融合方式</w:t>
      </w:r>
      <w:r>
        <w:rPr>
          <w:rFonts w:hint="eastAsia"/>
          <w:lang w:eastAsia="zh-CN"/>
        </w:rPr>
        <w:t>，为了提高低级特征的语义信息，在高级特征中嵌入更多空间信息。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低级特征中引入更多语义信息：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layer rearrangement：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ResNeXt网络结构中，各级的网络包含的残差单元个数为{3,4,23,3}。为了提高底层特征的语义性，让低层的两级网络拥有的层数更多。因此将残差单元个数重排为{8,8,9,8}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。mIoU提升0.8%。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semantic supervision：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多层语义监督是指把辅助监督直接指派到编码器的早期阶段，它主要专注于完善低级特征的质量，而不是提升模型本身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mIoU提升1.1%。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semantic embedding branch：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特征中包含更多的语义信息来指导分辨率融合。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mIoU提升0.7%。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drawing>
          <wp:inline distT="0" distB="0" distL="114300" distR="114300">
            <wp:extent cx="1940560" cy="139827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在高级特征中嵌入更多空间信息：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32"/>
          <w:lang w:val="en-US" w:eastAsia="zh-CN"/>
        </w:rPr>
        <w:t>Explicit Channel Resolution Embedding：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文中分析了转置卷积加辅助损失性能没有提升的原因：辅助损失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是将高分辨率信息显式地嵌入到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特征图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通道中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转置卷积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包含权值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嵌入变得隐式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使用Sub-pixel Upsample与转置卷积，加上辅助损失可以解决这个问题。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mIoU提升0.5%。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3843020" cy="1678940"/>
            <wp:effectExtent l="0" t="0" r="50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32"/>
          <w:lang w:val="en-US" w:eastAsia="zh-CN"/>
        </w:rPr>
        <w:t>Densely Adjacent Prediction：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将空间信息编码到通道中，用在最后预测阶段，让每个位置的预测取决于周围邻域。作用域看k*k,先扩展通道到K*K倍,然后将每一组中的邻域特征平均。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91230" cy="1858645"/>
            <wp:effectExtent l="0" t="0" r="139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20995" cy="317563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FD4BB"/>
    <w:rsid w:val="F8FFD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2020-03-22T19:04:00Z</dcterms:created>
  <dc:creator>blue-blue。</dc:creator>
  <cp:lastModifiedBy>blue-blue。</cp:lastModifiedBy>
  <dcterms:modified xsi:type="dcterms:W3CDTF">2020-03-22T20:19:55Z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