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Mincho" w:cs="Yu Mincho" w:eastAsia="Yu Mincho" w:hAnsi="Yu Mincho"/>
          <w:b/>
          <w:bCs/>
          <w:sz w:val="30"/>
          <w:szCs w:val="30"/>
        </w:rPr>
        <w:t xml:space="preserve">融資申込前チェックリスト</w:t>
      </w:r>
    </w:p>
    <w:p>
      <w:pPr>
        <w:spacing w:after="160"/>
        <w:jc w:val="center"/>
      </w:pPr>
      <w:r>
        <w:rPr>
          <w:rFonts w:ascii="Yu Mincho" w:cs="Yu Mincho" w:eastAsia="Yu Mincho" w:hAnsi="Yu Mincho"/>
          <w:sz w:val="17"/>
          <w:szCs w:val="17"/>
        </w:rPr>
        <w:t xml:space="preserve">プレ・ラグーナ（岐阜県瑞浪市南小田町4-110）／滋賀銀行（セゾン保証）申込前確認用</w:t>
      </w:r>
    </w:p>
    <w:p>
      <w:pPr>
        <w:tabs>
          <w:tab w:val="right" w:pos="9026"/>
        </w:tabs>
        <w:spacing w:after="160"/>
      </w:pPr>
      <w:r>
        <w:rPr>
          <w:rFonts w:ascii="Yu Mincho" w:cs="Yu Mincho" w:eastAsia="Yu Mincho" w:hAnsi="Yu Mincho"/>
          <w:sz w:val="17"/>
          <w:szCs w:val="17"/>
        </w:rPr>
        <w:t xml:space="preserve">作成日：2026年7月12日</w:t>
      </w:r>
      <w:r>
        <w:rPr>
          <w:rFonts w:ascii="Yu Mincho" w:cs="Yu Mincho" w:eastAsia="Yu Mincho" w:hAnsi="Yu Mincho"/>
          <w:sz w:val="17"/>
          <w:szCs w:val="17"/>
        </w:rPr>
        <w:t xml:space="preserve">	申込予定先：滋賀銀行（セゾン保証）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700"/>
        <w:gridCol w:w="5760"/>
        <w:gridCol w:w="500"/>
      </w:tblGrid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18"/>
                <w:szCs w:val="18"/>
              </w:rPr>
              <w:t xml:space="preserve">済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18"/>
                <w:szCs w:val="18"/>
              </w:rPr>
              <w:t xml:space="preserve">懸案内容・確認事項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資金使途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C00000"/>
                <w:sz w:val="17"/>
                <w:szCs w:val="17"/>
              </w:rPr>
              <w:t xml:space="preserve">無担保枠1,200万のうち250万を「覚書で後日キャッシュバック」する構図。売主からの価格水増し還流であれば資金使途違反・一括返済請求リスク。誰が・どの名目で返すのか要明確化。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融資期間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完済年齢満81歳ルール。現在51歳(4/21生)→30年が原則。31年だと完済82歳で上限超過の可能性。申込時に確定要。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金利・優遇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比較検討時は2.6%前提だったが、売主CF表はアパート2.8%・無担保3.25%(優遇・団信未加味)。実行金利・優遇幅を要確認。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団体信用生命保険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31年(完済82歳)だと一般団信の年齢上限に抵触の恐れ。ワイド団信/上乗せ/無団信の選択肢と健康告知を確認。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返済比率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無担保分を含めた実際の返済比率は約53.9%(満室)。運転資金250万分を除いても約50.8%。想定より重い。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無担保枠の余力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属性枠1,200万を全消化するため、次物件・急な資金需要への無担保余力がゼロになる。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諸費用の内訳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140万円(火災保険35万含む)の内訳確認。登記・司法書士・ローン事務手数料・保証料。不動産取得税(後日課税)が含まれるか要確認。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物件固有リスク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用途地域=工業地域。土地積算34.9%で担保評価が弱い。瑞浪駅徒歩31分の車前提エリア。長期空室・賃料下落リスク。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7"/>
                <w:szCs w:val="17"/>
              </w:rPr>
              <w:t xml:space="preserve">金融機関の対応エリア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>滋賀銀行が岐阜県瑞浪市・遠隔地居住者に対応可能か(営業エリア・団体扱い)を確認。</w:t>
            </w:r>
          </w:p>
        </w:tc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Yu Mincho" w:cs="Yu Mincho" w:eastAsia="Yu Mincho" w:hAnsi="Yu Mincho"/>
          <w:sz w:val="8"/>
          <w:szCs w:val="8"/>
        </w:rPr>
        <w:t xml:space="preserve"/>
      </w:r>
    </w:p>
    <w:p>
      <w:pPr>
        <w:spacing w:after="0"/>
      </w:pPr>
      <w:r>
        <w:rPr>
          <w:rFonts w:ascii="Yu Mincho" w:cs="Yu Mincho" w:eastAsia="Yu Mincho" w:hAnsi="Yu Mincho"/>
          <w:sz w:val="14"/>
          <w:szCs w:val="14"/>
        </w:rPr>
        <w:t xml:space="preserve">※本チェックリストは投資判断・法令適合を保証するものではありません。最終確認は金融機関・専門家(税理士・司法書士等)にご相談ください。</w:t>
      </w:r>
    </w:p>
    <w:sectPr>
      <w:pgSz w:w="11906" w:h="16838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2026-07-12T12:42:03.221Z</dcterms:created>
  <dcterms:modified xsi:type="dcterms:W3CDTF">2026-07-12T12:42:03.221Z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