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030" w:rsidRDefault="00AB2C75" w:rsidP="00AB2C75">
      <w:pPr>
        <w:pStyle w:val="a3"/>
        <w:numPr>
          <w:ilvl w:val="0"/>
          <w:numId w:val="1"/>
        </w:numPr>
        <w:ind w:firstLineChars="0"/>
        <w:rPr>
          <w:rFonts w:hint="eastAsia"/>
        </w:rPr>
      </w:pPr>
      <w:r>
        <w:rPr>
          <w:rFonts w:hint="eastAsia"/>
        </w:rPr>
        <w:t>人眼光视效率</w:t>
      </w:r>
    </w:p>
    <w:p w:rsidR="00AB2C75" w:rsidRDefault="00AB2C75" w:rsidP="00A93475">
      <w:pPr>
        <w:ind w:left="360"/>
        <w:rPr>
          <w:rStyle w:val="mi"/>
          <w:rFonts w:ascii="MathJax_Math-italic" w:hAnsi="MathJax_Math-italic" w:hint="eastAsia"/>
          <w:color w:val="3F3F3F"/>
          <w:sz w:val="28"/>
          <w:szCs w:val="28"/>
          <w:bdr w:val="none" w:sz="0" w:space="0" w:color="auto" w:frame="1"/>
          <w:shd w:val="clear" w:color="auto" w:fill="F6F6F6"/>
        </w:rPr>
      </w:pPr>
      <w:r>
        <w:rPr>
          <w:rFonts w:hint="eastAsia"/>
        </w:rPr>
        <w:t>定义正常人眼的明视觉光谱光视效率</w:t>
      </w:r>
      <w:r w:rsidR="00766038">
        <w:rPr>
          <w:rFonts w:hint="eastAsia"/>
        </w:rPr>
        <w:t>为</w:t>
      </w:r>
      <w:r w:rsidR="00766038">
        <w:rPr>
          <w:rFonts w:hint="eastAsia"/>
        </w:rPr>
        <w:t>:</w:t>
      </w:r>
    </w:p>
    <w:p w:rsidR="00766038" w:rsidRDefault="00766038" w:rsidP="00766038">
      <w:pPr>
        <w:ind w:left="360"/>
        <w:sectPr w:rsidR="00766038" w:rsidSect="006F1030">
          <w:pgSz w:w="11906" w:h="16838"/>
          <w:pgMar w:top="1440" w:right="1800" w:bottom="1440" w:left="1800" w:header="851" w:footer="992" w:gutter="0"/>
          <w:cols w:space="425"/>
          <w:docGrid w:type="lines" w:linePitch="312"/>
        </w:sectPr>
      </w:pPr>
      <w:r>
        <w:rPr>
          <w:rFonts w:hint="eastAsia"/>
        </w:rPr>
        <w:t>把波长</w:t>
      </w:r>
      <w:r>
        <w:rPr>
          <w:rFonts w:hint="eastAsia"/>
        </w:rPr>
        <w:t>555nm</w:t>
      </w:r>
      <w:r>
        <w:rPr>
          <w:rFonts w:hint="eastAsia"/>
        </w:rPr>
        <w:t>的光谱辐亮度</w:t>
      </w:r>
      <w:r w:rsidRPr="00766038">
        <w:rPr>
          <w:rFonts w:hint="eastAsia"/>
        </w:rPr>
        <w:t>L</w:t>
      </w:r>
      <w:r w:rsidRPr="00766038">
        <w:rPr>
          <w:rFonts w:hint="eastAsia"/>
        </w:rPr>
        <w:t>与其他波长的光谱</w:t>
      </w:r>
      <w:r>
        <w:rPr>
          <w:rFonts w:hint="eastAsia"/>
        </w:rPr>
        <w:t>辐亮度相除所得的商</w:t>
      </w:r>
    </w:p>
    <w:p w:rsidR="00766038" w:rsidRDefault="00766038" w:rsidP="00A93475">
      <w:pPr>
        <w:ind w:left="360"/>
        <w:sectPr w:rsidR="00766038" w:rsidSect="00766038">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extent cx="1181100" cy="485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766038" w:rsidRDefault="00766038" w:rsidP="00A93475">
      <w:pPr>
        <w:ind w:left="360"/>
        <w:rPr>
          <w:rFonts w:hint="eastAsia"/>
        </w:rPr>
      </w:pPr>
      <w:r>
        <w:rPr>
          <w:rFonts w:hint="eastAsia"/>
        </w:rPr>
        <w:lastRenderedPageBreak/>
        <w:t>其中</w:t>
      </w:r>
      <w:r>
        <w:rPr>
          <w:rStyle w:val="mi"/>
          <w:rFonts w:ascii="MathJax_Math-italic" w:hAnsi="MathJax_Math-italic"/>
          <w:color w:val="3F3F3F"/>
          <w:sz w:val="18"/>
          <w:szCs w:val="18"/>
          <w:bdr w:val="none" w:sz="0" w:space="0" w:color="auto" w:frame="1"/>
          <w:shd w:val="clear" w:color="auto" w:fill="F6F6F6"/>
        </w:rPr>
        <w:t>λmax</w:t>
      </w:r>
      <w:r>
        <w:rPr>
          <w:rStyle w:val="mi"/>
          <w:rFonts w:ascii="MathJax_Math-italic" w:hAnsi="MathJax_Math-italic" w:hint="eastAsia"/>
          <w:color w:val="3F3F3F"/>
          <w:sz w:val="18"/>
          <w:szCs w:val="18"/>
          <w:bdr w:val="none" w:sz="0" w:space="0" w:color="auto" w:frame="1"/>
          <w:shd w:val="clear" w:color="auto" w:fill="F6F6F6"/>
        </w:rPr>
        <w:t>为</w:t>
      </w:r>
      <w:r>
        <w:rPr>
          <w:rStyle w:val="mi"/>
          <w:rFonts w:ascii="MathJax_Math-italic" w:hAnsi="MathJax_Math-italic" w:hint="eastAsia"/>
          <w:color w:val="3F3F3F"/>
          <w:sz w:val="18"/>
          <w:szCs w:val="18"/>
          <w:bdr w:val="none" w:sz="0" w:space="0" w:color="auto" w:frame="1"/>
          <w:shd w:val="clear" w:color="auto" w:fill="F6F6F6"/>
        </w:rPr>
        <w:t>555nm</w:t>
      </w:r>
    </w:p>
    <w:p w:rsidR="00766038" w:rsidRDefault="00766038" w:rsidP="00A93475">
      <w:pPr>
        <w:ind w:left="360"/>
        <w:rPr>
          <w:rFonts w:hint="eastAsia"/>
        </w:rPr>
      </w:pPr>
      <w:r>
        <w:rPr>
          <w:rFonts w:hint="eastAsia"/>
        </w:rPr>
        <w:t>暗视觉光谱光视效率为：</w:t>
      </w:r>
    </w:p>
    <w:p w:rsidR="00766038" w:rsidRDefault="00247C9A" w:rsidP="00A93475">
      <w:pPr>
        <w:ind w:left="360"/>
        <w:rPr>
          <w:rFonts w:hint="eastAsia"/>
        </w:rPr>
      </w:pPr>
      <w:r>
        <w:rPr>
          <w:rFonts w:hint="eastAsia"/>
          <w:noProof/>
        </w:rPr>
        <w:drawing>
          <wp:inline distT="0" distB="0" distL="0" distR="0">
            <wp:extent cx="1295400" cy="4762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0" cy="476250"/>
                    </a:xfrm>
                    <a:prstGeom prst="rect">
                      <a:avLst/>
                    </a:prstGeom>
                    <a:noFill/>
                    <a:ln w="9525">
                      <a:noFill/>
                      <a:miter lim="800000"/>
                      <a:headEnd/>
                      <a:tailEnd/>
                    </a:ln>
                  </pic:spPr>
                </pic:pic>
              </a:graphicData>
            </a:graphic>
          </wp:inline>
        </w:drawing>
      </w:r>
    </w:p>
    <w:p w:rsidR="005F24AA" w:rsidRDefault="00CB515B" w:rsidP="004975E5">
      <w:pPr>
        <w:pStyle w:val="a3"/>
        <w:numPr>
          <w:ilvl w:val="0"/>
          <w:numId w:val="1"/>
        </w:numPr>
        <w:ind w:firstLineChars="0"/>
        <w:rPr>
          <w:rFonts w:hint="eastAsia"/>
        </w:rPr>
      </w:pPr>
      <w:r>
        <w:rPr>
          <w:rFonts w:hint="eastAsia"/>
        </w:rPr>
        <w:t>2856K</w:t>
      </w:r>
      <w:r>
        <w:rPr>
          <w:rFonts w:hint="eastAsia"/>
        </w:rPr>
        <w:t>标准钨丝白炽灯光是效能</w:t>
      </w:r>
    </w:p>
    <w:p w:rsidR="009550E0" w:rsidRDefault="00CB515B" w:rsidP="005F24AA">
      <w:pPr>
        <w:pStyle w:val="a3"/>
        <w:ind w:left="360" w:firstLineChars="0" w:firstLine="0"/>
        <w:rPr>
          <w:rFonts w:hint="eastAsia"/>
        </w:rPr>
      </w:pPr>
      <w:r>
        <w:rPr>
          <w:rFonts w:hint="eastAsia"/>
          <w:noProof/>
        </w:rPr>
        <w:drawing>
          <wp:inline distT="0" distB="0" distL="0" distR="0">
            <wp:extent cx="2095500" cy="4572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464C69" w:rsidRDefault="00CB515B" w:rsidP="00464C69">
      <w:pPr>
        <w:pStyle w:val="a3"/>
        <w:numPr>
          <w:ilvl w:val="0"/>
          <w:numId w:val="1"/>
        </w:numPr>
        <w:ind w:firstLineChars="0"/>
        <w:rPr>
          <w:rFonts w:hint="eastAsia"/>
        </w:rPr>
      </w:pPr>
      <w:r>
        <w:rPr>
          <w:rFonts w:hint="eastAsia"/>
        </w:rPr>
        <w:t>辐射体的温度越高，它的可见光成分越多，光视效能越高，光亮度也越高，标准钨丝白炽灯的供电电压降低时，灯丝温度降低，可见光光谱成分减弱，光视效能降低，用照度计检测光照度时，照度将显著下降。</w:t>
      </w:r>
    </w:p>
    <w:p w:rsidR="00464C69" w:rsidRDefault="004975E5" w:rsidP="00464C69">
      <w:pPr>
        <w:pStyle w:val="a3"/>
        <w:numPr>
          <w:ilvl w:val="0"/>
          <w:numId w:val="1"/>
        </w:numPr>
        <w:ind w:firstLineChars="0"/>
        <w:rPr>
          <w:rFonts w:hint="eastAsia"/>
        </w:rPr>
      </w:pPr>
      <w:r>
        <w:rPr>
          <w:rFonts w:hint="eastAsia"/>
        </w:rPr>
        <w:t>半导体对光的吸收</w:t>
      </w:r>
      <w:r>
        <w:rPr>
          <w:rFonts w:hint="eastAsia"/>
        </w:rPr>
        <w:t xml:space="preserve"> </w:t>
      </w:r>
      <w:r w:rsidRPr="00A96051">
        <w:rPr>
          <w:rFonts w:hint="eastAsia"/>
          <w:b/>
        </w:rPr>
        <w:t>本征吸收</w:t>
      </w:r>
      <w:r>
        <w:rPr>
          <w:rFonts w:hint="eastAsia"/>
        </w:rPr>
        <w:t>，</w:t>
      </w:r>
      <w:r w:rsidRPr="00A96051">
        <w:rPr>
          <w:rFonts w:hint="eastAsia"/>
          <w:b/>
        </w:rPr>
        <w:t>杂质吸收</w:t>
      </w:r>
      <w:r>
        <w:rPr>
          <w:rFonts w:hint="eastAsia"/>
        </w:rPr>
        <w:t>，</w:t>
      </w:r>
      <w:r w:rsidRPr="00A96051">
        <w:rPr>
          <w:rFonts w:hint="eastAsia"/>
          <w:b/>
        </w:rPr>
        <w:t>激子吸收</w:t>
      </w:r>
      <w:r>
        <w:rPr>
          <w:rFonts w:hint="eastAsia"/>
        </w:rPr>
        <w:t>，</w:t>
      </w:r>
      <w:r w:rsidRPr="00A96051">
        <w:rPr>
          <w:rFonts w:hint="eastAsia"/>
          <w:b/>
        </w:rPr>
        <w:t>自由载流子吸收</w:t>
      </w:r>
      <w:r>
        <w:rPr>
          <w:rFonts w:hint="eastAsia"/>
        </w:rPr>
        <w:t>，</w:t>
      </w:r>
      <w:r w:rsidRPr="00A96051">
        <w:rPr>
          <w:rFonts w:hint="eastAsia"/>
          <w:b/>
        </w:rPr>
        <w:t>晶格吸收</w:t>
      </w:r>
      <w:r>
        <w:rPr>
          <w:rFonts w:hint="eastAsia"/>
        </w:rPr>
        <w:t>。</w:t>
      </w:r>
    </w:p>
    <w:p w:rsidR="005F24AA" w:rsidRDefault="005F24AA" w:rsidP="005F24AA">
      <w:pPr>
        <w:pStyle w:val="a3"/>
        <w:ind w:left="360" w:firstLineChars="0" w:firstLine="0"/>
        <w:rPr>
          <w:rFonts w:hint="eastAsia"/>
        </w:rPr>
      </w:pPr>
      <w:r>
        <w:rPr>
          <w:rFonts w:hint="eastAsia"/>
        </w:rPr>
        <w:t>本征吸收的长波限：</w:t>
      </w:r>
      <w:r w:rsidR="00577B00">
        <w:rPr>
          <w:rFonts w:hint="eastAsia"/>
        </w:rPr>
        <w:t>Eg</w:t>
      </w:r>
      <w:r w:rsidR="00577B00">
        <w:rPr>
          <w:rFonts w:hint="eastAsia"/>
        </w:rPr>
        <w:t>为带隙宽度</w:t>
      </w:r>
      <w:r w:rsidR="00280DD2">
        <w:rPr>
          <w:rFonts w:hint="eastAsia"/>
        </w:rPr>
        <w:t>。</w:t>
      </w:r>
    </w:p>
    <w:p w:rsidR="005F24AA" w:rsidRDefault="005F24AA" w:rsidP="005F24AA">
      <w:pPr>
        <w:pStyle w:val="a3"/>
        <w:ind w:left="360" w:firstLineChars="0" w:firstLine="0"/>
        <w:rPr>
          <w:rFonts w:hint="eastAsia"/>
        </w:rPr>
      </w:pPr>
      <w:r>
        <w:rPr>
          <w:rFonts w:hint="eastAsia"/>
          <w:noProof/>
        </w:rPr>
        <w:drawing>
          <wp:inline distT="0" distB="0" distL="0" distR="0">
            <wp:extent cx="971550" cy="47625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71550" cy="476250"/>
                    </a:xfrm>
                    <a:prstGeom prst="rect">
                      <a:avLst/>
                    </a:prstGeom>
                    <a:noFill/>
                    <a:ln w="9525">
                      <a:noFill/>
                      <a:miter lim="800000"/>
                      <a:headEnd/>
                      <a:tailEnd/>
                    </a:ln>
                  </pic:spPr>
                </pic:pic>
              </a:graphicData>
            </a:graphic>
          </wp:inline>
        </w:drawing>
      </w:r>
    </w:p>
    <w:p w:rsidR="00464C69" w:rsidRDefault="00196CFC" w:rsidP="00464C69">
      <w:pPr>
        <w:pStyle w:val="a3"/>
        <w:numPr>
          <w:ilvl w:val="0"/>
          <w:numId w:val="1"/>
        </w:numPr>
        <w:ind w:firstLineChars="0"/>
        <w:rPr>
          <w:rFonts w:hint="eastAsia"/>
        </w:rPr>
      </w:pPr>
      <w:r>
        <w:rPr>
          <w:rFonts w:hint="eastAsia"/>
        </w:rPr>
        <w:t>光电效应分为</w:t>
      </w:r>
      <w:r>
        <w:rPr>
          <w:rFonts w:hint="eastAsia"/>
        </w:rPr>
        <w:t xml:space="preserve"> </w:t>
      </w:r>
      <w:r w:rsidRPr="00196CFC">
        <w:rPr>
          <w:rFonts w:hint="eastAsia"/>
          <w:b/>
        </w:rPr>
        <w:t>内光电效应</w:t>
      </w:r>
      <w:r w:rsidR="00CD6395">
        <w:rPr>
          <w:rFonts w:hint="eastAsia"/>
          <w:b/>
        </w:rPr>
        <w:t>，</w:t>
      </w:r>
      <w:r w:rsidRPr="00196CFC">
        <w:rPr>
          <w:rFonts w:hint="eastAsia"/>
          <w:b/>
        </w:rPr>
        <w:t>外光电效应</w:t>
      </w:r>
      <w:r w:rsidR="00BC4F45">
        <w:rPr>
          <w:rFonts w:hint="eastAsia"/>
          <w:b/>
        </w:rPr>
        <w:t>，</w:t>
      </w:r>
      <w:r w:rsidR="00BC4F45">
        <w:rPr>
          <w:rFonts w:hint="eastAsia"/>
        </w:rPr>
        <w:t>内光电效应是被光激发所产生的载流子（自由电子或空穴）仍在物质内部运动，使物质的电导率发生变化或产生光生伏特的现象。</w:t>
      </w:r>
      <w:r w:rsidR="00155DD7">
        <w:rPr>
          <w:rFonts w:hint="eastAsia"/>
        </w:rPr>
        <w:t>而被光激发产生的电子逸出物质表面形成真空中电子的现象称为外光电效应。</w:t>
      </w:r>
    </w:p>
    <w:p w:rsidR="00464C69" w:rsidRDefault="000671AE" w:rsidP="00464C69">
      <w:pPr>
        <w:pStyle w:val="a3"/>
        <w:numPr>
          <w:ilvl w:val="0"/>
          <w:numId w:val="1"/>
        </w:numPr>
        <w:ind w:firstLineChars="0"/>
        <w:rPr>
          <w:rFonts w:hint="eastAsia"/>
        </w:rPr>
      </w:pPr>
      <w:r>
        <w:rPr>
          <w:rFonts w:hint="eastAsia"/>
        </w:rPr>
        <w:t>内光电效应是半导体图像传感器的核心技术，外光电效应是真空摄像管，变相管，像增强器的核心技术。</w:t>
      </w:r>
      <w:r w:rsidR="00E30DCE">
        <w:rPr>
          <w:rFonts w:hint="eastAsia"/>
        </w:rPr>
        <w:t>也可以所光电效应是图像传感器的基础。</w:t>
      </w:r>
    </w:p>
    <w:p w:rsidR="002D76E5" w:rsidRDefault="006E23E8" w:rsidP="00247C9A">
      <w:pPr>
        <w:pStyle w:val="a3"/>
        <w:numPr>
          <w:ilvl w:val="0"/>
          <w:numId w:val="1"/>
        </w:numPr>
        <w:ind w:firstLineChars="0"/>
        <w:rPr>
          <w:rFonts w:hint="eastAsia"/>
        </w:rPr>
      </w:pPr>
      <w:r>
        <w:rPr>
          <w:rFonts w:hint="eastAsia"/>
        </w:rPr>
        <w:t>光电导效应常分为</w:t>
      </w:r>
      <w:r w:rsidRPr="00894DFE">
        <w:rPr>
          <w:rFonts w:hint="eastAsia"/>
          <w:b/>
        </w:rPr>
        <w:t>本征光电导效应</w:t>
      </w:r>
      <w:r>
        <w:rPr>
          <w:rFonts w:hint="eastAsia"/>
        </w:rPr>
        <w:t>与</w:t>
      </w:r>
      <w:r w:rsidRPr="00894DFE">
        <w:rPr>
          <w:rFonts w:hint="eastAsia"/>
          <w:b/>
        </w:rPr>
        <w:t>杂质光电导效应</w:t>
      </w:r>
      <w:r>
        <w:rPr>
          <w:rFonts w:hint="eastAsia"/>
        </w:rPr>
        <w:t>两种。</w:t>
      </w:r>
    </w:p>
    <w:p w:rsidR="0043300F" w:rsidRDefault="0043300F" w:rsidP="0043300F">
      <w:pPr>
        <w:pStyle w:val="a3"/>
        <w:rPr>
          <w:rFonts w:hint="eastAsia"/>
        </w:rPr>
      </w:pPr>
    </w:p>
    <w:p w:rsidR="0043300F" w:rsidRDefault="00F27702" w:rsidP="00247C9A">
      <w:pPr>
        <w:pStyle w:val="a3"/>
        <w:numPr>
          <w:ilvl w:val="0"/>
          <w:numId w:val="1"/>
        </w:numPr>
        <w:ind w:firstLineChars="0"/>
        <w:rPr>
          <w:rFonts w:hint="eastAsia"/>
        </w:rPr>
      </w:pPr>
      <w:r>
        <w:rPr>
          <w:rFonts w:hint="eastAsia"/>
        </w:rPr>
        <w:t>丹培效应</w:t>
      </w:r>
      <w:r>
        <w:rPr>
          <w:rFonts w:hint="eastAsia"/>
        </w:rPr>
        <w:t>:</w:t>
      </w:r>
      <w:r w:rsidRPr="00F27702">
        <w:rPr>
          <w:rFonts w:hint="eastAsia"/>
        </w:rPr>
        <w:t>当半导体光电器件受光照不均匀时，光照部分产生电子空穴对，载流子浓度比未受光照部分的大，出现了载流子浓度梯度，引起载流子扩散，如果电子比空穴扩散得快，导致光照部分带正电，未照部分带负电，从而产生电动势，即为侧向光电效应。</w:t>
      </w:r>
    </w:p>
    <w:p w:rsidR="0043300F" w:rsidRDefault="0043300F" w:rsidP="0043300F">
      <w:pPr>
        <w:pStyle w:val="a3"/>
        <w:rPr>
          <w:rFonts w:hint="eastAsia"/>
        </w:rPr>
      </w:pPr>
    </w:p>
    <w:p w:rsidR="0043300F" w:rsidRDefault="008C130C" w:rsidP="00247C9A">
      <w:pPr>
        <w:pStyle w:val="a3"/>
        <w:numPr>
          <w:ilvl w:val="0"/>
          <w:numId w:val="1"/>
        </w:numPr>
        <w:ind w:firstLineChars="0"/>
        <w:rPr>
          <w:rFonts w:hint="eastAsia"/>
        </w:rPr>
      </w:pPr>
      <w:r>
        <w:rPr>
          <w:rFonts w:hint="eastAsia"/>
        </w:rPr>
        <w:t>光电发射效应</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lastRenderedPageBreak/>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r>
        <w:rPr>
          <w:rFonts w:hint="eastAsia"/>
        </w:rPr>
        <w:t>f</w:t>
      </w:r>
    </w:p>
    <w:p w:rsidR="0043300F" w:rsidRDefault="0043300F" w:rsidP="0043300F">
      <w:pPr>
        <w:pStyle w:val="a3"/>
        <w:rPr>
          <w:rFonts w:hint="eastAsia"/>
        </w:rPr>
      </w:pPr>
    </w:p>
    <w:p w:rsidR="0043300F" w:rsidRDefault="0043300F" w:rsidP="00247C9A">
      <w:pPr>
        <w:pStyle w:val="a3"/>
        <w:numPr>
          <w:ilvl w:val="0"/>
          <w:numId w:val="1"/>
        </w:numPr>
        <w:ind w:firstLineChars="0"/>
        <w:rPr>
          <w:rFonts w:hint="eastAsia"/>
        </w:rPr>
      </w:pPr>
    </w:p>
    <w:p w:rsidR="00766038" w:rsidRDefault="00766038" w:rsidP="00A93475">
      <w:pPr>
        <w:ind w:left="360"/>
      </w:pPr>
    </w:p>
    <w:sectPr w:rsidR="00766038" w:rsidSect="00766038">
      <w:type w:val="continuous"/>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E34A2"/>
    <w:multiLevelType w:val="hybridMultilevel"/>
    <w:tmpl w:val="6BC6FF24"/>
    <w:lvl w:ilvl="0" w:tplc="F40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2C75"/>
    <w:rsid w:val="000671AE"/>
    <w:rsid w:val="00155DD7"/>
    <w:rsid w:val="00196CFC"/>
    <w:rsid w:val="00247C9A"/>
    <w:rsid w:val="00280DD2"/>
    <w:rsid w:val="002D76E5"/>
    <w:rsid w:val="0043300F"/>
    <w:rsid w:val="00464C69"/>
    <w:rsid w:val="004975E5"/>
    <w:rsid w:val="00577B00"/>
    <w:rsid w:val="005F24AA"/>
    <w:rsid w:val="006E23E8"/>
    <w:rsid w:val="006F1030"/>
    <w:rsid w:val="00706732"/>
    <w:rsid w:val="00766038"/>
    <w:rsid w:val="007700F1"/>
    <w:rsid w:val="00894DFE"/>
    <w:rsid w:val="008C130C"/>
    <w:rsid w:val="009550E0"/>
    <w:rsid w:val="00A93475"/>
    <w:rsid w:val="00A96051"/>
    <w:rsid w:val="00AB2C75"/>
    <w:rsid w:val="00BC4F45"/>
    <w:rsid w:val="00C414EC"/>
    <w:rsid w:val="00CB09E0"/>
    <w:rsid w:val="00CB515B"/>
    <w:rsid w:val="00CD6395"/>
    <w:rsid w:val="00E30DCE"/>
    <w:rsid w:val="00F277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0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C75"/>
    <w:pPr>
      <w:ind w:firstLineChars="200" w:firstLine="420"/>
    </w:pPr>
  </w:style>
  <w:style w:type="character" w:customStyle="1" w:styleId="mi">
    <w:name w:val="mi"/>
    <w:basedOn w:val="a0"/>
    <w:rsid w:val="00766038"/>
  </w:style>
  <w:style w:type="character" w:customStyle="1" w:styleId="mo">
    <w:name w:val="mo"/>
    <w:basedOn w:val="a0"/>
    <w:rsid w:val="00766038"/>
  </w:style>
  <w:style w:type="paragraph" w:styleId="a4">
    <w:name w:val="Balloon Text"/>
    <w:basedOn w:val="a"/>
    <w:link w:val="Char"/>
    <w:uiPriority w:val="99"/>
    <w:semiHidden/>
    <w:unhideWhenUsed/>
    <w:rsid w:val="00766038"/>
    <w:rPr>
      <w:sz w:val="18"/>
      <w:szCs w:val="18"/>
    </w:rPr>
  </w:style>
  <w:style w:type="character" w:customStyle="1" w:styleId="Char">
    <w:name w:val="批注框文本 Char"/>
    <w:basedOn w:val="a0"/>
    <w:link w:val="a4"/>
    <w:uiPriority w:val="99"/>
    <w:semiHidden/>
    <w:rsid w:val="0076603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0BCCBB-F5C9-46A3-8E54-167D15D52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2016-01-03T13:15:00Z</dcterms:created>
  <dcterms:modified xsi:type="dcterms:W3CDTF">2016-01-03T15:02:00Z</dcterms:modified>
</cp:coreProperties>
</file>