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Beyond Compliance: Six-Indicator Self-Assessment</w:t>
      </w:r>
    </w:p>
    <w:p>
      <w:r>
        <w:t>Your AI governance framework already tells faculty, students, and peers whether your institution is reacting to this moment or building the capacity to adapt. Use this page to read it the way they do.</w:t>
      </w:r>
    </w:p>
    <w:p>
      <w:pPr>
        <w:pStyle w:val="Heading1"/>
      </w:pPr>
      <w:r>
        <w:t>How to use it</w:t>
      </w:r>
    </w:p>
    <w:p>
      <w:pPr>
        <w:pStyle w:val="ListNumber"/>
      </w:pPr>
      <w:r>
        <w:t>Open your institution’s public AI framework (policy, guidelines, and any linked standards).</w:t>
      </w:r>
    </w:p>
    <w:p>
      <w:pPr>
        <w:pStyle w:val="ListNumber"/>
      </w:pPr>
      <w:r>
        <w:t>For each indicator, compare what you find with the early and maturing signs, then mark where it sits: Early, Developing, or Maturing.</w:t>
      </w:r>
    </w:p>
    <w:p>
      <w:pPr>
        <w:pStyle w:val="ListNumber"/>
      </w:pPr>
      <w:r>
        <w:t>Pick one indicator to change in your next revision, and name who needs to be in the room to change it.</w:t>
      </w:r>
    </w:p>
    <w:p>
      <w:pPr>
        <w:pStyle w:val="Heading1"/>
      </w:pPr>
      <w:r>
        <w:t>The six indicators</w:t>
      </w:r>
    </w:p>
    <w:tbl>
      <w:tblPr>
        <w:tblStyle w:val="TableGrid"/>
        <w:tblW w:type="auto" w:w="0"/>
        <w:tblLayout w:type="fixed"/>
        <w:tblLook w:firstColumn="1" w:firstRow="1" w:lastColumn="0" w:lastRow="0" w:noHBand="0" w:noVBand="1" w:val="04A0"/>
        <w:tblCaption w:val="Six indicators with early and maturing signs"/>
      </w:tblPr>
      <w:tblGrid>
        <w:gridCol w:w="1512"/>
        <w:gridCol w:w="2951"/>
        <w:gridCol w:w="3744"/>
        <w:gridCol w:w="2015"/>
      </w:tblGrid>
      <w:tr>
        <w:trPr>
          <w:tblHeader w:val="true"/>
        </w:trPr>
        <w:tc>
          <w:tcPr>
            <w:tcW w:type="dxa" w:w="1512"/>
            <w:shd w:val="clear" w:color="auto" w:fill="EEF1F5"/>
          </w:tcPr>
          <w:p>
            <w:r/>
            <w:r>
              <w:rPr>
                <w:b/>
              </w:rPr>
              <w:t>Indicator</w:t>
            </w:r>
          </w:p>
        </w:tc>
        <w:tc>
          <w:tcPr>
            <w:tcW w:type="dxa" w:w="2952"/>
            <w:shd w:val="clear" w:color="auto" w:fill="EEF1F5"/>
          </w:tcPr>
          <w:p>
            <w:r/>
            <w:r>
              <w:rPr>
                <w:b/>
              </w:rPr>
              <w:t>Early sign</w:t>
            </w:r>
          </w:p>
        </w:tc>
        <w:tc>
          <w:tcPr>
            <w:tcW w:type="dxa" w:w="3744"/>
            <w:shd w:val="clear" w:color="auto" w:fill="EEF1F5"/>
          </w:tcPr>
          <w:p>
            <w:r/>
            <w:r>
              <w:rPr>
                <w:b/>
              </w:rPr>
              <w:t>Maturing sign</w:t>
            </w:r>
          </w:p>
        </w:tc>
        <w:tc>
          <w:tcPr>
            <w:tcW w:type="dxa" w:w="2016"/>
            <w:shd w:val="clear" w:color="auto" w:fill="EEF1F5"/>
          </w:tcPr>
          <w:p>
            <w:r/>
            <w:r>
              <w:rPr>
                <w:b/>
              </w:rPr>
              <w:t>Where mine sits (E, D, or M)</w:t>
            </w:r>
          </w:p>
        </w:tc>
      </w:tr>
      <w:tr>
        <w:tc>
          <w:tcPr>
            <w:tcW w:type="dxa" w:w="1512"/>
          </w:tcPr>
          <w:p>
            <w:r>
              <w:rPr>
                <w:b/>
                <w:color w:val="B4400F"/>
              </w:rPr>
              <w:t>Default</w:t>
            </w:r>
          </w:p>
        </w:tc>
        <w:tc>
          <w:tcPr>
            <w:tcW w:type="dxa" w:w="2952"/>
          </w:tcPr>
          <w:p>
            <w:r>
              <w:t>Says “no unless approved”</w:t>
            </w:r>
          </w:p>
        </w:tc>
        <w:tc>
          <w:tcPr>
            <w:tcW w:type="dxa" w:w="3744"/>
          </w:tcPr>
          <w:p>
            <w:r>
              <w:t>“Yes, with conditions,” or the instructor decides</w:t>
            </w:r>
          </w:p>
        </w:tc>
        <w:tc>
          <w:tcPr>
            <w:tcW w:type="dxa" w:w="2016"/>
          </w:tcPr>
          <w:p>
            <w:r/>
          </w:p>
        </w:tc>
      </w:tr>
      <w:tr>
        <w:tc>
          <w:tcPr>
            <w:tcW w:type="dxa" w:w="1512"/>
          </w:tcPr>
          <w:p>
            <w:r>
              <w:rPr>
                <w:b/>
                <w:color w:val="B4400F"/>
              </w:rPr>
              <w:t>Reach</w:t>
            </w:r>
          </w:p>
        </w:tc>
        <w:tc>
          <w:tcPr>
            <w:tcW w:type="dxa" w:w="2952"/>
          </w:tcPr>
          <w:p>
            <w:r>
              <w:t>Stops at academic integrity</w:t>
            </w:r>
          </w:p>
        </w:tc>
        <w:tc>
          <w:tcPr>
            <w:tcW w:type="dxa" w:w="3744"/>
          </w:tcPr>
          <w:p>
            <w:r>
              <w:t>Also covers equity and access, ethics, data privacy, and who governs</w:t>
            </w:r>
          </w:p>
        </w:tc>
        <w:tc>
          <w:tcPr>
            <w:tcW w:type="dxa" w:w="2016"/>
          </w:tcPr>
          <w:p>
            <w:r/>
          </w:p>
        </w:tc>
      </w:tr>
      <w:tr>
        <w:tc>
          <w:tcPr>
            <w:tcW w:type="dxa" w:w="1512"/>
          </w:tcPr>
          <w:p>
            <w:r>
              <w:rPr>
                <w:b/>
                <w:color w:val="B4400F"/>
              </w:rPr>
              <w:t>Owner</w:t>
            </w:r>
          </w:p>
        </w:tc>
        <w:tc>
          <w:tcPr>
            <w:tcW w:type="dxa" w:w="2952"/>
          </w:tcPr>
          <w:p>
            <w:r>
              <w:t>No named owner, or a one-time task force</w:t>
            </w:r>
          </w:p>
        </w:tc>
        <w:tc>
          <w:tcPr>
            <w:tcW w:type="dxa" w:w="3744"/>
          </w:tcPr>
          <w:p>
            <w:r>
              <w:t>A named, standing group is responsible</w:t>
            </w:r>
          </w:p>
        </w:tc>
        <w:tc>
          <w:tcPr>
            <w:tcW w:type="dxa" w:w="2016"/>
          </w:tcPr>
          <w:p>
            <w:r/>
          </w:p>
        </w:tc>
      </w:tr>
      <w:tr>
        <w:tc>
          <w:tcPr>
            <w:tcW w:type="dxa" w:w="1512"/>
          </w:tcPr>
          <w:p>
            <w:r>
              <w:rPr>
                <w:b/>
                <w:color w:val="B4400F"/>
              </w:rPr>
              <w:t>Currency</w:t>
            </w:r>
          </w:p>
        </w:tc>
        <w:tc>
          <w:tcPr>
            <w:tcW w:type="dxa" w:w="2952"/>
          </w:tcPr>
          <w:p>
            <w:r>
              <w:t>Undated, or never revisited</w:t>
            </w:r>
          </w:p>
        </w:tc>
        <w:tc>
          <w:tcPr>
            <w:tcW w:type="dxa" w:w="3744"/>
          </w:tcPr>
          <w:p>
            <w:r>
              <w:t>Dated, with a visible revision or a plan to revisit</w:t>
            </w:r>
          </w:p>
        </w:tc>
        <w:tc>
          <w:tcPr>
            <w:tcW w:type="dxa" w:w="2016"/>
          </w:tcPr>
          <w:p>
            <w:r/>
          </w:p>
        </w:tc>
      </w:tr>
      <w:tr>
        <w:tc>
          <w:tcPr>
            <w:tcW w:type="dxa" w:w="1512"/>
          </w:tcPr>
          <w:p>
            <w:r>
              <w:rPr>
                <w:b/>
                <w:color w:val="B4400F"/>
              </w:rPr>
              <w:t>Support</w:t>
            </w:r>
          </w:p>
        </w:tc>
        <w:tc>
          <w:tcPr>
            <w:tcW w:type="dxa" w:w="2952"/>
          </w:tcPr>
          <w:p>
            <w:r>
              <w:t>Rules only</w:t>
            </w:r>
          </w:p>
        </w:tc>
        <w:tc>
          <w:tcPr>
            <w:tcW w:type="dxa" w:w="3744"/>
          </w:tcPr>
          <w:p>
            <w:r>
              <w:t>Training, AI literacy programming, or tools</w:t>
            </w:r>
          </w:p>
        </w:tc>
        <w:tc>
          <w:tcPr>
            <w:tcW w:type="dxa" w:w="2016"/>
          </w:tcPr>
          <w:p>
            <w:r/>
          </w:p>
        </w:tc>
      </w:tr>
      <w:tr>
        <w:tc>
          <w:tcPr>
            <w:tcW w:type="dxa" w:w="1512"/>
          </w:tcPr>
          <w:p>
            <w:r>
              <w:rPr>
                <w:b/>
                <w:color w:val="B4400F"/>
              </w:rPr>
              <w:t>Audiences</w:t>
            </w:r>
          </w:p>
        </w:tc>
        <w:tc>
          <w:tcPr>
            <w:tcW w:type="dxa" w:w="2952"/>
          </w:tcPr>
          <w:p>
            <w:r>
              <w:t>One message for everyone</w:t>
            </w:r>
          </w:p>
        </w:tc>
        <w:tc>
          <w:tcPr>
            <w:tcW w:type="dxa" w:w="3744"/>
          </w:tcPr>
          <w:p>
            <w:r>
              <w:t>Separate guidance for students, faculty, staff, and researchers</w:t>
            </w:r>
          </w:p>
        </w:tc>
        <w:tc>
          <w:tcPr>
            <w:tcW w:type="dxa" w:w="2016"/>
          </w:tcPr>
          <w:p>
            <w:r/>
          </w:p>
        </w:tc>
      </w:tr>
    </w:tbl>
    <w:p>
      <w:pPr>
        <w:pStyle w:val="Heading1"/>
      </w:pPr>
      <w:r>
        <w:t>My one indicator</w:t>
      </w:r>
    </w:p>
    <w:tbl>
      <w:tblPr>
        <w:tblStyle w:val="TableGrid"/>
        <w:tblW w:type="auto" w:w="0"/>
        <w:tblLayout w:type="fixed"/>
        <w:tblLook w:firstColumn="1" w:firstRow="1" w:lastColumn="0" w:lastRow="0" w:noHBand="0" w:noVBand="1" w:val="04A0"/>
        <w:tblCaption w:val="Space to plan one change"/>
      </w:tblPr>
      <w:tblGrid>
        <w:gridCol w:w="3744"/>
        <w:gridCol w:w="6480"/>
      </w:tblGrid>
      <w:tr>
        <w:trPr>
          <w:trHeight w:val="720"/>
        </w:trPr>
        <w:tc>
          <w:tcPr>
            <w:tcW w:type="dxa" w:w="3744"/>
          </w:tcPr>
          <w:p>
            <w:r>
              <w:rPr>
                <w:b/>
              </w:rPr>
              <w:t>The indicator I could change in our next revision</w:t>
            </w:r>
          </w:p>
        </w:tc>
        <w:tc>
          <w:tcPr>
            <w:tcW w:type="dxa" w:w="6480"/>
          </w:tcPr>
          <w:p>
            <w:r/>
          </w:p>
        </w:tc>
      </w:tr>
      <w:tr>
        <w:trPr>
          <w:trHeight w:val="720"/>
        </w:trPr>
        <w:tc>
          <w:tcPr>
            <w:tcW w:type="dxa" w:w="3744"/>
          </w:tcPr>
          <w:p>
            <w:r>
              <w:rPr>
                <w:b/>
              </w:rPr>
              <w:t>Who needs to be in the room to change it</w:t>
            </w:r>
          </w:p>
        </w:tc>
        <w:tc>
          <w:tcPr>
            <w:tcW w:type="dxa" w:w="6480"/>
          </w:tcPr>
          <w:p>
            <w:r/>
          </w:p>
        </w:tc>
      </w:tr>
      <w:tr>
        <w:trPr>
          <w:trHeight w:val="720"/>
        </w:trPr>
        <w:tc>
          <w:tcPr>
            <w:tcW w:type="dxa" w:w="3744"/>
          </w:tcPr>
          <w:p>
            <w:r>
              <w:rPr>
                <w:b/>
              </w:rPr>
              <w:t>My first step, and by when</w:t>
            </w:r>
          </w:p>
        </w:tc>
        <w:tc>
          <w:tcPr>
            <w:tcW w:type="dxa" w:w="6480"/>
          </w:tcPr>
          <w:p>
            <w:r/>
          </w:p>
        </w:tc>
      </w:tr>
    </w:tbl>
    <w:p>
      <w:pPr>
        <w:pStyle w:val="Heading1"/>
      </w:pPr>
      <w:r>
        <w:t>Two things to keep in mind</w:t>
      </w:r>
    </w:p>
    <w:p>
      <w:pPr>
        <w:pStyle w:val="ListBullet"/>
      </w:pPr>
      <w:r>
        <w:t>Relabeling a default without building behind it changes the signal, not the substance. Prohibition is not the problem; what separates frameworks is what gets built behind the default.</w:t>
      </w:r>
    </w:p>
    <w:p>
      <w:pPr>
        <w:pStyle w:val="ListBullet"/>
      </w:pPr>
      <w:r>
        <w:t>Maturing is never complete. Kane and colleagues use “maturing,” not “mature,” because “the process is never complete” (Kane et al., 2019, p. 46). A gap is a starting point, not a grade.</w:t>
      </w:r>
    </w:p>
    <w:p>
      <w:pPr>
        <w:spacing w:before="160"/>
      </w:pPr>
      <w:r>
        <w:rPr>
          <w:sz w:val="18"/>
        </w:rPr>
        <w:t xml:space="preserve">Sources: Brazelton, G. B. (under review), Beyond compliance: AI governance frameworks as signals of institutional digital maturity (400-institution document analysis). Kane, G. C., Phillips, A. N., Copulsky, J. R., &amp; Andrus, G. R. (2019), The technology fallacy, MIT Press. From the AAC&amp;U Conference on AI and Higher Education session, October 29, 2026. More at </w:t>
      </w:r>
      <w:hyperlink r:id="rId9">
        <w:r>
          <w:rPr>
            <w:color w:val="1F5FA8"/>
            <w:u w:val="single"/>
            <w:sz w:val="18"/>
          </w:rPr>
          <w:t>bluebrazelton.com</w:t>
        </w:r>
      </w:hyperlink>
      <w:r>
        <w:rPr>
          <w:sz w:val="18"/>
        </w:rPr>
        <w:t>.</w:t>
      </w:r>
    </w:p>
    <w:sectPr w:rsidR="00FC693F" w:rsidRPr="0006063C" w:rsidSect="00034616">
      <w:pgSz w:w="12240" w:h="15840"/>
      <w:pgMar w:top="792"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olor w:val="17233B"/>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cstheme="majorBidi" w:ascii="Arial" w:hAnsi="Arial"/>
      <w:b/>
      <w:bCs/>
      <w:color w:val="17233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0"/>
      <w:contextualSpacing/>
    </w:pPr>
    <w:rPr>
      <w:rFonts w:cstheme="majorBidi" w:ascii="Arial" w:hAnsi="Arial"/>
      <w:b/>
      <w:color w:val="17233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luebrazelt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Compliance: Six-Indicator Self-Assessment</dc:title>
  <dc:subject>AI governance framework self-assessment</dc:subject>
  <dc:creator>G. Blue Brazelton</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