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 w:eastAsia="Calibri"/>
          <w:b/>
          <w:i w:val="0"/>
          <w:sz w:val="32"/>
        </w:rPr>
        <w:t>BLUE COSTARD COMPAGNIE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 w:val="0"/>
          <w:sz w:val="26"/>
        </w:rPr>
        <w:t>Fiche des informations à compléter</w:t>
      </w:r>
    </w:p>
    <w:p>
      <w:pPr>
        <w:spacing w:after="280" w:before="0"/>
        <w:jc w:val="center"/>
      </w:pPr>
      <w:r>
        <w:rPr>
          <w:rFonts w:ascii="Calibri" w:hAnsi="Calibri" w:eastAsia="Calibri"/>
          <w:b w:val="0"/>
          <w:i/>
          <w:sz w:val="20"/>
        </w:rPr>
        <w:t>À renseigner avant signature des statuts et dépôt au greffe.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4"/>
        </w:rPr>
        <w:t>Identité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Forme juridique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SASU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Dénomination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Blue Costard Compagnie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Associé unique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Président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Siège social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Nationalité / date / lieu de naissance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</w:tbl>
    <w:p>
      <w:pPr>
        <w:spacing w:after="160" w:before="320"/>
      </w:pPr>
      <w:r>
        <w:rPr>
          <w:rFonts w:ascii="Calibri" w:hAnsi="Calibri" w:eastAsia="Calibri"/>
          <w:b/>
          <w:i w:val="0"/>
          <w:sz w:val="24"/>
        </w:rPr>
        <w:t>Capital (proposition)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Capital social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1 000 €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Nombre d’actions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1 000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Valeur nominale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1 €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Libération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100 % à la souscription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Votre choix final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</w:tbl>
    <w:p>
      <w:pPr>
        <w:spacing w:after="160" w:before="320"/>
      </w:pPr>
      <w:r>
        <w:rPr>
          <w:rFonts w:ascii="Calibri" w:hAnsi="Calibri" w:eastAsia="Calibri"/>
          <w:b/>
          <w:i w:val="0"/>
          <w:sz w:val="24"/>
        </w:rPr>
        <w:t>Calendrier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Durée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99 ans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Exercice social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1er janvier → 31 décembre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Fin du 1er exercice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31 décembre de l’année de création</w:t>
            </w:r>
          </w:p>
        </w:tc>
      </w:tr>
    </w:tbl>
    <w:p>
      <w:pPr>
        <w:spacing w:after="120" w:before="320"/>
      </w:pPr>
      <w:r>
        <w:rPr>
          <w:rFonts w:ascii="Calibri" w:hAnsi="Calibri" w:eastAsia="Calibri"/>
          <w:b/>
          <w:i w:val="0"/>
          <w:sz w:val="24"/>
        </w:rPr>
        <w:t>Plateformes rattachées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Pass50 (pass50.store)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Du rose au noir</w:t>
      </w:r>
    </w:p>
    <w:p>
      <w:pPr>
        <w:spacing w:after="120" w:before="320"/>
      </w:pPr>
      <w:r>
        <w:rPr>
          <w:rFonts w:ascii="Calibri" w:hAnsi="Calibri" w:eastAsia="Calibri"/>
          <w:b/>
          <w:i w:val="0"/>
          <w:sz w:val="24"/>
        </w:rPr>
        <w:t>Après signature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sz w:val="22"/>
        </w:rPr>
        <w:t>1. Déposer les fonds du capital sur le compte de la société en formation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sz w:val="22"/>
        </w:rPr>
        <w:t>2. Publier l’annonce légale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sz w:val="22"/>
        </w:rPr>
        <w:t>3. Déposer le dossier au greffe (via guichet unique / INPI)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sz w:val="22"/>
        </w:rPr>
        <w:t>4. Obtenir le Kbis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sz w:val="22"/>
        </w:rPr>
        <w:t>5. Mettre à jour les mentions légales des 2 sites au nom de Blue Costard Compagnie</w:t>
      </w:r>
    </w:p>
    <w:p>
      <w:pPr>
        <w:spacing w:after="160" w:before="320"/>
      </w:pPr>
      <w:r>
        <w:rPr>
          <w:rFonts w:ascii="Calibri" w:hAnsi="Calibri" w:eastAsia="Calibri"/>
          <w:b w:val="0"/>
          <w:i/>
          <w:sz w:val="18"/>
        </w:rPr>
        <w:t>Ces documents sont des projets. Ils ne remplacent pas les conseils d’un avocat ou d’un expert-comptable.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