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 w:eastAsia="Calibri"/>
          <w:b/>
          <w:i w:val="0"/>
          <w:sz w:val="32"/>
        </w:rPr>
        <w:t>BLUE COSTARD COMPAGNIE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 w:val="0"/>
          <w:sz w:val="28"/>
        </w:rPr>
        <w:t>OBJET SOCIAL</w:t>
      </w:r>
    </w:p>
    <w:p>
      <w:pPr>
        <w:spacing w:after="320" w:before="0"/>
        <w:jc w:val="center"/>
      </w:pPr>
      <w:r>
        <w:rPr>
          <w:rFonts w:ascii="Calibri" w:hAnsi="Calibri" w:eastAsia="Calibri"/>
          <w:b w:val="0"/>
          <w:i/>
          <w:sz w:val="20"/>
        </w:rPr>
        <w:t>Projet de rédaction — à faire valider par un avocat ou un expert-comptable avant dépôt au greffe.</w:t>
      </w:r>
    </w:p>
    <w:p>
      <w:pPr>
        <w:spacing w:after="200" w:before="120"/>
      </w:pPr>
      <w:r>
        <w:rPr>
          <w:rFonts w:ascii="Calibri" w:hAnsi="Calibri" w:eastAsia="Calibri"/>
          <w:b/>
          <w:i w:val="0"/>
          <w:sz w:val="24"/>
        </w:rPr>
        <w:t>1. Version à coller dans les statuts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La Société a pour objet, en France et à l’étranger, directement ou indirectement :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conception, l’édition, l’exploitation, le développement, la promotion et la monétisation de plateformes numériques, sites internet, applications mobiles et services en ligne, notamment les plateformes dénommées Pass50 (pass50.store) et Du rose au noir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l’édition de contenus éditoriaux, médiatiques, audiovisuels, culturels, divertissement et d’information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l’agrégation, le recensement, l’analyse, la diffusion et la mise en valeur de contenus issus de réseaux sociaux et de sources numériques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les activités de communication, marketing digital, publicité, sponsoring, partenariats, affiliation et placement de produits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l’organisation, la production et la promotion d’événements, concours, opérations de communication et programmes associés aux marques de la Société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fourniture de services numériques, SaaS, outils d’analyse, de classement, de données et de statistiques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le commerce électronique, la vente de produits dérivés, abonnements, services premium et prestations associées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prise, l’acquisition, l’exploitation et la cession de tous droits de propriété intellectuelle, marques, noms de domaine, logiciels, bases de données et contenus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et, plus généralement, toutes opérations industrielles, commerciales, financières, mobilières ou immobilières se rattachant directement ou indirectement à l’objet social ou susceptibles d’en faciliter la réalisation.</w:t>
      </w:r>
    </w:p>
    <w:p>
      <w:pPr>
        <w:spacing w:after="200" w:before="320"/>
      </w:pPr>
      <w:r>
        <w:rPr>
          <w:rFonts w:ascii="Calibri" w:hAnsi="Calibri" w:eastAsia="Calibri"/>
          <w:b/>
          <w:i w:val="0"/>
          <w:sz w:val="24"/>
        </w:rPr>
        <w:t>2. Version élargie (recommandée pour anticiper l’évolution)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La Société a pour objet, en France et à l’étranger :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Toutes activités liées à l’économie numérique, aux médias, à la communication et aux services en ligne, et notamment :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création, l’édition, l’hébergement, l’exploitation et la monétisation de sites internet, applications, plateformes et marques numériques, dont Pass50 et Du rose au noir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production, l’édition et la diffusion de contenus textuels, images, audio, vidéo, lives et formats digitaux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les services de data, analytics, intelligence éditoriale, classement, scoring et outils associés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publicité, le marketing d’influence, les partenariats commerciaux, le sponsoring et l’affiliation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vente de produits et services, abonnements, licences, formations et prestations de conseil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gestion de marques, licences, droits d’auteur, logiciels et noms de domaine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la participation de la Société, par tous moyens, à toutes entreprises ou sociétés créées ou à créer, pouvant se rattacher à l’objet social ;</w:t>
      </w:r>
    </w:p>
    <w:p>
      <w:pPr>
        <w:pStyle w:val="ListBullet"/>
        <w:spacing w:after="80"/>
        <w:jc w:val="both"/>
      </w:pPr>
      <w:r>
        <w:rPr>
          <w:rFonts w:ascii="Calibri" w:hAnsi="Calibri" w:eastAsia="Calibri"/>
          <w:b w:val="0"/>
          <w:i w:val="0"/>
          <w:sz w:val="22"/>
        </w:rPr>
        <w:t>et généralement, toutes opérations quelconques contribuant à la réalisation de cet objet.</w:t>
      </w:r>
    </w:p>
    <w:p>
      <w:pPr>
        <w:spacing w:after="160" w:before="320"/>
      </w:pPr>
      <w:r>
        <w:rPr>
          <w:rFonts w:ascii="Calibri" w:hAnsi="Calibri" w:eastAsia="Calibri"/>
          <w:b w:val="0"/>
          <w:i/>
          <w:sz w:val="20"/>
        </w:rPr>
        <w:t>Plateformes exploitées sous Blue Costard Compagnie : Pass50 (pass50.store) et Du rose au noir.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