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 w:eastAsia="Calibri"/>
          <w:b/>
          <w:i w:val="0"/>
          <w:sz w:val="36"/>
        </w:rPr>
        <w:t>BLUE COSTARD COMPAGNIE</w:t>
      </w:r>
    </w:p>
    <w:p>
      <w:pPr>
        <w:spacing w:before="0" w:after="120"/>
        <w:jc w:val="center"/>
      </w:pPr>
      <w:r>
        <w:rPr>
          <w:rFonts w:ascii="Calibri" w:hAnsi="Calibri" w:eastAsia="Calibri"/>
          <w:b/>
          <w:i w:val="0"/>
          <w:sz w:val="28"/>
        </w:rPr>
        <w:t>OBJET SOCIAL</w:t>
      </w:r>
    </w:p>
    <w:p>
      <w:pPr>
        <w:spacing w:before="0" w:after="280"/>
        <w:jc w:val="center"/>
      </w:pPr>
      <w:r>
        <w:rPr>
          <w:rFonts w:ascii="Calibri" w:hAnsi="Calibri" w:eastAsia="Calibri"/>
          <w:b w:val="0"/>
          <w:i/>
          <w:sz w:val="20"/>
        </w:rPr>
        <w:t>Fichier Word modifiable — les zones surlignées en jaune sont à compléter / adapter.</w:t>
      </w:r>
    </w:p>
    <w:p>
      <w:pPr>
        <w:spacing w:before="80" w:after="200"/>
      </w:pPr>
      <w:r>
        <w:rPr>
          <w:rFonts w:ascii="Calibri" w:hAnsi="Calibri" w:eastAsia="Calibri"/>
          <w:b/>
          <w:i w:val="0"/>
          <w:sz w:val="24"/>
        </w:rPr>
        <w:t>Version à intégrer dans les statuts</w:t>
      </w:r>
    </w:p>
    <w:p>
      <w:pPr>
        <w:spacing w:before="0"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La Société a pour objet, en France et à l’étranger, directement ou indirectement :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conception, l’édition, l’exploitation, le développement, la promotion et la monétisation de plateformes numériques, sites internet, applications mobiles et services en ligne, notamment les plateformes dénommées Pass50 (pass50.store) et Du rose au noir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l’édition de contenus éditoriaux, médiatiques, audiovisuels, culturels, divertissement et d’information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l’agrégation, le recensement, l’analyse, la diffusion et la mise en valeur de contenus issus de réseaux sociaux et de sources numériques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les activités de communication, marketing digital, publicité, sponsoring, partenariats, affiliation et placement de produits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l’organisation, la production et la promotion d’événements, concours, opérations de communication et programmes associés aux marques de la Société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fourniture de services numériques, SaaS, outils d’analyse, de classement, de données et de statistiques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le commerce électronique, la vente de produits dérivés, abonnements, services premium et prestations associées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prise, l’acquisition, l’exploitation et la cession de tous droits de propriété intellectuelle, marques, noms de domaine, logiciels, bases de données et contenus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participation de la Société, par tous moyens, à toutes entreprises ou sociétés créées ou à créer, pouvant se rattacher à l’objet social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et, plus généralement, toutes opérations industrielles, commerciales, financières, mobilières ou immobilières se rattachant directement ou indirectement à l’objet social ou susceptibles d’en faciliter la réalisation.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sz w:val="24"/>
        </w:rPr>
        <w:t>Plateformes exploitées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Pass50 — pass50.store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Du rose au noir</w:t>
      </w:r>
    </w:p>
    <w:p>
      <w:pPr>
        <w:spacing w:before="200" w:after="160"/>
      </w:pPr>
      <w:r>
        <w:rPr>
          <w:rFonts w:ascii="Calibri" w:hAnsi="Calibri" w:eastAsia="Calibri"/>
          <w:b w:val="0"/>
          <w:i/>
          <w:sz w:val="20"/>
        </w:rPr>
        <w:t>Société exploitante : Blue Costard Compagnie (SASU).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