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C5A059"/>
          <w:spacing w:val="200"/>
          <w:sz w:val="18"/>
          <w:szCs w:val="18"/>
        </w:rPr>
        <w:t xml:space="preserve">BLUE COVER SA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E2149"/>
          <w:sz w:val="40"/>
          <w:szCs w:val="40"/>
        </w:rPr>
        <w:t xml:space="preserve">Yacht Insurance Platform</w:t>
      </w:r>
    </w:p>
    <w:p>
      <w:pPr>
        <w:spacing w:after="60"/>
      </w:pPr>
      <w:r>
        <w:rPr>
          <w:rFonts w:ascii="Georgia" w:cs="Georgia" w:eastAsia="Georgia" w:hAnsi="Georgia"/>
          <w:color w:val="243F74"/>
          <w:sz w:val="28"/>
          <w:szCs w:val="28"/>
        </w:rPr>
        <w:t xml:space="preserve">User Journey &amp; Flow</w:t>
      </w:r>
    </w:p>
    <w:p>
      <w:pPr>
        <w:spacing w:after="20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bluecover.io • March 2026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1"/>
          <w:szCs w:val="21"/>
        </w:rPr>
        <w:t xml:space="preserve">This document describes the complete user journey for the yacht insurance platform, step by step. For each step: who acts, what the platform does (if anything), and whether it is Phase 1 or Phase 2.</w:t>
      </w:r>
    </w:p>
    <w:p>
      <w:pPr>
        <w:spacing w:after="0" w:before="4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0B0E18"/>
          <w:sz w:val="21"/>
          <w:szCs w:val="21"/>
        </w:rPr>
        <w:t xml:space="preserve">Context: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Primary users are partner brokers (other insurance intermediaries) who bring yacht clients to Blue Cover and earn a variable commission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Almost no end customers come directly — the platform is B2B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Blue Cover (Charles) qualifies risks, dispatches to ~5 insurers by email, and presents one recommended offer to the broker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Domain: bluecover.io. Bilingual FR/EN</w:t>
      </w:r>
    </w:p>
    <w:p>
      <w:pPr>
        <w:pBdr>
          <w:bottom w:val="single" w:color="C5A059" w:sz="4" w:space="1"/>
        </w:pBdr>
        <w:spacing w:after="200" w:before="30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1E2149"/>
          <w:sz w:val="32"/>
          <w:szCs w:val="32"/>
        </w:rPr>
        <w:t xml:space="preserve">The Flow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Broker discovers Blue Cover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▶ Broker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Broker finds Blue Cover via referral, LinkedIn, conference, or the main website (bluecover.ch). Clicks through to the yacht landing page on bluecover.io.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The landing page is a marketing page: value proposition, commission model, types of coverage, insurer partners, and three CTAs: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“Submit a risk” → public form (no login required)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“Partner login” → broker portal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“Become a partner” → contact Blue Cover to get onboarded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Broker onboarding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New broker contacts Blue Cover. Charles verifies credentials, signs a partnership agreement (by email, not on the platform), then creates the broker’s account in the admin back-office. Broker receives login credentials and can change their password.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Self-service registration is not in scope — accounts are created by Blue Cover only.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Broker submits a risk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▶ Broker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▶ Platform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Broker logs into the portal and clicks “Submit a risk.” Alternatively, a non-logged-in visitor can fill out the public form (identical fields, but not linked to a broker account).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The form is a multi-step wizard (7 steps), based on Blue Cover’s P&amp;I / H&amp;M Proposal Form. The complete field list is in the attached PDF (Proposal Form). The form covers: assured details, vessel specifications, vessel use &amp; coverage options, claims history, crew, tenders &amp; finance, and document upload with declaration.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The broker uploads a Certificate of Registry (required for initial quote). In Phase 1, this is a simple file upload. In Phase 2, AI/OCR would extract vessel data from the document automatically.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Confirmation &amp; notification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▶ Platform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On submission, the platform: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Generates a reference number (e.g. QR-2025-0012)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Shows a confirmation screen to the broker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Sends an automated email to the broker (confirmation + reference)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Sends an automated email to Blue Cover’s shared inbox (full submission details + attachments)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SLA displayed: “First offers within 48h.”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Blue Cover qualifies the risk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6C757D"/>
          <w:sz w:val="18"/>
          <w:szCs w:val="18"/>
        </w:rPr>
        <w:t xml:space="preserve">[Off-platform]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receives the email, reviews the submission (~5 min). Qualification criteria: vessel value + type. Some risks may be declined (too small, uncovered zone). If info is incomplete, Charles contacts the broker by email.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Dispatch to insurers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6C757D"/>
          <w:sz w:val="18"/>
          <w:szCs w:val="18"/>
        </w:rPr>
        <w:t xml:space="preserve">[Off-platform]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sends the risk dossier to ~5 insurers by email (using the insurer’s slip format or his own Proposal Form). No automation in Phase 1 — this is fully manual.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Key insurers: Pantaenius, Howden/Lloyd’s, Beazley, Zurich Marine, and others.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7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Status update on portal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Admin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(or Doryane, his assistant) updates the submission status in the admin back-office: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Submitted → Quoting (once dispatched to insurers)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The broker sees the updated status in their portal dashboard.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8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Insurers respond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▶ Insurer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6C757D"/>
          <w:sz w:val="18"/>
          <w:szCs w:val="18"/>
        </w:rPr>
        <w:t xml:space="preserve">[Off-platform]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Insurers send their quotes to Charles by email (PDF). Typical response time: ~48h. Charles usually receives 1–2 offers per request. Each offer includes: premium, deductible, conditions, exclusions.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selects the single best offer to present to the broker.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9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Offer uploaded to portal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Admin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uploads the selected offer to the admin back-office — he uploads the offer document (PDF). The broker can then see: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Insurer name (visible to broker)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24242"/>
          <w:sz w:val="19"/>
          <w:szCs w:val="19"/>
        </w:rPr>
        <w:t xml:space="preserve">Offer document / key terms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Status updated: Quoting → Offer received.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The broker sees only this one recommended offer — not all insurer quotes.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10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Broker reviews offer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▶ Broker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Broker logs into the portal and sees the offer in their request detail page. They review the terms.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Phase 1: there is no “Accept” button. The broker confirms acceptance by email or phone to Charles.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C62828"/>
          <w:sz w:val="19"/>
          <w:szCs w:val="19"/>
        </w:rPr>
        <w:t xml:space="preserve">Phase 2: add an “Accept this offer” button in the portal.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11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Bind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6C757D"/>
          <w:sz w:val="18"/>
          <w:szCs w:val="18"/>
        </w:rPr>
        <w:t xml:space="preserve">[Off-platform]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confirms the bind with the insurer by email. The insurer issues the policy within ~24h. Documents to sign: brokerage mandate + policy. The insurer sends the policy to Blue Cover, who forwards it to the broker.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12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Policy &amp; documents on portal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Admin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[Phase 1]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Charles uploads the policy PDF and invoice to the admin back-office. These appear in the broker’s “Policies” tab. The broker can view and download.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Status updated: Offer received → Bound.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13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Commission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[Phase 2]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Commission rates are variable (not a fixed percentage). Calculated on: net premium minus taxes. Blue Cover issues a brokerage statement to the broker. Payment: annual, by bank transfer.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Phase 1: commissions managed entirely in Excel. Phase 2: visible in broker portal with amounts, status, and payment dates.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5A059"/>
          <w:sz w:val="24"/>
          <w:szCs w:val="24"/>
        </w:rPr>
        <w:t xml:space="preserve">Step 14  </w:t>
      </w:r>
      <w:r>
        <w:rPr>
          <w:rFonts w:ascii="Arial" w:cs="Arial" w:eastAsia="Arial" w:hAnsi="Arial"/>
          <w:b/>
          <w:bCs/>
          <w:color w:val="1E2149"/>
          <w:sz w:val="24"/>
          <w:szCs w:val="24"/>
        </w:rPr>
        <w:t xml:space="preserve">Renewal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▶ Blue Cover (manual)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[Phase 2]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Before policy expiry, Charles contacts the broker by email. Renewal is a renegotiation with the current insurer — no new submission form required. The existing policy rolls over with updated terms.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0"/>
          <w:szCs w:val="20"/>
        </w:rPr>
        <w:t xml:space="preserve">Phase 2: automated renewal alert pushed to the broker via the portal.</w:t>
      </w:r>
    </w:p>
    <w:p>
      <w:pPr>
        <w:pBdr>
          <w:bottom w:val="single" w:color="C5A059" w:sz="4" w:space="1"/>
        </w:pBdr>
        <w:spacing w:after="200" w:before="30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1E2149"/>
          <w:sz w:val="32"/>
          <w:szCs w:val="32"/>
        </w:rPr>
        <w:t xml:space="preserve">Phase Summary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Phase 1: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Yacht landing page on bluecover.io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7-step submission form (public + in-portal) — fields per attached Proposal Form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Certificate of Registry upload (no AI extraction)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Broker portal: authentication, dashboard, request tracking, offer view, policies, documents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Admin back-office: view submissions, update statuses, upload offers/policies/invoices, manage broker accounts (2 admin users)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Automated emails (confirmation + notification)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Bilingual FR/EN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Phase 2: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AI/OCR: extract vessel data from Certificate of Registry (Claude API)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Commission tracking visible in broker portal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“Accept offer” button in portal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Renewal alerts (automated push before expiry)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0E18"/>
          <w:sz w:val="20"/>
          <w:szCs w:val="20"/>
        </w:rPr>
        <w:t xml:space="preserve">HubSpot CRM integration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Confidential —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059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1E2149"/>
        <w:sz w:val="16"/>
        <w:szCs w:val="16"/>
      </w:rPr>
      <w:t xml:space="preserve">Blue Cover SA</w:t>
    </w:r>
    <w:r>
      <w:rPr>
        <w:rFonts w:ascii="Arial" w:cs="Arial" w:eastAsia="Arial" w:hAnsi="Arial"/>
        <w:color w:val="6C757D"/>
        <w:sz w:val="16"/>
        <w:szCs w:val="16"/>
      </w:rPr>
      <w:t xml:space="preserve">	Yacht Platform — User Journey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E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E214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2026-03-12T20:35:30.458Z</dcterms:created>
  <dcterms:modified xsi:type="dcterms:W3CDTF">2026-03-12T20:35:30.459Z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