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0"/>
        <w:jc w:val="center"/>
      </w:pPr>
      <w:r>
        <w:rPr>
          <w:b/>
          <w:bCs/>
          <w:color w:val="2563EB"/>
          <w:spacing w:val="20"/>
          <w:sz w:val="22"/>
          <w:szCs w:val="22"/>
        </w:rPr>
        <w:t xml:space="preserve">BRIDGE TO BOARDING</w:t>
      </w:r>
    </w:p>
    <w:p>
      <w:pPr>
        <w:spacing w:after="200"/>
        <w:jc w:val="center"/>
      </w:pPr>
      <w:r>
        <w:rPr>
          <w:rFonts w:ascii="Georgia" w:cs="Georgia" w:eastAsia="Georgia" w:hAnsi="Georgia"/>
          <w:b/>
          <w:bCs/>
          <w:color w:val="1D2939"/>
          <w:sz w:val="56"/>
          <w:szCs w:val="56"/>
        </w:rPr>
        <w:t xml:space="preserve">The Financial Aid Guide</w:t>
      </w:r>
    </w:p>
    <w:p>
      <w:pPr>
        <w:spacing w:after="3000"/>
        <w:jc w:val="center"/>
      </w:pPr>
      <w:r>
        <w:rPr>
          <w:i/>
          <w:iCs/>
          <w:color w:val="667085"/>
          <w:sz w:val="26"/>
          <w:szCs w:val="26"/>
        </w:rPr>
        <w:t xml:space="preserve">Understanding how boarding school financial aid actually works</w:t>
      </w:r>
    </w:p>
    <w:p>
      <w:pPr>
        <w:jc w:val="center"/>
      </w:pPr>
      <w:r>
        <w:rPr>
          <w:color w:val="667085"/>
          <w:sz w:val="18"/>
          <w:szCs w:val="18"/>
        </w:rPr>
        <w:t xml:space="preserve">A free resource from Bridge to Boarding — run by boarding school students, for future boarding school students.</w:t>
      </w:r>
    </w:p>
    <w:p>
      <w:r>
        <w:br w:type="page"/>
      </w:r>
    </w:p>
    <w:p>
      <w:pPr>
        <w:pStyle w:val="Heading1"/>
        <w:pBdr>
          <w:bottom w:val="single" w:color="2563EB" w:sz="6" w:space="4"/>
        </w:pBdr>
        <w:spacing w:after="200" w:before="400"/>
      </w:pPr>
      <w:r>
        <w:rPr>
          <w:rFonts w:ascii="Georgia" w:cs="Georgia" w:eastAsia="Georgia" w:hAnsi="Georgia"/>
          <w:b/>
          <w:bCs/>
          <w:color w:val="1D2939"/>
          <w:sz w:val="32"/>
          <w:szCs w:val="32"/>
        </w:rPr>
        <w:t xml:space="preserve">The Most Important Thing to Know First</w:t>
      </w:r>
    </w:p>
    <w:p>
      <w:pPr>
        <w:spacing w:after="160" w:line="300"/>
      </w:pPr>
      <w:r>
        <w:rPr>
          <w:color w:val="1D2939"/>
          <w:sz w:val="21"/>
          <w:szCs w:val="21"/>
        </w:rPr>
        <w:t xml:space="preserve">Boarding school tuition numbers are intentionally scary — full tuition and boarding at many schools runs well into six figures over a student's time there. But most schools with significant financial aid budgets are need-blind or need-aware in ways that make attendance realistic for a much wider range of family incomes than the sticker price suggests. Many schools meet 100% of demonstrated financial need for admitted students. Don't rule out a school based on the listed price alone — apply for aid and let the actual numbers come back before deciding it's unaffordable.</w:t>
      </w: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F2F4F7" w:val="clear"/>
            <w:tcMar>
              <w:top w:type="dxa" w:w="200"/>
              <w:left w:type="dxa" w:w="200"/>
              <w:bottom w:type="dxa" w:w="200"/>
              <w:right w:type="dxa" w:w="200"/>
            </w:tcMar>
          </w:tcPr>
          <w:p>
            <w:pPr>
              <w:spacing w:after="80"/>
            </w:pPr>
            <w:r>
              <w:rPr>
                <w:b/>
                <w:bCs/>
                <w:color w:val="2563EB"/>
                <w:sz w:val="20"/>
                <w:szCs w:val="20"/>
              </w:rPr>
              <w:t xml:space="preserve">Need-blind vs. need-aware</w:t>
            </w:r>
          </w:p>
          <w:p>
            <w:pPr>
              <w:spacing w:line="280"/>
            </w:pPr>
            <w:r>
              <w:rPr>
                <w:color w:val="1D2939"/>
                <w:sz w:val="20"/>
                <w:szCs w:val="20"/>
              </w:rPr>
              <w:t xml:space="preserve">Need-blind means a school's admissions decision doesn't consider your ability to pay. Need-aware means it can be a factor, particularly for students near the edge of the applicant pool. Many top boarding schools are need-blind for admissions but their financial aid budget is still finite, so apply for aid as early as possible.</w:t>
            </w:r>
          </w:p>
        </w:tc>
      </w:tr>
    </w:tbl>
    <w:p>
      <w:pPr>
        <w:pStyle w:val="Heading1"/>
        <w:pBdr>
          <w:bottom w:val="single" w:color="2563EB" w:sz="6" w:space="4"/>
        </w:pBdr>
        <w:spacing w:after="200" w:before="400"/>
      </w:pPr>
      <w:r>
        <w:rPr>
          <w:rFonts w:ascii="Georgia" w:cs="Georgia" w:eastAsia="Georgia" w:hAnsi="Georgia"/>
          <w:b/>
          <w:bCs/>
          <w:color w:val="1D2939"/>
          <w:sz w:val="32"/>
          <w:szCs w:val="32"/>
        </w:rPr>
        <w:t xml:space="preserve">The Main Financial Aid Application: SSS by NAIS</w:t>
      </w:r>
    </w:p>
    <w:p>
      <w:pPr>
        <w:spacing w:after="160" w:line="300"/>
      </w:pPr>
      <w:r>
        <w:rPr>
          <w:color w:val="1D2939"/>
          <w:sz w:val="21"/>
          <w:szCs w:val="21"/>
        </w:rPr>
        <w:t xml:space="preserve">Most independent and boarding schools in the U.S. use the SSS (Standardized Service for Schools), an online financial aid application from NAIS (National Association of Independent Schools). You typically fill out one SSS application, and it can be sent to every school you're applying to that uses the system — you don't need to fill out a separate form for each school.</w:t>
      </w:r>
    </w:p>
    <w:p>
      <w:pPr>
        <w:pStyle w:val="Heading2"/>
        <w:spacing w:after="150" w:before="300"/>
      </w:pPr>
      <w:r>
        <w:rPr>
          <w:b/>
          <w:bCs/>
          <w:color w:val="2563EB"/>
          <w:sz w:val="24"/>
          <w:szCs w:val="24"/>
        </w:rPr>
        <w:t xml:space="preserve">What the SSS asks for</w:t>
      </w:r>
    </w:p>
    <w:p>
      <w:pPr>
        <w:pStyle w:val="ListParagraph"/>
        <w:numPr>
          <w:ilvl w:val="0"/>
          <w:numId w:val="1"/>
        </w:numPr>
        <w:spacing w:after="100" w:line="290"/>
      </w:pPr>
      <w:r>
        <w:rPr>
          <w:sz w:val="21"/>
          <w:szCs w:val="21"/>
        </w:rPr>
        <w:t xml:space="preserve">Household income and employment information for both parents/guardians (even if divorced or separated — most schools require financial information from both biological/legal parents' households)</w:t>
      </w:r>
    </w:p>
    <w:p>
      <w:pPr>
        <w:pStyle w:val="ListParagraph"/>
        <w:numPr>
          <w:ilvl w:val="0"/>
          <w:numId w:val="1"/>
        </w:numPr>
        <w:spacing w:after="100" w:line="290"/>
      </w:pPr>
      <w:r>
        <w:rPr>
          <w:sz w:val="21"/>
          <w:szCs w:val="21"/>
        </w:rPr>
        <w:t xml:space="preserve">Federal tax returns (typically the most recent year, sometimes two years)</w:t>
      </w:r>
    </w:p>
    <w:p>
      <w:pPr>
        <w:pStyle w:val="ListParagraph"/>
        <w:numPr>
          <w:ilvl w:val="0"/>
          <w:numId w:val="1"/>
        </w:numPr>
        <w:spacing w:after="100" w:line="290"/>
      </w:pPr>
      <w:r>
        <w:rPr>
          <w:sz w:val="21"/>
          <w:szCs w:val="21"/>
        </w:rPr>
        <w:t xml:space="preserve">Assets: savings, investments, retirement accounts, real estate</w:t>
      </w:r>
    </w:p>
    <w:p>
      <w:pPr>
        <w:pStyle w:val="ListParagraph"/>
        <w:numPr>
          <w:ilvl w:val="0"/>
          <w:numId w:val="1"/>
        </w:numPr>
        <w:spacing w:after="100" w:line="290"/>
      </w:pPr>
      <w:r>
        <w:rPr>
          <w:sz w:val="21"/>
          <w:szCs w:val="21"/>
        </w:rPr>
        <w:t xml:space="preserve">Household size and number of dependents, including how many are also in tuition-charging schools</w:t>
      </w:r>
    </w:p>
    <w:p>
      <w:pPr>
        <w:pStyle w:val="ListParagraph"/>
        <w:numPr>
          <w:ilvl w:val="0"/>
          <w:numId w:val="1"/>
        </w:numPr>
        <w:spacing w:after="100" w:line="290"/>
      </w:pPr>
      <w:r>
        <w:rPr>
          <w:sz w:val="21"/>
          <w:szCs w:val="21"/>
        </w:rPr>
        <w:t xml:space="preserve">Any unusual circumstances affecting your family's finances (medical expenses, job loss, etc. — there's usually a section to explain context numbers alone don't capture)</w:t>
      </w:r>
    </w:p>
    <w:p>
      <w:pPr>
        <w:pStyle w:val="Heading2"/>
        <w:spacing w:after="150" w:before="300"/>
      </w:pPr>
      <w:r>
        <w:rPr>
          <w:b/>
          <w:bCs/>
          <w:color w:val="2563EB"/>
          <w:sz w:val="24"/>
          <w:szCs w:val="24"/>
        </w:rPr>
        <w:t xml:space="preserve">How the SSS calculates aid</w:t>
      </w:r>
    </w:p>
    <w:p>
      <w:pPr>
        <w:spacing w:after="160" w:line="300"/>
      </w:pPr>
      <w:r>
        <w:rPr>
          <w:color w:val="1D2939"/>
          <w:sz w:val="21"/>
          <w:szCs w:val="21"/>
        </w:rPr>
        <w:t xml:space="preserve">The SSS generates an Estimated Family Contribution (EFC) — a suggested amount your family could reasonably contribute toward tuition based on income, assets, and family size. Each school then uses this estimate (alongside their own institutional judgment and available aid budget) to build your actual aid offer. Every school makes its own final decision — the EFC is a starting reference point, not a guaranteed number, and different schools may offer somewhat different amounts even with the same EFC.</w:t>
      </w:r>
    </w:p>
    <w:p>
      <w:pPr>
        <w:pStyle w:val="Heading1"/>
        <w:pBdr>
          <w:bottom w:val="single" w:color="2563EB" w:sz="6" w:space="4"/>
        </w:pBdr>
        <w:spacing w:after="200" w:before="400"/>
      </w:pPr>
      <w:r>
        <w:rPr>
          <w:rFonts w:ascii="Georgia" w:cs="Georgia" w:eastAsia="Georgia" w:hAnsi="Georgia"/>
          <w:b/>
          <w:bCs/>
          <w:color w:val="1D2939"/>
          <w:sz w:val="32"/>
          <w:szCs w:val="32"/>
        </w:rPr>
        <w:t xml:space="preserve">Realistic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D2939" w:val="clear"/>
            <w:tcMar>
              <w:top w:type="dxa" w:w="100"/>
              <w:left w:type="dxa" w:w="120"/>
              <w:bottom w:type="dxa" w:w="100"/>
              <w:right w:type="dxa" w:w="120"/>
            </w:tcMar>
          </w:tcPr>
          <w:p>
            <w:r>
              <w:rPr>
                <w:b/>
                <w:bCs/>
                <w:color w:val="FFFFFF"/>
                <w:sz w:val="19"/>
                <w:szCs w:val="19"/>
              </w:rPr>
              <w:t xml:space="preserve">When</w:t>
            </w:r>
          </w:p>
        </w:tc>
        <w:tc>
          <w:tcPr>
            <w:tcW w:type="dxa" w:w="5550"/>
            <w:shd w:fill="1D2939" w:val="clear"/>
            <w:tcMar>
              <w:top w:type="dxa" w:w="100"/>
              <w:left w:type="dxa" w:w="120"/>
              <w:bottom w:type="dxa" w:w="100"/>
              <w:right w:type="dxa" w:w="120"/>
            </w:tcMar>
          </w:tcPr>
          <w:p>
            <w:r>
              <w:rPr>
                <w:b/>
                <w:bCs/>
                <w:color w:val="FFFFFF"/>
                <w:sz w:val="19"/>
                <w:szCs w:val="19"/>
              </w:rPr>
              <w:t xml:space="preserve">What to do</w:t>
            </w:r>
          </w:p>
        </w:tc>
      </w:tr>
      <w:tr>
        <w:tc>
          <w:tcPr>
            <w:tcW w:type="dxa" w:w="3800"/>
            <w:shd w:fill="FFFFFF" w:val="clear"/>
            <w:tcMar>
              <w:top w:type="dxa" w:w="100"/>
              <w:left w:type="dxa" w:w="120"/>
              <w:bottom w:type="dxa" w:w="100"/>
              <w:right w:type="dxa" w:w="120"/>
            </w:tcMar>
          </w:tcPr>
          <w:p>
            <w:r>
              <w:rPr>
                <w:color w:val="1D2939"/>
                <w:sz w:val="19"/>
                <w:szCs w:val="19"/>
              </w:rPr>
              <w:t xml:space="preserve">Fall (same year as application)</w:t>
            </w:r>
          </w:p>
        </w:tc>
        <w:tc>
          <w:tcPr>
            <w:tcW w:type="dxa" w:w="5550"/>
            <w:shd w:fill="FFFFFF" w:val="clear"/>
            <w:tcMar>
              <w:top w:type="dxa" w:w="100"/>
              <w:left w:type="dxa" w:w="120"/>
              <w:bottom w:type="dxa" w:w="100"/>
              <w:right w:type="dxa" w:w="120"/>
            </w:tcMar>
          </w:tcPr>
          <w:p>
            <w:r>
              <w:rPr>
                <w:color w:val="1D2939"/>
                <w:sz w:val="19"/>
                <w:szCs w:val="19"/>
              </w:rPr>
              <w:t xml:space="preserve">Create your SSS account and begin gathering tax documents and financial information</w:t>
            </w:r>
          </w:p>
        </w:tc>
      </w:tr>
      <w:tr>
        <w:tc>
          <w:tcPr>
            <w:tcW w:type="dxa" w:w="3800"/>
            <w:shd w:fill="F2F4F7" w:val="clear"/>
            <w:tcMar>
              <w:top w:type="dxa" w:w="100"/>
              <w:left w:type="dxa" w:w="120"/>
              <w:bottom w:type="dxa" w:w="100"/>
              <w:right w:type="dxa" w:w="120"/>
            </w:tcMar>
          </w:tcPr>
          <w:p>
            <w:r>
              <w:rPr>
                <w:color w:val="1D2939"/>
                <w:sz w:val="19"/>
                <w:szCs w:val="19"/>
              </w:rPr>
              <w:t xml:space="preserve">As early as possible, before each school's deadline</w:t>
            </w:r>
          </w:p>
        </w:tc>
        <w:tc>
          <w:tcPr>
            <w:tcW w:type="dxa" w:w="5550"/>
            <w:shd w:fill="F2F4F7" w:val="clear"/>
            <w:tcMar>
              <w:top w:type="dxa" w:w="100"/>
              <w:left w:type="dxa" w:w="120"/>
              <w:bottom w:type="dxa" w:w="100"/>
              <w:right w:type="dxa" w:w="120"/>
            </w:tcMar>
          </w:tcPr>
          <w:p>
            <w:r>
              <w:rPr>
                <w:color w:val="1D2939"/>
                <w:sz w:val="19"/>
                <w:szCs w:val="19"/>
              </w:rPr>
              <w:t xml:space="preserve">Submit the SSS application and send it to every school on your list that requires it</w:t>
            </w:r>
          </w:p>
        </w:tc>
      </w:tr>
      <w:tr>
        <w:tc>
          <w:tcPr>
            <w:tcW w:type="dxa" w:w="3800"/>
            <w:shd w:fill="FFFFFF" w:val="clear"/>
            <w:tcMar>
              <w:top w:type="dxa" w:w="100"/>
              <w:left w:type="dxa" w:w="120"/>
              <w:bottom w:type="dxa" w:w="100"/>
              <w:right w:type="dxa" w:w="120"/>
            </w:tcMar>
          </w:tcPr>
          <w:p>
            <w:r>
              <w:rPr>
                <w:color w:val="1D2939"/>
                <w:sz w:val="19"/>
                <w:szCs w:val="19"/>
              </w:rPr>
              <w:t xml:space="preserve">Varies by school, often January–February</w:t>
            </w:r>
          </w:p>
        </w:tc>
        <w:tc>
          <w:tcPr>
            <w:tcW w:type="dxa" w:w="5550"/>
            <w:shd w:fill="FFFFFF" w:val="clear"/>
            <w:tcMar>
              <w:top w:type="dxa" w:w="100"/>
              <w:left w:type="dxa" w:w="120"/>
              <w:bottom w:type="dxa" w:w="100"/>
              <w:right w:type="dxa" w:w="120"/>
            </w:tcMar>
          </w:tcPr>
          <w:p>
            <w:r>
              <w:rPr>
                <w:color w:val="1D2939"/>
                <w:sz w:val="19"/>
                <w:szCs w:val="19"/>
              </w:rPr>
              <w:t xml:space="preserve">Most financial aid application deadlines — often the same as or close to the admissions deadline; don't assume you have extra time</w:t>
            </w:r>
          </w:p>
        </w:tc>
      </w:tr>
      <w:tr>
        <w:tc>
          <w:tcPr>
            <w:tcW w:type="dxa" w:w="3800"/>
            <w:shd w:fill="F2F4F7" w:val="clear"/>
            <w:tcMar>
              <w:top w:type="dxa" w:w="100"/>
              <w:left w:type="dxa" w:w="120"/>
              <w:bottom w:type="dxa" w:w="100"/>
              <w:right w:type="dxa" w:w="120"/>
            </w:tcMar>
          </w:tcPr>
          <w:p>
            <w:r>
              <w:rPr>
                <w:color w:val="1D2939"/>
                <w:sz w:val="19"/>
                <w:szCs w:val="19"/>
              </w:rPr>
              <w:t xml:space="preserve">March (typically alongside admissions decisions)</w:t>
            </w:r>
          </w:p>
        </w:tc>
        <w:tc>
          <w:tcPr>
            <w:tcW w:type="dxa" w:w="5550"/>
            <w:shd w:fill="F2F4F7" w:val="clear"/>
            <w:tcMar>
              <w:top w:type="dxa" w:w="100"/>
              <w:left w:type="dxa" w:w="120"/>
              <w:bottom w:type="dxa" w:w="100"/>
              <w:right w:type="dxa" w:w="120"/>
            </w:tcMar>
          </w:tcPr>
          <w:p>
            <w:r>
              <w:rPr>
                <w:color w:val="1D2939"/>
                <w:sz w:val="19"/>
                <w:szCs w:val="19"/>
              </w:rPr>
              <w:t xml:space="preserve">Financial aid award letters usually arrive around the same time as your admissions decision</w:t>
            </w:r>
          </w:p>
        </w:tc>
      </w:tr>
      <w:tr>
        <w:tc>
          <w:tcPr>
            <w:tcW w:type="dxa" w:w="3800"/>
            <w:shd w:fill="FFFFFF" w:val="clear"/>
            <w:tcMar>
              <w:top w:type="dxa" w:w="100"/>
              <w:left w:type="dxa" w:w="120"/>
              <w:bottom w:type="dxa" w:w="100"/>
              <w:right w:type="dxa" w:w="120"/>
            </w:tcMar>
          </w:tcPr>
          <w:p>
            <w:r>
              <w:rPr>
                <w:color w:val="1D2939"/>
                <w:sz w:val="19"/>
                <w:szCs w:val="19"/>
              </w:rPr>
              <w:t xml:space="preserve">After admission</w:t>
            </w:r>
          </w:p>
        </w:tc>
        <w:tc>
          <w:tcPr>
            <w:tcW w:type="dxa" w:w="5550"/>
            <w:shd w:fill="FFFFFF" w:val="clear"/>
            <w:tcMar>
              <w:top w:type="dxa" w:w="100"/>
              <w:left w:type="dxa" w:w="120"/>
              <w:bottom w:type="dxa" w:w="100"/>
              <w:right w:type="dxa" w:w="120"/>
            </w:tcMar>
          </w:tcPr>
          <w:p>
            <w:r>
              <w:rPr>
                <w:color w:val="1D2939"/>
                <w:sz w:val="19"/>
                <w:szCs w:val="19"/>
              </w:rPr>
              <w:t xml:space="preserve">If needed, you can typically appeal or request a review if your family's circumstances have changed or if the offer doesn't seem to reflect your actual financial picture</w:t>
            </w:r>
          </w:p>
        </w:tc>
      </w:tr>
    </w:tbl>
    <w:p>
      <w:pPr>
        <w:pStyle w:val="Heading1"/>
        <w:pBdr>
          <w:bottom w:val="single" w:color="2563EB" w:sz="6" w:space="4"/>
        </w:pBdr>
        <w:spacing w:after="200" w:before="400"/>
      </w:pPr>
      <w:r>
        <w:rPr>
          <w:rFonts w:ascii="Georgia" w:cs="Georgia" w:eastAsia="Georgia" w:hAnsi="Georgia"/>
          <w:b/>
          <w:bCs/>
          <w:color w:val="1D2939"/>
          <w:sz w:val="32"/>
          <w:szCs w:val="32"/>
        </w:rPr>
        <w:t xml:space="preserve">Types of Aid You Might Be Offered</w:t>
      </w:r>
    </w:p>
    <w:p>
      <w:pPr>
        <w:pStyle w:val="ListParagraph"/>
        <w:numPr>
          <w:ilvl w:val="0"/>
          <w:numId w:val="1"/>
        </w:numPr>
        <w:spacing w:after="100" w:line="290"/>
      </w:pPr>
      <w:r>
        <w:rPr>
          <w:b/>
          <w:bCs/>
          <w:sz w:val="21"/>
          <w:szCs w:val="21"/>
        </w:rPr>
        <w:t xml:space="preserve">Need-based grants: </w:t>
      </w:r>
      <w:r>
        <w:rPr>
          <w:sz w:val="21"/>
          <w:szCs w:val="21"/>
        </w:rPr>
        <w:t xml:space="preserve">the most common form — money that does not need to be repaid, based on demonstrated financial need.</w:t>
      </w:r>
    </w:p>
    <w:p>
      <w:pPr>
        <w:pStyle w:val="ListParagraph"/>
        <w:numPr>
          <w:ilvl w:val="0"/>
          <w:numId w:val="1"/>
        </w:numPr>
        <w:spacing w:after="100" w:line="290"/>
      </w:pPr>
      <w:r>
        <w:rPr>
          <w:b/>
          <w:bCs/>
          <w:sz w:val="21"/>
          <w:szCs w:val="21"/>
        </w:rPr>
        <w:t xml:space="preserve">Merit scholarships: </w:t>
      </w:r>
      <w:r>
        <w:rPr>
          <w:sz w:val="21"/>
          <w:szCs w:val="21"/>
        </w:rPr>
        <w:t xml:space="preserve">offered by some (not all) schools based on academic, artistic, or athletic achievement, independent of financial need. Fewer boarding schools offer these compared to need-based aid, so don't assume they're available everywhere.</w:t>
      </w:r>
    </w:p>
    <w:p>
      <w:pPr>
        <w:pStyle w:val="ListParagraph"/>
        <w:numPr>
          <w:ilvl w:val="0"/>
          <w:numId w:val="1"/>
        </w:numPr>
        <w:spacing w:after="100" w:line="290"/>
      </w:pPr>
      <w:r>
        <w:rPr>
          <w:b/>
          <w:bCs/>
          <w:sz w:val="21"/>
          <w:szCs w:val="21"/>
        </w:rPr>
        <w:t xml:space="preserve">Work-study or campus job programs: </w:t>
      </w:r>
      <w:r>
        <w:rPr>
          <w:sz w:val="21"/>
          <w:szCs w:val="21"/>
        </w:rPr>
        <w:t xml:space="preserve">some schools offer students a modest paid campus job (library, dining hall, admissions office) as part of an aid package.</w:t>
      </w:r>
    </w:p>
    <w:p>
      <w:pPr>
        <w:pStyle w:val="ListParagraph"/>
        <w:numPr>
          <w:ilvl w:val="0"/>
          <w:numId w:val="1"/>
        </w:numPr>
        <w:spacing w:after="100" w:line="290"/>
      </w:pPr>
      <w:r>
        <w:rPr>
          <w:b/>
          <w:bCs/>
          <w:sz w:val="21"/>
          <w:szCs w:val="21"/>
        </w:rPr>
        <w:t xml:space="preserve">Payment plans: </w:t>
      </w:r>
      <w:r>
        <w:rPr>
          <w:sz w:val="21"/>
          <w:szCs w:val="21"/>
        </w:rPr>
        <w:t xml:space="preserve">even without financial aid, many schools allow tuition to be split into monthly or quarterly payments rather than one lump sum.</w:t>
      </w:r>
    </w:p>
    <w:p>
      <w:pPr>
        <w:pStyle w:val="Heading1"/>
        <w:pBdr>
          <w:bottom w:val="single" w:color="2563EB" w:sz="6" w:space="4"/>
        </w:pBdr>
        <w:spacing w:after="200" w:before="400"/>
      </w:pPr>
      <w:r>
        <w:rPr>
          <w:rFonts w:ascii="Georgia" w:cs="Georgia" w:eastAsia="Georgia" w:hAnsi="Georgia"/>
          <w:b/>
          <w:bCs/>
          <w:color w:val="1D2939"/>
          <w:sz w:val="32"/>
          <w:szCs w:val="32"/>
        </w:rPr>
        <w:t xml:space="preserve">Tips From Families Who've Been Through This</w:t>
      </w:r>
    </w:p>
    <w:p>
      <w:pPr>
        <w:pStyle w:val="ListParagraph"/>
        <w:numPr>
          <w:ilvl w:val="0"/>
          <w:numId w:val="2"/>
        </w:numPr>
        <w:spacing w:after="120" w:line="290"/>
      </w:pPr>
      <w:r>
        <w:rPr>
          <w:sz w:val="21"/>
          <w:szCs w:val="21"/>
        </w:rPr>
        <w:t xml:space="preserve">Apply for aid even if you're not sure you'll qualify — many families are surprised by the actual offer compared to what they expected based on the sticker price.</w:t>
      </w:r>
    </w:p>
    <w:p>
      <w:pPr>
        <w:pStyle w:val="ListParagraph"/>
        <w:numPr>
          <w:ilvl w:val="0"/>
          <w:numId w:val="2"/>
        </w:numPr>
        <w:spacing w:after="120" w:line="290"/>
      </w:pPr>
      <w:r>
        <w:rPr>
          <w:sz w:val="21"/>
          <w:szCs w:val="21"/>
        </w:rPr>
        <w:t xml:space="preserve">Be thorough and honest on the SSS — incomplete or inconsistent information can slow down or complicate your aid decision.</w:t>
      </w:r>
    </w:p>
    <w:p>
      <w:pPr>
        <w:pStyle w:val="ListParagraph"/>
        <w:numPr>
          <w:ilvl w:val="0"/>
          <w:numId w:val="2"/>
        </w:numPr>
        <w:spacing w:after="120" w:line="290"/>
      </w:pPr>
      <w:r>
        <w:rPr>
          <w:sz w:val="21"/>
          <w:szCs w:val="21"/>
        </w:rPr>
        <w:t xml:space="preserve">If your family's financial situation has changed since your last tax return (job loss, medical expenses, a new sibling in tuition-charging school), most schools have a way to note this — use it, don't assume the numbers alone tell your full story.</w:t>
      </w:r>
    </w:p>
    <w:p>
      <w:pPr>
        <w:pStyle w:val="ListParagraph"/>
        <w:numPr>
          <w:ilvl w:val="0"/>
          <w:numId w:val="2"/>
        </w:numPr>
        <w:spacing w:after="120" w:line="290"/>
      </w:pPr>
      <w:r>
        <w:rPr>
          <w:sz w:val="21"/>
          <w:szCs w:val="21"/>
        </w:rPr>
        <w:t xml:space="preserve">Compare offers across schools before committing — aid packages can vary meaningfully between schools even for similar family financial profiles.</w:t>
      </w:r>
    </w:p>
    <w:p>
      <w:pPr>
        <w:pStyle w:val="ListParagraph"/>
        <w:numPr>
          <w:ilvl w:val="0"/>
          <w:numId w:val="2"/>
        </w:numPr>
        <w:spacing w:after="120" w:line="290"/>
      </w:pPr>
      <w:r>
        <w:rPr>
          <w:sz w:val="21"/>
          <w:szCs w:val="21"/>
        </w:rPr>
        <w:t xml:space="preserve">If a financial aid offer feels insufficient, most schools have a financial aid officer you can respectfully reach out to directly — appeals and follow-up conversations are a normal part of the process, not an unusual request.</w:t>
      </w:r>
    </w:p>
    <w:p>
      <w:pPr>
        <w:pStyle w:val="ListParagraph"/>
        <w:numPr>
          <w:ilvl w:val="0"/>
          <w:numId w:val="2"/>
        </w:numPr>
        <w:spacing w:after="120" w:line="290"/>
      </w:pPr>
      <w:r>
        <w:rPr>
          <w:sz w:val="21"/>
          <w:szCs w:val="21"/>
        </w:rPr>
        <w:t xml:space="preserve">Ask each school directly about hidden costs beyond tuition (books, technology fees, travel to/from school, activity fees, spending money) — these can add up and aren't always covered by the same aid package.</w:t>
      </w:r>
    </w:p>
    <w:p>
      <w:pPr>
        <w:pStyle w:val="Heading1"/>
        <w:pBdr>
          <w:bottom w:val="single" w:color="2563EB" w:sz="6" w:space="4"/>
        </w:pBdr>
        <w:spacing w:after="200" w:before="400"/>
      </w:pPr>
      <w:r>
        <w:rPr>
          <w:rFonts w:ascii="Georgia" w:cs="Georgia" w:eastAsia="Georgia" w:hAnsi="Georgia"/>
          <w:b/>
          <w:bCs/>
          <w:color w:val="1D2939"/>
          <w:sz w:val="32"/>
          <w:szCs w:val="32"/>
        </w:rPr>
        <w:t xml:space="preserve">A Note for Families New to This Process</w:t>
      </w:r>
    </w:p>
    <w:p>
      <w:pPr>
        <w:spacing w:after="160" w:line="300"/>
      </w:pPr>
      <w:r>
        <w:rPr>
          <w:color w:val="1D2939"/>
          <w:sz w:val="21"/>
          <w:szCs w:val="21"/>
        </w:rPr>
        <w:t xml:space="preserve">If no one in your family has been through private school financial aid before, that's completely normal, and admissions offices know this. It's okay to call a school's financial aid office directly and ask basic questions — that's what they're there for, and asking early is far better than assuming a school is unaffordable and not applying at all.</w:t>
      </w: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F2F4F7" w:val="clear"/>
            <w:tcMar>
              <w:top w:type="dxa" w:w="200"/>
              <w:left w:type="dxa" w:w="200"/>
              <w:bottom w:type="dxa" w:w="200"/>
              <w:right w:type="dxa" w:w="200"/>
            </w:tcMar>
          </w:tcPr>
          <w:p>
            <w:pPr>
              <w:spacing w:after="80"/>
            </w:pPr>
            <w:r>
              <w:rPr>
                <w:b/>
                <w:bCs/>
                <w:color w:val="2563EB"/>
                <w:sz w:val="20"/>
                <w:szCs w:val="20"/>
              </w:rPr>
              <w:t xml:space="preserve">Ask your mentor</w:t>
            </w:r>
          </w:p>
          <w:p>
            <w:pPr>
              <w:spacing w:line="280"/>
            </w:pPr>
            <w:r>
              <w:rPr>
                <w:color w:val="1D2939"/>
                <w:sz w:val="20"/>
                <w:szCs w:val="20"/>
              </w:rPr>
              <w:t xml:space="preserve">Many Bridge to Boarding mentors are themselves financial aid recipients and are glad to talk honestly about their own family's experience with the process. This is exactly the kind of question mentors are comfortable helping with — reach out through your dashboard.</w:t>
            </w:r>
          </w:p>
        </w:tc>
      </w:tr>
    </w:tbl>
    <w:p>
      <w:pPr>
        <w:pBdr>
          <w:top w:val="single" w:color="D0D5DD" w:sz="4" w:space="8"/>
        </w:pBdr>
        <w:spacing w:before="300"/>
      </w:pPr>
      <w:r>
        <w:rPr>
          <w:i/>
          <w:iCs/>
          <w:color w:val="667085"/>
          <w:sz w:val="17"/>
          <w:szCs w:val="17"/>
        </w:rPr>
        <w:t xml:space="preserve">This guide is a general educational resource provided free by Bridge to Boarding. It is not affiliated with NAIS, the SSS system, or any individual school, and does not constitute financial advice. Always confirm current forms, deadlines, and policies directly with each school and with SSS.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2026-07-12T12:16:19.379Z</dcterms:created>
  <dcterms:modified xsi:type="dcterms:W3CDTF">2026-07-12T12:16:19.379Z</dcterms:modified>
</cp:coreProperties>
</file>

<file path=docProps/custom.xml><?xml version="1.0" encoding="utf-8"?>
<Properties xmlns="http://schemas.openxmlformats.org/officeDocument/2006/custom-properties" xmlns:vt="http://schemas.openxmlformats.org/officeDocument/2006/docPropsVTypes"/>
</file>