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b/>
          <w:bCs/>
          <w:color w:val="2563EB"/>
          <w:spacing w:val="20"/>
          <w:sz w:val="22"/>
          <w:szCs w:val="22"/>
        </w:rPr>
        <w:t xml:space="preserve">BRIDGE TO BOARDING</w:t>
      </w:r>
    </w:p>
    <w:p>
      <w:pPr>
        <w:spacing w:after="200"/>
        <w:jc w:val="center"/>
      </w:pPr>
      <w:r>
        <w:rPr>
          <w:rFonts w:ascii="Georgia" w:cs="Georgia" w:eastAsia="Georgia" w:hAnsi="Georgia"/>
          <w:b/>
          <w:bCs/>
          <w:color w:val="1D2939"/>
          <w:sz w:val="56"/>
          <w:szCs w:val="56"/>
        </w:rPr>
        <w:t xml:space="preserve">The 8-Week ISEE Study Plan</w:t>
      </w:r>
    </w:p>
    <w:p>
      <w:pPr>
        <w:spacing w:after="3000"/>
        <w:jc w:val="center"/>
      </w:pPr>
      <w:r>
        <w:rPr>
          <w:i/>
          <w:iCs/>
          <w:color w:val="667085"/>
          <w:sz w:val="26"/>
          <w:szCs w:val="26"/>
        </w:rPr>
        <w:t xml:space="preserve">A realistic, week-by-week roadmap to prepare for the Independent School Entrance Exam</w:t>
      </w:r>
    </w:p>
    <w:p>
      <w:pPr>
        <w:jc w:val="center"/>
      </w:pPr>
      <w:r>
        <w:rPr>
          <w:color w:val="667085"/>
          <w:sz w:val="18"/>
          <w:szCs w:val="18"/>
        </w:rPr>
        <w:t xml:space="preserve">A free resource from Bridge to Boarding — run by boarding school students, for future boarding school students.</w:t>
      </w:r>
    </w:p>
    <w:p>
      <w:r>
        <w:br w:type="page"/>
      </w:r>
    </w:p>
    <w:p>
      <w:pPr>
        <w:pStyle w:val="Heading1"/>
        <w:pBdr>
          <w:bottom w:val="single" w:color="2563EB" w:sz="6" w:space="4"/>
        </w:pBdr>
        <w:spacing w:after="200" w:before="400"/>
      </w:pPr>
      <w:r>
        <w:rPr>
          <w:rFonts w:ascii="Georgia" w:cs="Georgia" w:eastAsia="Georgia" w:hAnsi="Georgia"/>
          <w:b/>
          <w:bCs/>
          <w:color w:val="1D2939"/>
          <w:sz w:val="32"/>
          <w:szCs w:val="32"/>
        </w:rPr>
        <w:t xml:space="preserve">Understanding the ISEE</w:t>
      </w:r>
    </w:p>
    <w:p>
      <w:pPr>
        <w:spacing w:after="160" w:line="300"/>
      </w:pPr>
      <w:r>
        <w:rPr>
          <w:color w:val="1D2939"/>
          <w:sz w:val="21"/>
          <w:szCs w:val="21"/>
        </w:rPr>
        <w:t xml:space="preserve">The ISEE (Independent School Entrance Exam), administered by ERB, is used by many independent and boarding schools alongside or instead of the SSAT. It has five sections: Verbal Reasoning, Quantitative Reasoning, Reading Comprehension, Mathematics Achievement, and an unscored Essay. The Quantitative Reasoning section is a distinctive feature of the ISEE — it tests mathematical thinking and estimation, not just computation, which trips up students who prepare for math the way they would for a typical school test.</w:t>
      </w:r>
    </w:p>
    <w:p>
      <w:pPr>
        <w:spacing w:after="160" w:line="300"/>
      </w:pPr>
      <w:r>
        <w:rPr>
          <w:color w:val="1D2939"/>
          <w:sz w:val="21"/>
          <w:szCs w:val="21"/>
        </w:rPr>
        <w:t xml:space="preserve">Which level you take (Lower, Middle, or Upper) depends on your current grade — check with each school on your list or the ERB website to confirm which level applies to you.</w:t>
      </w:r>
    </w:p>
    <w:p>
      <w:pPr>
        <w:pStyle w:val="Heading1"/>
        <w:pBdr>
          <w:bottom w:val="single" w:color="2563EB" w:sz="6" w:space="4"/>
        </w:pBdr>
        <w:spacing w:after="200" w:before="400"/>
      </w:pPr>
      <w:r>
        <w:rPr>
          <w:rFonts w:ascii="Georgia" w:cs="Georgia" w:eastAsia="Georgia" w:hAnsi="Georgia"/>
          <w:b/>
          <w:bCs/>
          <w:color w:val="1D2939"/>
          <w:sz w:val="32"/>
          <w:szCs w:val="32"/>
        </w:rPr>
        <w:t xml:space="preserve">Before You Start: A Diagnostic Test</w:t>
      </w:r>
    </w:p>
    <w:p>
      <w:pPr>
        <w:spacing w:after="160" w:line="300"/>
      </w:pPr>
      <w:r>
        <w:rPr>
          <w:color w:val="1D2939"/>
          <w:sz w:val="21"/>
          <w:szCs w:val="21"/>
        </w:rPr>
        <w:t xml:space="preserve">Take one full, timed, official practice test before starting any structured study. ERB sells official practice tests directly, and this is worth the investment — it's the most accurate way to see your true starting point across all five sections.</w:t>
      </w:r>
    </w:p>
    <w:p>
      <w:pPr>
        <w:pStyle w:val="Heading1"/>
        <w:pBdr>
          <w:bottom w:val="single" w:color="2563EB" w:sz="6" w:space="4"/>
        </w:pBdr>
        <w:spacing w:after="200" w:before="400"/>
      </w:pPr>
      <w:r>
        <w:rPr>
          <w:rFonts w:ascii="Georgia" w:cs="Georgia" w:eastAsia="Georgia" w:hAnsi="Georgia"/>
          <w:b/>
          <w:bCs/>
          <w:color w:val="1D2939"/>
          <w:sz w:val="32"/>
          <w:szCs w:val="32"/>
        </w:rPr>
        <w:t xml:space="preserve">The 8-Week Plan</w:t>
      </w:r>
    </w:p>
    <w:p>
      <w:pPr>
        <w:spacing w:after="160" w:line="300"/>
      </w:pPr>
      <w:r>
        <w:rPr>
          <w:color w:val="1D2939"/>
          <w:sz w:val="21"/>
          <w:szCs w:val="21"/>
        </w:rPr>
        <w:t xml:space="preserve">This plan assumes roughly 4–5 hours of study per week. Adjust the pace based on your actual timeline — the sequence (diagnose, build skills, drill by section, simulate, taper) is what matters most.</w:t>
      </w:r>
    </w:p>
    <w:p>
      <w:pPr>
        <w:pStyle w:val="Heading2"/>
        <w:spacing w:after="150" w:before="300"/>
      </w:pPr>
      <w:r>
        <w:rPr>
          <w:b/>
          <w:bCs/>
          <w:color w:val="2563EB"/>
          <w:sz w:val="24"/>
          <w:szCs w:val="24"/>
        </w:rPr>
        <w:t xml:space="preserve">Weeks 1–2: Foundations &amp; the Quantitative Reasoning Mindset</w:t>
      </w:r>
    </w:p>
    <w:p>
      <w:pPr>
        <w:pStyle w:val="ListParagraph"/>
        <w:numPr>
          <w:ilvl w:val="0"/>
          <w:numId w:val="1"/>
        </w:numPr>
        <w:spacing w:after="100" w:line="290"/>
      </w:pPr>
      <w:r>
        <w:rPr>
          <w:sz w:val="21"/>
          <w:szCs w:val="21"/>
        </w:rPr>
        <w:t xml:space="preserve">Review your diagnostic results and identify your two weakest sections.</w:t>
      </w:r>
    </w:p>
    <w:p>
      <w:pPr>
        <w:pStyle w:val="ListParagraph"/>
        <w:numPr>
          <w:ilvl w:val="0"/>
          <w:numId w:val="1"/>
        </w:numPr>
        <w:spacing w:after="100" w:line="290"/>
      </w:pPr>
      <w:r>
        <w:rPr>
          <w:sz w:val="21"/>
          <w:szCs w:val="21"/>
        </w:rPr>
        <w:t xml:space="preserve">Start a vocabulary list for Verbal Reasoning — like the SSAT, strong vocabulary is the highest-leverage skill you can build for this section.</w:t>
      </w:r>
    </w:p>
    <w:p>
      <w:pPr>
        <w:pStyle w:val="ListParagraph"/>
        <w:numPr>
          <w:ilvl w:val="0"/>
          <w:numId w:val="1"/>
        </w:numPr>
        <w:spacing w:after="100" w:line="290"/>
      </w:pPr>
      <w:r>
        <w:rPr>
          <w:sz w:val="21"/>
          <w:szCs w:val="21"/>
        </w:rPr>
        <w:t xml:space="preserve">Specifically practice Quantitative Reasoning "reasoning" questions (not just computation) — these often ask you to estimate, compare, or reason about a scenario rather than calculate an exact number. Practice explaining your reasoning out loud, not just solving.</w:t>
      </w:r>
    </w:p>
    <w:p>
      <w:pPr>
        <w:pStyle w:val="ListParagraph"/>
        <w:numPr>
          <w:ilvl w:val="0"/>
          <w:numId w:val="1"/>
        </w:numPr>
        <w:spacing w:after="100" w:line="290"/>
      </w:pPr>
      <w:r>
        <w:rPr>
          <w:sz w:val="21"/>
          <w:szCs w:val="21"/>
        </w:rPr>
        <w:t xml:space="preserve">Review core Mathematics Achievement content: arithmetic operations, fractions/decimals/percentages, basic algebra, and geometry fundamentals appropriate to your test level.</w:t>
      </w:r>
    </w:p>
    <w:p>
      <w:pPr>
        <w:pStyle w:val="ListParagraph"/>
        <w:numPr>
          <w:ilvl w:val="0"/>
          <w:numId w:val="1"/>
        </w:numPr>
        <w:spacing w:after="100" w:line="290"/>
      </w:pPr>
      <w:r>
        <w:rPr>
          <w:sz w:val="21"/>
          <w:szCs w:val="21"/>
        </w:rPr>
        <w:t xml:space="preserve">Read 20–30 minutes daily from a mix of fiction and nonfiction to build Reading Comprehension stamina.</w:t>
      </w:r>
    </w:p>
    <w:p>
      <w:pPr>
        <w:pStyle w:val="Heading2"/>
        <w:spacing w:after="150" w:before="300"/>
      </w:pPr>
      <w:r>
        <w:rPr>
          <w:b/>
          <w:bCs/>
          <w:color w:val="2563EB"/>
          <w:sz w:val="24"/>
          <w:szCs w:val="24"/>
        </w:rPr>
        <w:t xml:space="preserve">Weeks 3–4: Section-by-Section Skill Building</w:t>
      </w:r>
    </w:p>
    <w:p>
      <w:pPr>
        <w:pStyle w:val="ListParagraph"/>
        <w:numPr>
          <w:ilvl w:val="0"/>
          <w:numId w:val="1"/>
        </w:numPr>
        <w:spacing w:after="100" w:line="290"/>
      </w:pPr>
      <w:r>
        <w:rPr>
          <w:sz w:val="21"/>
          <w:szCs w:val="21"/>
        </w:rPr>
        <w:t xml:space="preserve">Verbal Reasoning: practice both synonym and sentence-completion questions — the ISEE's sentence completions often test context clues as much as vocabulary, so practice reading the whole sentence for meaning before picking an answer.</w:t>
      </w:r>
    </w:p>
    <w:p>
      <w:pPr>
        <w:pStyle w:val="ListParagraph"/>
        <w:numPr>
          <w:ilvl w:val="0"/>
          <w:numId w:val="1"/>
        </w:numPr>
        <w:spacing w:after="100" w:line="290"/>
      </w:pPr>
      <w:r>
        <w:rPr>
          <w:sz w:val="21"/>
          <w:szCs w:val="21"/>
        </w:rPr>
        <w:t xml:space="preserve">Quantitative Reasoning: practice "quantitative comparison" questions specifically (comparing two quantities without necessarily calculating exact values) — this question type appears only on the ISEE and needs distinct practice.</w:t>
      </w:r>
    </w:p>
    <w:p>
      <w:pPr>
        <w:pStyle w:val="ListParagraph"/>
        <w:numPr>
          <w:ilvl w:val="0"/>
          <w:numId w:val="1"/>
        </w:numPr>
        <w:spacing w:after="100" w:line="290"/>
      </w:pPr>
      <w:r>
        <w:rPr>
          <w:sz w:val="21"/>
          <w:szCs w:val="21"/>
        </w:rPr>
        <w:t xml:space="preserve">Mathematics Achievement: work one topic per session, tracking which topics take you the longest to solve correctly.</w:t>
      </w:r>
    </w:p>
    <w:p>
      <w:pPr>
        <w:pStyle w:val="ListParagraph"/>
        <w:numPr>
          <w:ilvl w:val="0"/>
          <w:numId w:val="1"/>
        </w:numPr>
        <w:spacing w:after="100" w:line="290"/>
      </w:pPr>
      <w:r>
        <w:rPr>
          <w:sz w:val="21"/>
          <w:szCs w:val="21"/>
        </w:rPr>
        <w:t xml:space="preserve">Reading Comprehension: after each passage, practice identifying the passage's main purpose and tone before answering detail questions — many wrong answers come from missing the big picture.</w:t>
      </w:r>
    </w:p>
    <w:p>
      <w:pPr>
        <w:pStyle w:val="ListParagraph"/>
        <w:numPr>
          <w:ilvl w:val="0"/>
          <w:numId w:val="1"/>
        </w:numPr>
        <w:spacing w:after="100" w:line="290"/>
      </w:pPr>
      <w:r>
        <w:rPr>
          <w:sz w:val="21"/>
          <w:szCs w:val="21"/>
        </w:rPr>
        <w:t xml:space="preserve">Continue building your vocabulary list weekly.</w:t>
      </w:r>
    </w:p>
    <w:p>
      <w:pPr>
        <w:pStyle w:val="Heading2"/>
        <w:spacing w:after="150" w:before="300"/>
      </w:pPr>
      <w:r>
        <w:rPr>
          <w:b/>
          <w:bCs/>
          <w:color w:val="2563EB"/>
          <w:sz w:val="24"/>
          <w:szCs w:val="24"/>
        </w:rPr>
        <w:t xml:space="preserve">Weeks 5–6: Timed Practice by Section</w:t>
      </w:r>
    </w:p>
    <w:p>
      <w:pPr>
        <w:pStyle w:val="ListParagraph"/>
        <w:numPr>
          <w:ilvl w:val="0"/>
          <w:numId w:val="1"/>
        </w:numPr>
        <w:spacing w:after="100" w:line="290"/>
      </w:pPr>
      <w:r>
        <w:rPr>
          <w:sz w:val="21"/>
          <w:szCs w:val="21"/>
        </w:rPr>
        <w:t xml:space="preserve">Take one full timed section twice a week, rotating through all five.</w:t>
      </w:r>
    </w:p>
    <w:p>
      <w:pPr>
        <w:pStyle w:val="ListParagraph"/>
        <w:numPr>
          <w:ilvl w:val="0"/>
          <w:numId w:val="1"/>
        </w:numPr>
        <w:spacing w:after="100" w:line="290"/>
      </w:pPr>
      <w:r>
        <w:rPr>
          <w:sz w:val="21"/>
          <w:szCs w:val="21"/>
        </w:rPr>
        <w:t xml:space="preserve">Review every wrong answer immediately after each timed section — understanding why is more valuable than volume of practice.</w:t>
      </w:r>
    </w:p>
    <w:p>
      <w:pPr>
        <w:pStyle w:val="ListParagraph"/>
        <w:numPr>
          <w:ilvl w:val="0"/>
          <w:numId w:val="1"/>
        </w:numPr>
        <w:spacing w:after="100" w:line="290"/>
      </w:pPr>
      <w:r>
        <w:rPr>
          <w:sz w:val="21"/>
          <w:szCs w:val="21"/>
        </w:rPr>
        <w:t xml:space="preserve">Keep an error log categorizing each mistake (concept gap, careless error, timing issue, misread question) — this will show you exactly where to focus remaining study time.</w:t>
      </w:r>
    </w:p>
    <w:p>
      <w:pPr>
        <w:pStyle w:val="ListParagraph"/>
        <w:numPr>
          <w:ilvl w:val="0"/>
          <w:numId w:val="1"/>
        </w:numPr>
        <w:spacing w:after="100" w:line="290"/>
      </w:pPr>
      <w:r>
        <w:rPr>
          <w:sz w:val="21"/>
          <w:szCs w:val="21"/>
        </w:rPr>
        <w:t xml:space="preserve">Practice the Essay section under real timed conditions at least twice — it's unscored but is sent directly to schools, so it's worth genuine practice, not skipping.</w:t>
      </w:r>
    </w:p>
    <w:p>
      <w:pPr>
        <w:pStyle w:val="Heading2"/>
        <w:spacing w:after="150" w:before="300"/>
      </w:pPr>
      <w:r>
        <w:rPr>
          <w:b/>
          <w:bCs/>
          <w:color w:val="2563EB"/>
          <w:sz w:val="24"/>
          <w:szCs w:val="24"/>
        </w:rPr>
        <w:t xml:space="preserve">Week 7: Full-Length Practice Test</w:t>
      </w:r>
    </w:p>
    <w:p>
      <w:pPr>
        <w:pStyle w:val="ListParagraph"/>
        <w:numPr>
          <w:ilvl w:val="0"/>
          <w:numId w:val="1"/>
        </w:numPr>
        <w:spacing w:after="100" w:line="290"/>
      </w:pPr>
      <w:r>
        <w:rPr>
          <w:sz w:val="21"/>
          <w:szCs w:val="21"/>
        </w:rPr>
        <w:t xml:space="preserve">Take one complete, timed, official practice test under realistic conditions.</w:t>
      </w:r>
    </w:p>
    <w:p>
      <w:pPr>
        <w:pStyle w:val="ListParagraph"/>
        <w:numPr>
          <w:ilvl w:val="0"/>
          <w:numId w:val="1"/>
        </w:numPr>
        <w:spacing w:after="100" w:line="290"/>
      </w:pPr>
      <w:r>
        <w:rPr>
          <w:sz w:val="21"/>
          <w:szCs w:val="21"/>
        </w:rPr>
        <w:t xml:space="preserve">Score it and compare to your Week 1 diagnostic.</w:t>
      </w:r>
    </w:p>
    <w:p>
      <w:pPr>
        <w:pStyle w:val="ListParagraph"/>
        <w:numPr>
          <w:ilvl w:val="0"/>
          <w:numId w:val="1"/>
        </w:numPr>
        <w:spacing w:after="100" w:line="290"/>
      </w:pPr>
      <w:r>
        <w:rPr>
          <w:sz w:val="21"/>
          <w:szCs w:val="21"/>
        </w:rPr>
        <w:t xml:space="preserve">Spend the remainder of the week reviewing mistakes in depth rather than introducing new material.</w:t>
      </w:r>
    </w:p>
    <w:p>
      <w:pPr>
        <w:pStyle w:val="Heading2"/>
        <w:spacing w:after="150" w:before="300"/>
      </w:pPr>
      <w:r>
        <w:rPr>
          <w:b/>
          <w:bCs/>
          <w:color w:val="2563EB"/>
          <w:sz w:val="24"/>
          <w:szCs w:val="24"/>
        </w:rPr>
        <w:t xml:space="preserve">Week 8: Taper &amp; Test Readiness</w:t>
      </w:r>
    </w:p>
    <w:p>
      <w:pPr>
        <w:pStyle w:val="ListParagraph"/>
        <w:numPr>
          <w:ilvl w:val="0"/>
          <w:numId w:val="1"/>
        </w:numPr>
        <w:spacing w:after="100" w:line="290"/>
      </w:pPr>
      <w:r>
        <w:rPr>
          <w:sz w:val="21"/>
          <w:szCs w:val="21"/>
        </w:rPr>
        <w:t xml:space="preserve">Scale back to light review only — vocabulary flashcards and a handful of practice questions daily.</w:t>
      </w:r>
    </w:p>
    <w:p>
      <w:pPr>
        <w:pStyle w:val="ListParagraph"/>
        <w:numPr>
          <w:ilvl w:val="0"/>
          <w:numId w:val="1"/>
        </w:numPr>
        <w:spacing w:after="100" w:line="290"/>
      </w:pPr>
      <w:r>
        <w:rPr>
          <w:sz w:val="21"/>
          <w:szCs w:val="21"/>
        </w:rPr>
        <w:t xml:space="preserve">Confirm test-day logistics: test center or online proctoring details, required ID, what's allowed (calculators are not permitted on any ISEE math section, unlike some other tests — double check current ERB policy).</w:t>
      </w:r>
    </w:p>
    <w:p>
      <w:pPr>
        <w:pStyle w:val="ListParagraph"/>
        <w:numPr>
          <w:ilvl w:val="0"/>
          <w:numId w:val="1"/>
        </w:numPr>
        <w:spacing w:after="100" w:line="290"/>
      </w:pPr>
      <w:r>
        <w:rPr>
          <w:sz w:val="21"/>
          <w:szCs w:val="21"/>
        </w:rPr>
        <w:t xml:space="preserve">Prioritize sleep for the two nights before the test.</w:t>
      </w:r>
    </w:p>
    <w:p>
      <w:pPr>
        <w:pStyle w:val="ListParagraph"/>
        <w:numPr>
          <w:ilvl w:val="0"/>
          <w:numId w:val="1"/>
        </w:numPr>
        <w:spacing w:after="100" w:line="290"/>
      </w:pPr>
      <w:r>
        <w:rPr>
          <w:sz w:val="21"/>
          <w:szCs w:val="21"/>
        </w:rPr>
        <w:t xml:space="preserve">On test day, eat a real breakfast, arrive early, and remember this is one part of a much bigger application.</w:t>
      </w:r>
    </w:p>
    <w:p>
      <w:pPr>
        <w:pStyle w:val="Heading1"/>
        <w:pBdr>
          <w:bottom w:val="single" w:color="2563EB" w:sz="6" w:space="4"/>
        </w:pBdr>
        <w:spacing w:after="200" w:before="400"/>
      </w:pPr>
      <w:r>
        <w:rPr>
          <w:rFonts w:ascii="Georgia" w:cs="Georgia" w:eastAsia="Georgia" w:hAnsi="Georgia"/>
          <w:b/>
          <w:bCs/>
          <w:color w:val="1D2939"/>
          <w:sz w:val="32"/>
          <w:szCs w:val="32"/>
        </w:rPr>
        <w:t xml:space="preserve">Weekly Time Budget (Suggested)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D2939" w:val="clear"/>
            <w:tcMar>
              <w:top w:type="dxa" w:w="100"/>
              <w:left w:type="dxa" w:w="120"/>
              <w:bottom w:type="dxa" w:w="100"/>
              <w:right w:type="dxa" w:w="120"/>
            </w:tcMar>
          </w:tcPr>
          <w:p>
            <w:r>
              <w:rPr>
                <w:b/>
                <w:bCs/>
                <w:color w:val="FFFFFF"/>
                <w:sz w:val="19"/>
                <w:szCs w:val="19"/>
              </w:rPr>
              <w:t xml:space="preserve">Activity</w:t>
            </w:r>
          </w:p>
        </w:tc>
        <w:tc>
          <w:tcPr>
            <w:tcW w:type="dxa" w:w="3000"/>
            <w:shd w:fill="1D2939" w:val="clear"/>
            <w:tcMar>
              <w:top w:type="dxa" w:w="100"/>
              <w:left w:type="dxa" w:w="120"/>
              <w:bottom w:type="dxa" w:w="100"/>
              <w:right w:type="dxa" w:w="120"/>
            </w:tcMar>
          </w:tcPr>
          <w:p>
            <w:r>
              <w:rPr>
                <w:b/>
                <w:bCs/>
                <w:color w:val="FFFFFF"/>
                <w:sz w:val="19"/>
                <w:szCs w:val="19"/>
              </w:rPr>
              <w:t xml:space="preserve">Time per week</w:t>
            </w:r>
          </w:p>
        </w:tc>
      </w:tr>
      <w:tr>
        <w:tc>
          <w:tcPr>
            <w:tcW w:type="dxa" w:w="6350"/>
            <w:shd w:fill="FFFFFF" w:val="clear"/>
            <w:tcMar>
              <w:top w:type="dxa" w:w="100"/>
              <w:left w:type="dxa" w:w="120"/>
              <w:bottom w:type="dxa" w:w="100"/>
              <w:right w:type="dxa" w:w="120"/>
            </w:tcMar>
          </w:tcPr>
          <w:p>
            <w:r>
              <w:rPr>
                <w:color w:val="1D2939"/>
                <w:sz w:val="19"/>
                <w:szCs w:val="19"/>
              </w:rPr>
              <w:t xml:space="preserve">Vocabulary building</w:t>
            </w:r>
          </w:p>
        </w:tc>
        <w:tc>
          <w:tcPr>
            <w:tcW w:type="dxa" w:w="3000"/>
            <w:shd w:fill="FFFFFF" w:val="clear"/>
            <w:tcMar>
              <w:top w:type="dxa" w:w="100"/>
              <w:left w:type="dxa" w:w="120"/>
              <w:bottom w:type="dxa" w:w="100"/>
              <w:right w:type="dxa" w:w="120"/>
            </w:tcMar>
          </w:tcPr>
          <w:p>
            <w:r>
              <w:rPr>
                <w:color w:val="1D2939"/>
                <w:sz w:val="19"/>
                <w:szCs w:val="19"/>
              </w:rPr>
              <w:t xml:space="preserve">45–60 minutes</w:t>
            </w:r>
          </w:p>
        </w:tc>
      </w:tr>
      <w:tr>
        <w:tc>
          <w:tcPr>
            <w:tcW w:type="dxa" w:w="6350"/>
            <w:shd w:fill="F2F4F7" w:val="clear"/>
            <w:tcMar>
              <w:top w:type="dxa" w:w="100"/>
              <w:left w:type="dxa" w:w="120"/>
              <w:bottom w:type="dxa" w:w="100"/>
              <w:right w:type="dxa" w:w="120"/>
            </w:tcMar>
          </w:tcPr>
          <w:p>
            <w:r>
              <w:rPr>
                <w:color w:val="1D2939"/>
                <w:sz w:val="19"/>
                <w:szCs w:val="19"/>
              </w:rPr>
              <w:t xml:space="preserve">Quantitative Reasoning practice</w:t>
            </w:r>
          </w:p>
        </w:tc>
        <w:tc>
          <w:tcPr>
            <w:tcW w:type="dxa" w:w="3000"/>
            <w:shd w:fill="F2F4F7" w:val="clear"/>
            <w:tcMar>
              <w:top w:type="dxa" w:w="100"/>
              <w:left w:type="dxa" w:w="120"/>
              <w:bottom w:type="dxa" w:w="100"/>
              <w:right w:type="dxa" w:w="120"/>
            </w:tcMar>
          </w:tcPr>
          <w:p>
            <w:r>
              <w:rPr>
                <w:color w:val="1D2939"/>
                <w:sz w:val="19"/>
                <w:szCs w:val="19"/>
              </w:rPr>
              <w:t xml:space="preserve">60–90 minutes</w:t>
            </w:r>
          </w:p>
        </w:tc>
      </w:tr>
      <w:tr>
        <w:tc>
          <w:tcPr>
            <w:tcW w:type="dxa" w:w="6350"/>
            <w:shd w:fill="FFFFFF" w:val="clear"/>
            <w:tcMar>
              <w:top w:type="dxa" w:w="100"/>
              <w:left w:type="dxa" w:w="120"/>
              <w:bottom w:type="dxa" w:w="100"/>
              <w:right w:type="dxa" w:w="120"/>
            </w:tcMar>
          </w:tcPr>
          <w:p>
            <w:r>
              <w:rPr>
                <w:color w:val="1D2939"/>
                <w:sz w:val="19"/>
                <w:szCs w:val="19"/>
              </w:rPr>
              <w:t xml:space="preserve">Mathematics Achievement review</w:t>
            </w:r>
          </w:p>
        </w:tc>
        <w:tc>
          <w:tcPr>
            <w:tcW w:type="dxa" w:w="3000"/>
            <w:shd w:fill="FFFFFF" w:val="clear"/>
            <w:tcMar>
              <w:top w:type="dxa" w:w="100"/>
              <w:left w:type="dxa" w:w="120"/>
              <w:bottom w:type="dxa" w:w="100"/>
              <w:right w:type="dxa" w:w="120"/>
            </w:tcMar>
          </w:tcPr>
          <w:p>
            <w:r>
              <w:rPr>
                <w:color w:val="1D2939"/>
                <w:sz w:val="19"/>
                <w:szCs w:val="19"/>
              </w:rPr>
              <w:t xml:space="preserve">60–90 minutes</w:t>
            </w:r>
          </w:p>
        </w:tc>
      </w:tr>
      <w:tr>
        <w:tc>
          <w:tcPr>
            <w:tcW w:type="dxa" w:w="6350"/>
            <w:shd w:fill="F2F4F7" w:val="clear"/>
            <w:tcMar>
              <w:top w:type="dxa" w:w="100"/>
              <w:left w:type="dxa" w:w="120"/>
              <w:bottom w:type="dxa" w:w="100"/>
              <w:right w:type="dxa" w:w="120"/>
            </w:tcMar>
          </w:tcPr>
          <w:p>
            <w:r>
              <w:rPr>
                <w:color w:val="1D2939"/>
                <w:sz w:val="19"/>
                <w:szCs w:val="19"/>
              </w:rPr>
              <w:t xml:space="preserve">Reading Comprehension practice</w:t>
            </w:r>
          </w:p>
        </w:tc>
        <w:tc>
          <w:tcPr>
            <w:tcW w:type="dxa" w:w="3000"/>
            <w:shd w:fill="F2F4F7" w:val="clear"/>
            <w:tcMar>
              <w:top w:type="dxa" w:w="100"/>
              <w:left w:type="dxa" w:w="120"/>
              <w:bottom w:type="dxa" w:w="100"/>
              <w:right w:type="dxa" w:w="120"/>
            </w:tcMar>
          </w:tcPr>
          <w:p>
            <w:r>
              <w:rPr>
                <w:color w:val="1D2939"/>
                <w:sz w:val="19"/>
                <w:szCs w:val="19"/>
              </w:rPr>
              <w:t xml:space="preserve">45–60 minutes</w:t>
            </w:r>
          </w:p>
        </w:tc>
      </w:tr>
      <w:tr>
        <w:tc>
          <w:tcPr>
            <w:tcW w:type="dxa" w:w="6350"/>
            <w:shd w:fill="FFFFFF" w:val="clear"/>
            <w:tcMar>
              <w:top w:type="dxa" w:w="100"/>
              <w:left w:type="dxa" w:w="120"/>
              <w:bottom w:type="dxa" w:w="100"/>
              <w:right w:type="dxa" w:w="120"/>
            </w:tcMar>
          </w:tcPr>
          <w:p>
            <w:r>
              <w:rPr>
                <w:color w:val="1D2939"/>
                <w:sz w:val="19"/>
                <w:szCs w:val="19"/>
              </w:rPr>
              <w:t xml:space="preserve">Timed section practice (weeks 5+)</w:t>
            </w:r>
          </w:p>
        </w:tc>
        <w:tc>
          <w:tcPr>
            <w:tcW w:type="dxa" w:w="3000"/>
            <w:shd w:fill="FFFFFF" w:val="clear"/>
            <w:tcMar>
              <w:top w:type="dxa" w:w="100"/>
              <w:left w:type="dxa" w:w="120"/>
              <w:bottom w:type="dxa" w:w="100"/>
              <w:right w:type="dxa" w:w="120"/>
            </w:tcMar>
          </w:tcPr>
          <w:p>
            <w:r>
              <w:rPr>
                <w:color w:val="1D2939"/>
                <w:sz w:val="19"/>
                <w:szCs w:val="19"/>
              </w:rPr>
              <w:t xml:space="preserve">60–90 minutes</w:t>
            </w:r>
          </w:p>
        </w:tc>
      </w:tr>
    </w:tbl>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F2F4F7" w:val="clear"/>
            <w:tcMar>
              <w:top w:type="dxa" w:w="200"/>
              <w:left w:type="dxa" w:w="200"/>
              <w:bottom w:type="dxa" w:w="200"/>
              <w:right w:type="dxa" w:w="200"/>
            </w:tcMar>
          </w:tcPr>
          <w:p>
            <w:pPr>
              <w:spacing w:after="80"/>
            </w:pPr>
            <w:r>
              <w:rPr>
                <w:b/>
                <w:bCs/>
                <w:color w:val="2563EB"/>
                <w:sz w:val="20"/>
                <w:szCs w:val="20"/>
              </w:rPr>
              <w:t xml:space="preserve">Ask your mentor</w:t>
            </w:r>
          </w:p>
          <w:p>
            <w:pPr>
              <w:spacing w:line="280"/>
            </w:pPr>
            <w:r>
              <w:rPr>
                <w:color w:val="1D2939"/>
                <w:sz w:val="20"/>
                <w:szCs w:val="20"/>
              </w:rPr>
              <w:t xml:space="preserve">Your Bridge to Boarding mentor has been through this process recently and can talk through specific question types, share what worked for them, or just be an accountability check-in for your study schedule. Reach out through your dashboard.</w:t>
            </w:r>
          </w:p>
        </w:tc>
      </w:tr>
    </w:tbl>
    <w:p>
      <w:pPr>
        <w:pBdr>
          <w:top w:val="single" w:color="D0D5DD" w:sz="4" w:space="8"/>
        </w:pBdr>
        <w:spacing w:before="300"/>
      </w:pPr>
      <w:r>
        <w:rPr>
          <w:i/>
          <w:iCs/>
          <w:color w:val="667085"/>
          <w:sz w:val="17"/>
          <w:szCs w:val="17"/>
        </w:rPr>
        <w:t xml:space="preserve">This guide is an independent study resource provided free by Bridge to Boarding. It is not affiliated with, endorsed by, or sponsored by ERB or the Independent School Entrance Exam. Official practice materials are available at erblearn.org.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2026-07-12T12:15:17.754Z</dcterms:created>
  <dcterms:modified xsi:type="dcterms:W3CDTF">2026-07-12T12:15:17.755Z</dcterms:modified>
</cp:coreProperties>
</file>

<file path=docProps/custom.xml><?xml version="1.0" encoding="utf-8"?>
<Properties xmlns="http://schemas.openxmlformats.org/officeDocument/2006/custom-properties" xmlns:vt="http://schemas.openxmlformats.org/officeDocument/2006/docPropsVTypes"/>
</file>