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b/>
          <w:bCs/>
          <w:color w:val="2563EB"/>
          <w:spacing w:val="20"/>
          <w:sz w:val="22"/>
          <w:szCs w:val="22"/>
        </w:rPr>
        <w:t xml:space="preserve">BRIDGE TO BOARDING</w:t>
      </w:r>
    </w:p>
    <w:p>
      <w:pPr>
        <w:spacing w:after="200"/>
        <w:jc w:val="center"/>
      </w:pPr>
      <w:r>
        <w:rPr>
          <w:rFonts w:ascii="Georgia" w:cs="Georgia" w:eastAsia="Georgia" w:hAnsi="Georgia"/>
          <w:b/>
          <w:bCs/>
          <w:color w:val="1D2939"/>
          <w:sz w:val="56"/>
          <w:szCs w:val="56"/>
        </w:rPr>
        <w:t xml:space="preserve">The Interview Guide</w:t>
      </w:r>
    </w:p>
    <w:p>
      <w:pPr>
        <w:spacing w:after="3000"/>
        <w:jc w:val="center"/>
      </w:pPr>
      <w:r>
        <w:rPr>
          <w:i/>
          <w:iCs/>
          <w:color w:val="667085"/>
          <w:sz w:val="26"/>
          <w:szCs w:val="26"/>
        </w:rPr>
        <w:t xml:space="preserve">How to prepare for — and actually enjoy — your boarding school interview</w:t>
      </w:r>
    </w:p>
    <w:p>
      <w:pPr>
        <w:jc w:val="center"/>
      </w:pPr>
      <w:r>
        <w:rPr>
          <w:color w:val="667085"/>
          <w:sz w:val="18"/>
          <w:szCs w:val="18"/>
        </w:rPr>
        <w:t xml:space="preserve">A free resource from Bridge to Boarding — run by boarding school students, for future boarding school students.</w:t>
      </w:r>
    </w:p>
    <w:p>
      <w:r>
        <w:br w:type="page"/>
      </w:r>
    </w:p>
    <w:p>
      <w:pPr>
        <w:pStyle w:val="Heading1"/>
        <w:pBdr>
          <w:bottom w:val="single" w:color="2563EB" w:sz="6" w:space="4"/>
        </w:pBdr>
        <w:spacing w:after="200" w:before="400"/>
      </w:pPr>
      <w:r>
        <w:rPr>
          <w:rFonts w:ascii="Georgia" w:cs="Georgia" w:eastAsia="Georgia" w:hAnsi="Georgia"/>
          <w:b/>
          <w:bCs/>
          <w:color w:val="1D2939"/>
          <w:sz w:val="32"/>
          <w:szCs w:val="32"/>
        </w:rPr>
        <w:t xml:space="preserve">What the Interview Is Really For</w:t>
      </w:r>
    </w:p>
    <w:p>
      <w:pPr>
        <w:spacing w:after="160" w:line="300"/>
      </w:pPr>
      <w:r>
        <w:rPr>
          <w:color w:val="1D2939"/>
          <w:sz w:val="21"/>
          <w:szCs w:val="21"/>
        </w:rPr>
        <w:t xml:space="preserve">The interview is not a test with right and wrong answers. Admissions officers already have your grades, your essays, and your test scores — the interview exists to answer one question: who is this person, beyond the paper? They're not looking for a rehearsed performance. They're looking for genuine curiosity, honesty, and someone who seems like they'd contribute to a dorm, a classroom, and a dining hall.</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F2F4F7" w:val="clear"/>
            <w:tcMar>
              <w:top w:type="dxa" w:w="200"/>
              <w:left w:type="dxa" w:w="200"/>
              <w:bottom w:type="dxa" w:w="200"/>
              <w:right w:type="dxa" w:w="200"/>
            </w:tcMar>
          </w:tcPr>
          <w:p>
            <w:pPr>
              <w:spacing w:after="80"/>
            </w:pPr>
            <w:r>
              <w:rPr>
                <w:b/>
                <w:bCs/>
                <w:color w:val="2563EB"/>
                <w:sz w:val="20"/>
                <w:szCs w:val="20"/>
              </w:rPr>
              <w:t xml:space="preserve">The mindset shift that helps most</w:t>
            </w:r>
          </w:p>
          <w:p>
            <w:pPr>
              <w:spacing w:line="280"/>
            </w:pPr>
            <w:r>
              <w:rPr>
                <w:color w:val="1D2939"/>
                <w:sz w:val="20"/>
                <w:szCs w:val="20"/>
              </w:rPr>
              <w:t xml:space="preserve">Stop thinking of it as an interrogation you need to survive, and start thinking of it as a conversation where you're also evaluating them. You're allowed to ask real questions and actually be curious about the school.</w:t>
            </w:r>
          </w:p>
        </w:tc>
      </w:tr>
    </w:tbl>
    <w:p>
      <w:pPr>
        <w:pStyle w:val="Heading1"/>
        <w:pBdr>
          <w:bottom w:val="single" w:color="2563EB" w:sz="6" w:space="4"/>
        </w:pBdr>
        <w:spacing w:after="200" w:before="400"/>
      </w:pPr>
      <w:r>
        <w:rPr>
          <w:rFonts w:ascii="Georgia" w:cs="Georgia" w:eastAsia="Georgia" w:hAnsi="Georgia"/>
          <w:b/>
          <w:bCs/>
          <w:color w:val="1D2939"/>
          <w:sz w:val="32"/>
          <w:szCs w:val="32"/>
        </w:rPr>
        <w:t xml:space="preserve">The Formats You Might Encounter</w:t>
      </w:r>
    </w:p>
    <w:p>
      <w:pPr>
        <w:pStyle w:val="ListParagraph"/>
        <w:numPr>
          <w:ilvl w:val="0"/>
          <w:numId w:val="1"/>
        </w:numPr>
        <w:spacing w:after="100" w:line="290"/>
      </w:pPr>
      <w:r>
        <w:rPr>
          <w:b/>
          <w:bCs/>
          <w:sz w:val="21"/>
          <w:szCs w:val="21"/>
        </w:rPr>
        <w:t xml:space="preserve">On-campus interview: </w:t>
      </w:r>
      <w:r>
        <w:rPr>
          <w:sz w:val="21"/>
          <w:szCs w:val="21"/>
        </w:rPr>
        <w:t xml:space="preserve">usually 20–30 minutes, one-on-one with an admissions officer, sometimes followed by a student-led campus tour.</w:t>
      </w:r>
    </w:p>
    <w:p>
      <w:pPr>
        <w:pStyle w:val="ListParagraph"/>
        <w:numPr>
          <w:ilvl w:val="0"/>
          <w:numId w:val="1"/>
        </w:numPr>
        <w:spacing w:after="100" w:line="290"/>
      </w:pPr>
      <w:r>
        <w:rPr>
          <w:b/>
          <w:bCs/>
          <w:sz w:val="21"/>
          <w:szCs w:val="21"/>
        </w:rPr>
        <w:t xml:space="preserve">Virtual interview: </w:t>
      </w:r>
      <w:r>
        <w:rPr>
          <w:sz w:val="21"/>
          <w:szCs w:val="21"/>
        </w:rPr>
        <w:t xml:space="preserve">same structure, over video call — test your camera, microphone, and internet connection the day before, not the hour before.</w:t>
      </w:r>
    </w:p>
    <w:p>
      <w:pPr>
        <w:pStyle w:val="ListParagraph"/>
        <w:numPr>
          <w:ilvl w:val="0"/>
          <w:numId w:val="1"/>
        </w:numPr>
        <w:spacing w:after="100" w:line="290"/>
      </w:pPr>
      <w:r>
        <w:rPr>
          <w:b/>
          <w:bCs/>
          <w:sz w:val="21"/>
          <w:szCs w:val="21"/>
        </w:rPr>
        <w:t xml:space="preserve">Alumni or regional interview: </w:t>
      </w:r>
      <w:r>
        <w:rPr>
          <w:sz w:val="21"/>
          <w:szCs w:val="21"/>
        </w:rPr>
        <w:t xml:space="preserve">conducted by a school alum in your area, often more conversational and informal, but just as important.</w:t>
      </w:r>
    </w:p>
    <w:p>
      <w:pPr>
        <w:pStyle w:val="Heading1"/>
        <w:pBdr>
          <w:bottom w:val="single" w:color="2563EB" w:sz="6" w:space="4"/>
        </w:pBdr>
        <w:spacing w:after="200" w:before="400"/>
      </w:pPr>
      <w:r>
        <w:rPr>
          <w:rFonts w:ascii="Georgia" w:cs="Georgia" w:eastAsia="Georgia" w:hAnsi="Georgia"/>
          <w:b/>
          <w:bCs/>
          <w:color w:val="1D2939"/>
          <w:sz w:val="32"/>
          <w:szCs w:val="32"/>
        </w:rPr>
        <w:t xml:space="preserve">Questions You Should Actually Prepare For</w:t>
      </w:r>
    </w:p>
    <w:p>
      <w:pPr>
        <w:spacing w:after="160" w:line="300"/>
      </w:pPr>
      <w:r>
        <w:rPr>
          <w:color w:val="1D2939"/>
          <w:sz w:val="21"/>
          <w:szCs w:val="21"/>
        </w:rPr>
        <w:t xml:space="preserve">You don't need to script exact answers — that tends to sound robotic. But you should have real thoughts ready for these, because some version of each one comes up almost every time:</w:t>
      </w:r>
    </w:p>
    <w:p>
      <w:pPr>
        <w:pStyle w:val="ListParagraph"/>
        <w:numPr>
          <w:ilvl w:val="0"/>
          <w:numId w:val="2"/>
        </w:numPr>
        <w:spacing w:after="120" w:line="290"/>
      </w:pPr>
      <w:r>
        <w:rPr>
          <w:sz w:val="21"/>
          <w:szCs w:val="21"/>
        </w:rPr>
        <w:t xml:space="preserve">Tell me about yourself.</w:t>
      </w:r>
    </w:p>
    <w:p>
      <w:pPr>
        <w:pStyle w:val="ListParagraph"/>
        <w:numPr>
          <w:ilvl w:val="0"/>
          <w:numId w:val="2"/>
        </w:numPr>
        <w:spacing w:after="120" w:line="290"/>
      </w:pPr>
      <w:r>
        <w:rPr>
          <w:sz w:val="21"/>
          <w:szCs w:val="21"/>
        </w:rPr>
        <w:t xml:space="preserve">Why are you interested in boarding school, and why this school specifically?</w:t>
      </w:r>
    </w:p>
    <w:p>
      <w:pPr>
        <w:pStyle w:val="ListParagraph"/>
        <w:numPr>
          <w:ilvl w:val="0"/>
          <w:numId w:val="2"/>
        </w:numPr>
        <w:spacing w:after="120" w:line="290"/>
      </w:pPr>
      <w:r>
        <w:rPr>
          <w:sz w:val="21"/>
          <w:szCs w:val="21"/>
        </w:rPr>
        <w:t xml:space="preserve">What do you like to do outside of the classroom?</w:t>
      </w:r>
    </w:p>
    <w:p>
      <w:pPr>
        <w:pStyle w:val="ListParagraph"/>
        <w:numPr>
          <w:ilvl w:val="0"/>
          <w:numId w:val="2"/>
        </w:numPr>
        <w:spacing w:after="120" w:line="290"/>
      </w:pPr>
      <w:r>
        <w:rPr>
          <w:sz w:val="21"/>
          <w:szCs w:val="21"/>
        </w:rPr>
        <w:t xml:space="preserve">Tell me about a class, book, or project that genuinely excited you.</w:t>
      </w:r>
    </w:p>
    <w:p>
      <w:pPr>
        <w:pStyle w:val="ListParagraph"/>
        <w:numPr>
          <w:ilvl w:val="0"/>
          <w:numId w:val="2"/>
        </w:numPr>
        <w:spacing w:after="120" w:line="290"/>
      </w:pPr>
      <w:r>
        <w:rPr>
          <w:sz w:val="21"/>
          <w:szCs w:val="21"/>
        </w:rPr>
        <w:t xml:space="preserve">Describe a challenge or setback and how you handled it.</w:t>
      </w:r>
    </w:p>
    <w:p>
      <w:pPr>
        <w:pStyle w:val="ListParagraph"/>
        <w:numPr>
          <w:ilvl w:val="0"/>
          <w:numId w:val="2"/>
        </w:numPr>
        <w:spacing w:after="120" w:line="290"/>
      </w:pPr>
      <w:r>
        <w:rPr>
          <w:sz w:val="21"/>
          <w:szCs w:val="21"/>
        </w:rPr>
        <w:t xml:space="preserve">What's something you're proud of that isn't on your application?</w:t>
      </w:r>
    </w:p>
    <w:p>
      <w:pPr>
        <w:pStyle w:val="ListParagraph"/>
        <w:numPr>
          <w:ilvl w:val="0"/>
          <w:numId w:val="2"/>
        </w:numPr>
        <w:spacing w:after="120" w:line="290"/>
      </w:pPr>
      <w:r>
        <w:rPr>
          <w:sz w:val="21"/>
          <w:szCs w:val="21"/>
        </w:rPr>
        <w:t xml:space="preserve">How do you handle conflict with a friend or roommate?</w:t>
      </w:r>
    </w:p>
    <w:p>
      <w:pPr>
        <w:pStyle w:val="ListParagraph"/>
        <w:numPr>
          <w:ilvl w:val="0"/>
          <w:numId w:val="2"/>
        </w:numPr>
        <w:spacing w:after="120" w:line="290"/>
      </w:pPr>
      <w:r>
        <w:rPr>
          <w:sz w:val="21"/>
          <w:szCs w:val="21"/>
        </w:rPr>
        <w:t xml:space="preserve">What questions do you have for me?</w:t>
      </w:r>
    </w:p>
    <w:p>
      <w:pPr>
        <w:pStyle w:val="Heading2"/>
        <w:spacing w:after="150" w:before="300"/>
      </w:pPr>
      <w:r>
        <w:rPr>
          <w:b/>
          <w:bCs/>
          <w:color w:val="2563EB"/>
          <w:sz w:val="24"/>
          <w:szCs w:val="24"/>
        </w:rPr>
        <w:t xml:space="preserve">"Tell me about yourself" — a simple way to structure it</w:t>
      </w:r>
    </w:p>
    <w:p>
      <w:pPr>
        <w:spacing w:after="160" w:line="300"/>
      </w:pPr>
      <w:r>
        <w:rPr>
          <w:color w:val="1D2939"/>
          <w:sz w:val="21"/>
          <w:szCs w:val="21"/>
        </w:rPr>
        <w:t xml:space="preserve">This is the question people freeze on most, because it's so open-ended. A reliable structure: one sentence on where you're from and what your day-to-day looks like now, one or two sentences on something you're genuinely passionate about and why, and one sentence connecting that to what you're hoping to find at boarding school. Practice this until it feels natural, not memorized word-for-word.</w:t>
      </w:r>
    </w:p>
    <w:p>
      <w:pPr>
        <w:pStyle w:val="Heading1"/>
        <w:pBdr>
          <w:bottom w:val="single" w:color="2563EB" w:sz="6" w:space="4"/>
        </w:pBdr>
        <w:spacing w:after="200" w:before="400"/>
      </w:pPr>
      <w:r>
        <w:rPr>
          <w:rFonts w:ascii="Georgia" w:cs="Georgia" w:eastAsia="Georgia" w:hAnsi="Georgia"/>
          <w:b/>
          <w:bCs/>
          <w:color w:val="1D2939"/>
          <w:sz w:val="32"/>
          <w:szCs w:val="32"/>
        </w:rPr>
        <w:t xml:space="preserve">Why This School Specifically</w:t>
      </w:r>
    </w:p>
    <w:p>
      <w:pPr>
        <w:spacing w:after="160" w:line="300"/>
      </w:pPr>
      <w:r>
        <w:rPr>
          <w:color w:val="1D2939"/>
          <w:sz w:val="21"/>
          <w:szCs w:val="21"/>
        </w:rPr>
        <w:t xml:space="preserve">This is the question that separates prepared applicants from unprepared ones. "It has a great academic reputation" could apply to any school on your list — it tells the interviewer nothing. Before your interview, find two or three specific things about that particular school (a program, a teaching philosophy, a tradition, a facility, something a current student said) and be ready to explain why those specific things matter to you.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D2939" w:val="clear"/>
            <w:tcMar>
              <w:top w:type="dxa" w:w="100"/>
              <w:left w:type="dxa" w:w="120"/>
              <w:bottom w:type="dxa" w:w="100"/>
              <w:right w:type="dxa" w:w="120"/>
            </w:tcMar>
          </w:tcPr>
          <w:p>
            <w:r>
              <w:rPr>
                <w:b/>
                <w:bCs/>
                <w:color w:val="FFFFFF"/>
                <w:sz w:val="19"/>
                <w:szCs w:val="19"/>
              </w:rPr>
              <w:t xml:space="preserve">Weak answer</w:t>
            </w:r>
          </w:p>
        </w:tc>
        <w:tc>
          <w:tcPr>
            <w:tcW w:type="dxa" w:w="4675"/>
            <w:shd w:fill="1D2939" w:val="clear"/>
            <w:tcMar>
              <w:top w:type="dxa" w:w="100"/>
              <w:left w:type="dxa" w:w="120"/>
              <w:bottom w:type="dxa" w:w="100"/>
              <w:right w:type="dxa" w:w="120"/>
            </w:tcMar>
          </w:tcPr>
          <w:p>
            <w:r>
              <w:rPr>
                <w:b/>
                <w:bCs/>
                <w:color w:val="FFFFFF"/>
                <w:sz w:val="19"/>
                <w:szCs w:val="19"/>
              </w:rPr>
              <w:t xml:space="preserve">Strong answer</w:t>
            </w:r>
          </w:p>
        </w:tc>
      </w:tr>
      <w:tr>
        <w:tc>
          <w:tcPr>
            <w:tcW w:type="dxa" w:w="4675"/>
            <w:shd w:fill="FFFFFF" w:val="clear"/>
            <w:tcMar>
              <w:top w:type="dxa" w:w="100"/>
              <w:left w:type="dxa" w:w="120"/>
              <w:bottom w:type="dxa" w:w="100"/>
              <w:right w:type="dxa" w:w="120"/>
            </w:tcMar>
          </w:tcPr>
          <w:p>
            <w:r>
              <w:rPr>
                <w:color w:val="1D2939"/>
                <w:sz w:val="19"/>
                <w:szCs w:val="19"/>
              </w:rPr>
              <w:t xml:space="preserve">"I heard it's a really good school."</w:t>
            </w:r>
          </w:p>
        </w:tc>
        <w:tc>
          <w:tcPr>
            <w:tcW w:type="dxa" w:w="4675"/>
            <w:shd w:fill="FFFFFF" w:val="clear"/>
            <w:tcMar>
              <w:top w:type="dxa" w:w="100"/>
              <w:left w:type="dxa" w:w="120"/>
              <w:bottom w:type="dxa" w:w="100"/>
              <w:right w:type="dxa" w:w="120"/>
            </w:tcMar>
          </w:tcPr>
          <w:p>
            <w:r>
              <w:rPr>
                <w:color w:val="1D2939"/>
                <w:sz w:val="19"/>
                <w:szCs w:val="19"/>
              </w:rPr>
              <w:t xml:space="preserve">"I read about the Harkness table method and I actually learn better through discussion than lecture — I think that style would push me."</w:t>
            </w:r>
          </w:p>
        </w:tc>
      </w:tr>
      <w:tr>
        <w:tc>
          <w:tcPr>
            <w:tcW w:type="dxa" w:w="4675"/>
            <w:shd w:fill="F2F4F7" w:val="clear"/>
            <w:tcMar>
              <w:top w:type="dxa" w:w="100"/>
              <w:left w:type="dxa" w:w="120"/>
              <w:bottom w:type="dxa" w:w="100"/>
              <w:right w:type="dxa" w:w="120"/>
            </w:tcMar>
          </w:tcPr>
          <w:p>
            <w:r>
              <w:rPr>
                <w:color w:val="1D2939"/>
                <w:sz w:val="19"/>
                <w:szCs w:val="19"/>
              </w:rPr>
              <w:t xml:space="preserve">"It has good academics and sports."</w:t>
            </w:r>
          </w:p>
        </w:tc>
        <w:tc>
          <w:tcPr>
            <w:tcW w:type="dxa" w:w="4675"/>
            <w:shd w:fill="F2F4F7" w:val="clear"/>
            <w:tcMar>
              <w:top w:type="dxa" w:w="100"/>
              <w:left w:type="dxa" w:w="120"/>
              <w:bottom w:type="dxa" w:w="100"/>
              <w:right w:type="dxa" w:w="120"/>
            </w:tcMar>
          </w:tcPr>
          <w:p>
            <w:r>
              <w:rPr>
                <w:color w:val="1D2939"/>
                <w:sz w:val="19"/>
                <w:szCs w:val="19"/>
              </w:rPr>
              <w:t xml:space="preserve">"I'm really interested in [specific program/club], and I noticed there isn't anything quite like it at my current school."</w:t>
            </w:r>
          </w:p>
        </w:tc>
      </w:tr>
    </w:tbl>
    <w:p>
      <w:pPr>
        <w:pStyle w:val="Heading1"/>
        <w:pBdr>
          <w:bottom w:val="single" w:color="2563EB" w:sz="6" w:space="4"/>
        </w:pBdr>
        <w:spacing w:after="200" w:before="400"/>
      </w:pPr>
      <w:r>
        <w:rPr>
          <w:rFonts w:ascii="Georgia" w:cs="Georgia" w:eastAsia="Georgia" w:hAnsi="Georgia"/>
          <w:b/>
          <w:bCs/>
          <w:color w:val="1D2939"/>
          <w:sz w:val="32"/>
          <w:szCs w:val="32"/>
        </w:rPr>
        <w:t xml:space="preserve">Practical Preparation</w:t>
      </w:r>
    </w:p>
    <w:p>
      <w:pPr>
        <w:pStyle w:val="ListParagraph"/>
        <w:numPr>
          <w:ilvl w:val="0"/>
          <w:numId w:val="2"/>
        </w:numPr>
        <w:spacing w:after="120" w:line="290"/>
      </w:pPr>
      <w:r>
        <w:rPr>
          <w:sz w:val="21"/>
          <w:szCs w:val="21"/>
        </w:rPr>
        <w:t xml:space="preserve">Research each school individually — don't reuse the same "why this school" answer across interviews. Interviewers can tell.</w:t>
      </w:r>
    </w:p>
    <w:p>
      <w:pPr>
        <w:pStyle w:val="ListParagraph"/>
        <w:numPr>
          <w:ilvl w:val="0"/>
          <w:numId w:val="2"/>
        </w:numPr>
        <w:spacing w:after="120" w:line="290"/>
      </w:pPr>
      <w:r>
        <w:rPr>
          <w:sz w:val="21"/>
          <w:szCs w:val="21"/>
        </w:rPr>
        <w:t xml:space="preserve">Prepare 3–4 real questions to ask them (see below) — having none signals disinterest, having generic ones ("how big are classes") signals you didn't do your homework.</w:t>
      </w:r>
    </w:p>
    <w:p>
      <w:pPr>
        <w:pStyle w:val="ListParagraph"/>
        <w:numPr>
          <w:ilvl w:val="0"/>
          <w:numId w:val="2"/>
        </w:numPr>
        <w:spacing w:after="120" w:line="290"/>
      </w:pPr>
      <w:r>
        <w:rPr>
          <w:sz w:val="21"/>
          <w:szCs w:val="21"/>
        </w:rPr>
        <w:t xml:space="preserve">Do one full mock interview out loud with a parent, teacher, or mentor — silently thinking through answers is not the same as saying them out loud.</w:t>
      </w:r>
    </w:p>
    <w:p>
      <w:pPr>
        <w:pStyle w:val="ListParagraph"/>
        <w:numPr>
          <w:ilvl w:val="0"/>
          <w:numId w:val="2"/>
        </w:numPr>
        <w:spacing w:after="120" w:line="290"/>
      </w:pPr>
      <w:r>
        <w:rPr>
          <w:sz w:val="21"/>
          <w:szCs w:val="21"/>
        </w:rPr>
        <w:t xml:space="preserve">Plan your outfit the night before — neat and comfortable (collared shirt or blouse, clean shoes) is right; a full suit is usually overkill.</w:t>
      </w:r>
    </w:p>
    <w:p>
      <w:pPr>
        <w:pStyle w:val="ListParagraph"/>
        <w:numPr>
          <w:ilvl w:val="0"/>
          <w:numId w:val="2"/>
        </w:numPr>
        <w:spacing w:after="120" w:line="290"/>
      </w:pPr>
      <w:r>
        <w:rPr>
          <w:sz w:val="21"/>
          <w:szCs w:val="21"/>
        </w:rPr>
        <w:t xml:space="preserve">Get a good night's sleep. Nerves are normal and expected — interviewers factor that in.</w:t>
      </w:r>
    </w:p>
    <w:p>
      <w:pPr>
        <w:pStyle w:val="ListParagraph"/>
        <w:numPr>
          <w:ilvl w:val="0"/>
          <w:numId w:val="2"/>
        </w:numPr>
        <w:spacing w:after="120" w:line="290"/>
      </w:pPr>
      <w:r>
        <w:rPr>
          <w:sz w:val="21"/>
          <w:szCs w:val="21"/>
        </w:rPr>
        <w:t xml:space="preserve">Arrive (or log on) 10–15 minutes early. Lateness reads as disorganization no matter the excuse.</w:t>
      </w:r>
    </w:p>
    <w:p>
      <w:pPr>
        <w:pStyle w:val="Heading1"/>
        <w:pBdr>
          <w:bottom w:val="single" w:color="2563EB" w:sz="6" w:space="4"/>
        </w:pBdr>
        <w:spacing w:after="200" w:before="400"/>
      </w:pPr>
      <w:r>
        <w:rPr>
          <w:rFonts w:ascii="Georgia" w:cs="Georgia" w:eastAsia="Georgia" w:hAnsi="Georgia"/>
          <w:b/>
          <w:bCs/>
          <w:color w:val="1D2939"/>
          <w:sz w:val="32"/>
          <w:szCs w:val="32"/>
        </w:rPr>
        <w:t xml:space="preserve">Good Questions to Ask Them</w:t>
      </w:r>
    </w:p>
    <w:p>
      <w:pPr>
        <w:spacing w:after="160" w:line="300"/>
      </w:pPr>
      <w:r>
        <w:rPr>
          <w:color w:val="1D2939"/>
          <w:sz w:val="21"/>
          <w:szCs w:val="21"/>
        </w:rPr>
        <w:t xml:space="preserve">Asking thoughtful questions is one of the easiest ways to stand out, because most applicants ask nothing or ask something generic. A few that work well:</w:t>
      </w:r>
    </w:p>
    <w:p>
      <w:pPr>
        <w:pStyle w:val="ListParagraph"/>
        <w:numPr>
          <w:ilvl w:val="0"/>
          <w:numId w:val="1"/>
        </w:numPr>
        <w:spacing w:after="100" w:line="290"/>
      </w:pPr>
      <w:r>
        <w:rPr>
          <w:sz w:val="21"/>
          <w:szCs w:val="21"/>
        </w:rPr>
        <w:t xml:space="preserve">"What's something students here complain about that you think is actually a strength in disguise?"</w:t>
      </w:r>
    </w:p>
    <w:p>
      <w:pPr>
        <w:pStyle w:val="ListParagraph"/>
        <w:numPr>
          <w:ilvl w:val="0"/>
          <w:numId w:val="1"/>
        </w:numPr>
        <w:spacing w:after="100" w:line="290"/>
      </w:pPr>
      <w:r>
        <w:rPr>
          <w:sz w:val="21"/>
          <w:szCs w:val="21"/>
        </w:rPr>
        <w:t xml:space="preserve">"How do students typically spend their free time on a Saturday?"</w:t>
      </w:r>
    </w:p>
    <w:p>
      <w:pPr>
        <w:pStyle w:val="ListParagraph"/>
        <w:numPr>
          <w:ilvl w:val="0"/>
          <w:numId w:val="1"/>
        </w:numPr>
        <w:spacing w:after="100" w:line="290"/>
      </w:pPr>
      <w:r>
        <w:rPr>
          <w:sz w:val="21"/>
          <w:szCs w:val="21"/>
        </w:rPr>
        <w:t xml:space="preserve">"What's a tradition here that new students don't expect but end up loving?"</w:t>
      </w:r>
    </w:p>
    <w:p>
      <w:pPr>
        <w:pStyle w:val="ListParagraph"/>
        <w:numPr>
          <w:ilvl w:val="0"/>
          <w:numId w:val="1"/>
        </w:numPr>
        <w:spacing w:after="100" w:line="290"/>
      </w:pPr>
      <w:r>
        <w:rPr>
          <w:sz w:val="21"/>
          <w:szCs w:val="21"/>
        </w:rPr>
        <w:t xml:space="preserve">"How does the school support students who are homesick in the first few months?"</w:t>
      </w:r>
    </w:p>
    <w:p>
      <w:pPr>
        <w:pStyle w:val="ListParagraph"/>
        <w:numPr>
          <w:ilvl w:val="0"/>
          <w:numId w:val="1"/>
        </w:numPr>
        <w:spacing w:after="100" w:line="290"/>
      </w:pPr>
      <w:r>
        <w:rPr>
          <w:sz w:val="21"/>
          <w:szCs w:val="21"/>
        </w:rPr>
        <w:t xml:space="preserve">"What's changed about the school in the last few years that you're excited about?"</w:t>
      </w:r>
    </w:p>
    <w:p>
      <w:pPr>
        <w:pStyle w:val="Heading1"/>
        <w:pBdr>
          <w:bottom w:val="single" w:color="2563EB" w:sz="6" w:space="4"/>
        </w:pBdr>
        <w:spacing w:after="200" w:before="400"/>
      </w:pPr>
      <w:r>
        <w:rPr>
          <w:rFonts w:ascii="Georgia" w:cs="Georgia" w:eastAsia="Georgia" w:hAnsi="Georgia"/>
          <w:b/>
          <w:bCs/>
          <w:color w:val="1D2939"/>
          <w:sz w:val="32"/>
          <w:szCs w:val="32"/>
        </w:rPr>
        <w:t xml:space="preserve">During the Interview</w:t>
      </w:r>
    </w:p>
    <w:p>
      <w:pPr>
        <w:pStyle w:val="ListParagraph"/>
        <w:numPr>
          <w:ilvl w:val="0"/>
          <w:numId w:val="1"/>
        </w:numPr>
        <w:spacing w:after="100" w:line="290"/>
      </w:pPr>
      <w:r>
        <w:rPr>
          <w:sz w:val="21"/>
          <w:szCs w:val="21"/>
        </w:rPr>
        <w:t xml:space="preserve">Make eye contact and give a firm handshake (or a genuine smile and clear greeting on video).</w:t>
      </w:r>
    </w:p>
    <w:p>
      <w:pPr>
        <w:pStyle w:val="ListParagraph"/>
        <w:numPr>
          <w:ilvl w:val="0"/>
          <w:numId w:val="1"/>
        </w:numPr>
        <w:spacing w:after="100" w:line="290"/>
      </w:pPr>
      <w:r>
        <w:rPr>
          <w:sz w:val="21"/>
          <w:szCs w:val="21"/>
        </w:rPr>
        <w:t xml:space="preserve">It's okay to pause before answering — a thoughtful three-second pause reads far better than rambling.</w:t>
      </w:r>
    </w:p>
    <w:p>
      <w:pPr>
        <w:pStyle w:val="ListParagraph"/>
        <w:numPr>
          <w:ilvl w:val="0"/>
          <w:numId w:val="1"/>
        </w:numPr>
        <w:spacing w:after="100" w:line="290"/>
      </w:pPr>
      <w:r>
        <w:rPr>
          <w:sz w:val="21"/>
          <w:szCs w:val="21"/>
        </w:rPr>
        <w:t xml:space="preserve">Give full answers, not one-word ones — but you also don't need to talk for five minutes on every question.</w:t>
      </w:r>
    </w:p>
    <w:p>
      <w:pPr>
        <w:pStyle w:val="ListParagraph"/>
        <w:numPr>
          <w:ilvl w:val="0"/>
          <w:numId w:val="1"/>
        </w:numPr>
        <w:spacing w:after="100" w:line="290"/>
      </w:pPr>
      <w:r>
        <w:rPr>
          <w:sz w:val="21"/>
          <w:szCs w:val="21"/>
        </w:rPr>
        <w:t xml:space="preserve">If you don't know how to answer something, it's fine to say "That's a good question, let me think about that for a second" rather than panicking.</w:t>
      </w:r>
    </w:p>
    <w:p>
      <w:pPr>
        <w:pStyle w:val="ListParagraph"/>
        <w:numPr>
          <w:ilvl w:val="0"/>
          <w:numId w:val="1"/>
        </w:numPr>
        <w:spacing w:after="100" w:line="290"/>
      </w:pPr>
      <w:r>
        <w:rPr>
          <w:sz w:val="21"/>
          <w:szCs w:val="21"/>
        </w:rPr>
        <w:t xml:space="preserve">Let your actual personality come through — interviewers remember the kid who lit up talking about their weird hobby far more than the kid who gave textbook-perfect answers.</w:t>
      </w:r>
    </w:p>
    <w:p>
      <w:pPr>
        <w:pStyle w:val="Heading1"/>
        <w:pBdr>
          <w:bottom w:val="single" w:color="2563EB" w:sz="6" w:space="4"/>
        </w:pBdr>
        <w:spacing w:after="200" w:before="400"/>
      </w:pPr>
      <w:r>
        <w:rPr>
          <w:rFonts w:ascii="Georgia" w:cs="Georgia" w:eastAsia="Georgia" w:hAnsi="Georgia"/>
          <w:b/>
          <w:bCs/>
          <w:color w:val="1D2939"/>
          <w:sz w:val="32"/>
          <w:szCs w:val="32"/>
        </w:rPr>
        <w:t xml:space="preserve">After the Interview</w:t>
      </w:r>
    </w:p>
    <w:p>
      <w:pPr>
        <w:spacing w:after="160" w:line="300"/>
      </w:pPr>
      <w:r>
        <w:rPr>
          <w:color w:val="1D2939"/>
          <w:sz w:val="21"/>
          <w:szCs w:val="21"/>
        </w:rPr>
        <w:t xml:space="preserve">A short, genuine thank-you email (2–4 sentences) to your interviewer within a day or two is a nice, professional touch — not required, but appreciated. Mention one specific thing you talked about or learned, so it doesn't read as a form letter.</w:t>
      </w: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F2F4F7" w:val="clear"/>
            <w:tcMar>
              <w:top w:type="dxa" w:w="200"/>
              <w:left w:type="dxa" w:w="200"/>
              <w:bottom w:type="dxa" w:w="200"/>
              <w:right w:type="dxa" w:w="200"/>
            </w:tcMar>
          </w:tcPr>
          <w:p>
            <w:pPr>
              <w:spacing w:after="80"/>
            </w:pPr>
            <w:r>
              <w:rPr>
                <w:b/>
                <w:bCs/>
                <w:color w:val="2563EB"/>
                <w:sz w:val="20"/>
                <w:szCs w:val="20"/>
              </w:rPr>
              <w:t xml:space="preserve">Practice with a mentor</w:t>
            </w:r>
          </w:p>
          <w:p>
            <w:pPr>
              <w:spacing w:line="280"/>
            </w:pPr>
            <w:r>
              <w:rPr>
                <w:color w:val="1D2939"/>
                <w:sz w:val="20"/>
                <w:szCs w:val="20"/>
              </w:rPr>
              <w:t xml:space="preserve">If you'd like to run through a full mock interview with someone who's actually done this before, that's exactly what your Bridge to Boarding mentor is for. Message them through your dashboard to set up a practice session.</w:t>
            </w:r>
          </w:p>
        </w:tc>
      </w:tr>
    </w:tbl>
    <w:p>
      <w:pPr>
        <w:pBdr>
          <w:top w:val="single" w:color="D0D5DD" w:sz="4" w:space="8"/>
        </w:pBdr>
        <w:spacing w:before="300"/>
      </w:pPr>
      <w:r>
        <w:rPr>
          <w:i/>
          <w:iCs/>
          <w:color w:val="667085"/>
          <w:sz w:val="17"/>
          <w:szCs w:val="17"/>
        </w:rPr>
        <w:t xml:space="preserve">This guide is provided free by Bridge to Boarding, a student-led, volunteer-run mentorship initiative. It is not affiliated with any boarding school. bridgetoboarding.org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2026-07-12T12:14:16.437Z</dcterms:created>
  <dcterms:modified xsi:type="dcterms:W3CDTF">2026-07-12T12:14:16.437Z</dcterms:modified>
</cp:coreProperties>
</file>

<file path=docProps/custom.xml><?xml version="1.0" encoding="utf-8"?>
<Properties xmlns="http://schemas.openxmlformats.org/officeDocument/2006/custom-properties" xmlns:vt="http://schemas.openxmlformats.org/officeDocument/2006/docPropsVTypes"/>
</file>