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b/>
          <w:bCs/>
          <w:color w:val="2563EB"/>
          <w:spacing w:val="20"/>
          <w:sz w:val="22"/>
          <w:szCs w:val="22"/>
        </w:rPr>
        <w:t xml:space="preserve">BRIDGE TO BOARDING</w:t>
      </w:r>
    </w:p>
    <w:p>
      <w:pPr>
        <w:spacing w:after="200"/>
        <w:jc w:val="center"/>
      </w:pPr>
      <w:r>
        <w:rPr>
          <w:rFonts w:ascii="Georgia" w:cs="Georgia" w:eastAsia="Georgia" w:hAnsi="Georgia"/>
          <w:b/>
          <w:bCs/>
          <w:color w:val="1D2939"/>
          <w:sz w:val="56"/>
          <w:szCs w:val="56"/>
        </w:rPr>
        <w:t xml:space="preserve">The 8-Week SSAT Study Plan</w:t>
      </w:r>
    </w:p>
    <w:p>
      <w:pPr>
        <w:spacing w:after="3000"/>
        <w:jc w:val="center"/>
      </w:pPr>
      <w:r>
        <w:rPr>
          <w:i/>
          <w:iCs/>
          <w:color w:val="667085"/>
          <w:sz w:val="26"/>
          <w:szCs w:val="26"/>
        </w:rPr>
        <w:t xml:space="preserve">A realistic, week-by-week roadmap to prepare for the Secondary School Admission Test</w:t>
      </w:r>
    </w:p>
    <w:p>
      <w:pPr>
        <w:jc w:val="center"/>
      </w:pPr>
      <w:r>
        <w:rPr>
          <w:color w:val="667085"/>
          <w:sz w:val="18"/>
          <w:szCs w:val="18"/>
        </w:rPr>
        <w:t xml:space="preserve">A free resource from Bridge to Boarding — run by boarding school students, for future boarding school students.</w:t>
      </w:r>
    </w:p>
    <w:p>
      <w:r>
        <w:br w:type="page"/>
      </w:r>
    </w:p>
    <w:p>
      <w:pPr>
        <w:pStyle w:val="Heading1"/>
        <w:pBdr>
          <w:bottom w:val="single" w:color="2563EB" w:sz="6" w:space="4"/>
        </w:pBdr>
        <w:spacing w:after="200" w:before="400"/>
      </w:pPr>
      <w:r>
        <w:rPr>
          <w:rFonts w:ascii="Georgia" w:cs="Georgia" w:eastAsia="Georgia" w:hAnsi="Georgia"/>
          <w:b/>
          <w:bCs/>
          <w:color w:val="1D2939"/>
          <w:sz w:val="32"/>
          <w:szCs w:val="32"/>
        </w:rPr>
        <w:t xml:space="preserve">Understanding the SSAT</w:t>
      </w:r>
    </w:p>
    <w:p>
      <w:pPr>
        <w:spacing w:after="160" w:line="300"/>
      </w:pPr>
      <w:r>
        <w:rPr>
          <w:color w:val="1D2939"/>
          <w:sz w:val="21"/>
          <w:szCs w:val="21"/>
        </w:rPr>
        <w:t xml:space="preserve">The SSAT (Secondary School Admission Test) is used by many boarding and independent schools as one part of your application. It has three main scored sections — Verbal, Quantitative (Math), and Reading — plus an unscored Writing sample. For the Middle Level SSAT (typically grades 5–7 applying) and Upper Level SSAT (grades 8–11 applying), the format is similar, though the difficulty and content scale up.</w:t>
      </w:r>
    </w:p>
    <w:p>
      <w:pPr>
        <w:spacing w:after="160" w:line="300"/>
      </w:pPr>
      <w:r>
        <w:rPr>
          <w:color w:val="1D2939"/>
          <w:sz w:val="21"/>
          <w:szCs w:val="21"/>
        </w:rPr>
        <w:t xml:space="preserve">Remember: the SSAT is one piece of a larger application. Schools look at your grades, essays, interview, and recommendations too — a strong SSAT score helps, but it doesn't define your entire application.</w:t>
      </w:r>
    </w:p>
    <w:p>
      <w:pPr>
        <w:pStyle w:val="Heading1"/>
        <w:pBdr>
          <w:bottom w:val="single" w:color="2563EB" w:sz="6" w:space="4"/>
        </w:pBdr>
        <w:spacing w:after="200" w:before="400"/>
      </w:pPr>
      <w:r>
        <w:rPr>
          <w:rFonts w:ascii="Georgia" w:cs="Georgia" w:eastAsia="Georgia" w:hAnsi="Georgia"/>
          <w:b/>
          <w:bCs/>
          <w:color w:val="1D2939"/>
          <w:sz w:val="32"/>
          <w:szCs w:val="32"/>
        </w:rPr>
        <w:t xml:space="preserve">Before You Start: A Diagnostic Test</w:t>
      </w:r>
    </w:p>
    <w:p>
      <w:pPr>
        <w:spacing w:after="160" w:line="300"/>
      </w:pPr>
      <w:r>
        <w:rPr>
          <w:color w:val="1D2939"/>
          <w:sz w:val="21"/>
          <w:szCs w:val="21"/>
        </w:rPr>
        <w:t xml:space="preserve">Before following any study plan, take one full, timed, official practice test to see where you're starting from. This tells you which sections need the most attention, and gives you a baseline score to measure progress against. The SSAT's own site (ssat.org) and most major test-prep publishers offer official or officially-licensed practice tests.</w:t>
      </w:r>
    </w:p>
    <w:p>
      <w:pPr>
        <w:pStyle w:val="Heading1"/>
        <w:pBdr>
          <w:bottom w:val="single" w:color="2563EB" w:sz="6" w:space="4"/>
        </w:pBdr>
        <w:spacing w:after="200" w:before="400"/>
      </w:pPr>
      <w:r>
        <w:rPr>
          <w:rFonts w:ascii="Georgia" w:cs="Georgia" w:eastAsia="Georgia" w:hAnsi="Georgia"/>
          <w:b/>
          <w:bCs/>
          <w:color w:val="1D2939"/>
          <w:sz w:val="32"/>
          <w:szCs w:val="32"/>
        </w:rPr>
        <w:t xml:space="preserve">The 8-Week Plan</w:t>
      </w:r>
    </w:p>
    <w:p>
      <w:pPr>
        <w:spacing w:after="160" w:line="300"/>
      </w:pPr>
      <w:r>
        <w:rPr>
          <w:color w:val="1D2939"/>
          <w:sz w:val="21"/>
          <w:szCs w:val="21"/>
        </w:rPr>
        <w:t xml:space="preserve">This plan assumes roughly 4–5 hours of study per week, spread across 3–4 sessions. Adjust the pace if you have more or less time before your test date — the structure (diagnose, drill, practice, review) matters more than the exact week numbers.</w:t>
      </w:r>
    </w:p>
    <w:p>
      <w:pPr>
        <w:pStyle w:val="Heading2"/>
        <w:spacing w:after="150" w:before="300"/>
      </w:pPr>
      <w:r>
        <w:rPr>
          <w:b/>
          <w:bCs/>
          <w:color w:val="2563EB"/>
          <w:sz w:val="24"/>
          <w:szCs w:val="24"/>
        </w:rPr>
        <w:t xml:space="preserve">Weeks 1–2: Foundations &amp; Vocabulary</w:t>
      </w:r>
    </w:p>
    <w:p>
      <w:pPr>
        <w:pStyle w:val="ListParagraph"/>
        <w:numPr>
          <w:ilvl w:val="0"/>
          <w:numId w:val="1"/>
        </w:numPr>
        <w:spacing w:after="100" w:line="290"/>
      </w:pPr>
      <w:r>
        <w:rPr>
          <w:sz w:val="21"/>
          <w:szCs w:val="21"/>
        </w:rPr>
        <w:t xml:space="preserve">Review your diagnostic test results and identify your two weakest sections.</w:t>
      </w:r>
    </w:p>
    <w:p>
      <w:pPr>
        <w:pStyle w:val="ListParagraph"/>
        <w:numPr>
          <w:ilvl w:val="0"/>
          <w:numId w:val="1"/>
        </w:numPr>
        <w:spacing w:after="100" w:line="290"/>
      </w:pPr>
      <w:r>
        <w:rPr>
          <w:sz w:val="21"/>
          <w:szCs w:val="21"/>
        </w:rPr>
        <w:t xml:space="preserve">Start a running vocabulary list — the Verbal section relies heavily on synonym and analogy questions, and vocabulary is the single most improvable skill on the whole test.</w:t>
      </w:r>
    </w:p>
    <w:p>
      <w:pPr>
        <w:pStyle w:val="ListParagraph"/>
        <w:numPr>
          <w:ilvl w:val="0"/>
          <w:numId w:val="1"/>
        </w:numPr>
        <w:spacing w:after="100" w:line="290"/>
      </w:pPr>
      <w:r>
        <w:rPr>
          <w:sz w:val="21"/>
          <w:szCs w:val="21"/>
        </w:rPr>
        <w:t xml:space="preserve">Learn 15–20 new words per week using flashcards (physical or an app) — focus on words that show up frequently on official SSAT word lists.</w:t>
      </w:r>
    </w:p>
    <w:p>
      <w:pPr>
        <w:pStyle w:val="ListParagraph"/>
        <w:numPr>
          <w:ilvl w:val="0"/>
          <w:numId w:val="1"/>
        </w:numPr>
        <w:spacing w:after="100" w:line="290"/>
      </w:pPr>
      <w:r>
        <w:rPr>
          <w:sz w:val="21"/>
          <w:szCs w:val="21"/>
        </w:rPr>
        <w:t xml:space="preserve">Review basic math concepts: fractions, decimals, percentages, ratios, and basic geometry formulas.</w:t>
      </w:r>
    </w:p>
    <w:p>
      <w:pPr>
        <w:pStyle w:val="ListParagraph"/>
        <w:numPr>
          <w:ilvl w:val="0"/>
          <w:numId w:val="1"/>
        </w:numPr>
        <w:spacing w:after="100" w:line="290"/>
      </w:pPr>
      <w:r>
        <w:rPr>
          <w:sz w:val="21"/>
          <w:szCs w:val="21"/>
        </w:rPr>
        <w:t xml:space="preserve">Read for 20–30 minutes daily from varied sources (short stories, news articles, nonfiction) — this builds Reading section stamina and comprehension naturally.</w:t>
      </w:r>
    </w:p>
    <w:p>
      <w:pPr>
        <w:pStyle w:val="Heading2"/>
        <w:spacing w:after="150" w:before="300"/>
      </w:pPr>
      <w:r>
        <w:rPr>
          <w:b/>
          <w:bCs/>
          <w:color w:val="2563EB"/>
          <w:sz w:val="24"/>
          <w:szCs w:val="24"/>
        </w:rPr>
        <w:t xml:space="preserve">Weeks 3–4: Section-by-Section Skill Building</w:t>
      </w:r>
    </w:p>
    <w:p>
      <w:pPr>
        <w:pStyle w:val="ListParagraph"/>
        <w:numPr>
          <w:ilvl w:val="0"/>
          <w:numId w:val="1"/>
        </w:numPr>
        <w:spacing w:after="100" w:line="290"/>
      </w:pPr>
      <w:r>
        <w:rPr>
          <w:sz w:val="21"/>
          <w:szCs w:val="21"/>
        </w:rPr>
        <w:t xml:space="preserve">Verbal: practice synonym questions daily (aim for 15–20 questions per session); learn common Greek and Latin root words, since many unfamiliar SSAT words share roots.</w:t>
      </w:r>
    </w:p>
    <w:p>
      <w:pPr>
        <w:pStyle w:val="ListParagraph"/>
        <w:numPr>
          <w:ilvl w:val="0"/>
          <w:numId w:val="1"/>
        </w:numPr>
        <w:spacing w:after="100" w:line="290"/>
      </w:pPr>
      <w:r>
        <w:rPr>
          <w:sz w:val="21"/>
          <w:szCs w:val="21"/>
        </w:rPr>
        <w:t xml:space="preserve">Verbal: practice analogy questions — focus on identifying the relationship type (part-to-whole, cause-effect, synonym, antonym) before looking at answer choices.</w:t>
      </w:r>
    </w:p>
    <w:p>
      <w:pPr>
        <w:pStyle w:val="ListParagraph"/>
        <w:numPr>
          <w:ilvl w:val="0"/>
          <w:numId w:val="1"/>
        </w:numPr>
        <w:spacing w:after="100" w:line="290"/>
      </w:pPr>
      <w:r>
        <w:rPr>
          <w:sz w:val="21"/>
          <w:szCs w:val="21"/>
        </w:rPr>
        <w:t xml:space="preserve">Quantitative: work through one math topic per session (e.g., one day fractions, one day geometry, one day word problems) rather than mixing everything together.</w:t>
      </w:r>
    </w:p>
    <w:p>
      <w:pPr>
        <w:pStyle w:val="ListParagraph"/>
        <w:numPr>
          <w:ilvl w:val="0"/>
          <w:numId w:val="1"/>
        </w:numPr>
        <w:spacing w:after="100" w:line="290"/>
      </w:pPr>
      <w:r>
        <w:rPr>
          <w:sz w:val="21"/>
          <w:szCs w:val="21"/>
        </w:rPr>
        <w:t xml:space="preserve">Reading: practice reading a passage and summarizing its main idea in one sentence before looking at the questions — this builds the skill of reading for structure, not just detail.</w:t>
      </w:r>
    </w:p>
    <w:p>
      <w:pPr>
        <w:pStyle w:val="ListParagraph"/>
        <w:numPr>
          <w:ilvl w:val="0"/>
          <w:numId w:val="1"/>
        </w:numPr>
        <w:spacing w:after="100" w:line="290"/>
      </w:pPr>
      <w:r>
        <w:rPr>
          <w:sz w:val="21"/>
          <w:szCs w:val="21"/>
        </w:rPr>
        <w:t xml:space="preserve">Continue vocabulary flashcards — by end of week 4 you should have 60–80 words in active review.</w:t>
      </w:r>
    </w:p>
    <w:p>
      <w:pPr>
        <w:pStyle w:val="Heading2"/>
        <w:spacing w:after="150" w:before="300"/>
      </w:pPr>
      <w:r>
        <w:rPr>
          <w:b/>
          <w:bCs/>
          <w:color w:val="2563EB"/>
          <w:sz w:val="24"/>
          <w:szCs w:val="24"/>
        </w:rPr>
        <w:t xml:space="preserve">Weeks 5–6: Timed Practice by Section</w:t>
      </w:r>
    </w:p>
    <w:p>
      <w:pPr>
        <w:pStyle w:val="ListParagraph"/>
        <w:numPr>
          <w:ilvl w:val="0"/>
          <w:numId w:val="1"/>
        </w:numPr>
        <w:spacing w:after="100" w:line="290"/>
      </w:pPr>
      <w:r>
        <w:rPr>
          <w:sz w:val="21"/>
          <w:szCs w:val="21"/>
        </w:rPr>
        <w:t xml:space="preserve">Take one full timed section (just Verbal, or just Quant, or just Reading) twice per week, rotating which section.</w:t>
      </w:r>
    </w:p>
    <w:p>
      <w:pPr>
        <w:pStyle w:val="ListParagraph"/>
        <w:numPr>
          <w:ilvl w:val="0"/>
          <w:numId w:val="1"/>
        </w:numPr>
        <w:spacing w:after="100" w:line="290"/>
      </w:pPr>
      <w:r>
        <w:rPr>
          <w:sz w:val="21"/>
          <w:szCs w:val="21"/>
        </w:rPr>
        <w:t xml:space="preserve">After each timed section, review every single wrong answer and understand why the correct answer is correct — this is more valuable than doing more questions.</w:t>
      </w:r>
    </w:p>
    <w:p>
      <w:pPr>
        <w:pStyle w:val="ListParagraph"/>
        <w:numPr>
          <w:ilvl w:val="0"/>
          <w:numId w:val="1"/>
        </w:numPr>
        <w:spacing w:after="100" w:line="290"/>
      </w:pPr>
      <w:r>
        <w:rPr>
          <w:sz w:val="21"/>
          <w:szCs w:val="21"/>
        </w:rPr>
        <w:t xml:space="preserve">Keep an "error log": a running list of the type of mistake you made on each wrong question (careless error, didn't know the concept, ran out of time, misread the question). Patterns will emerge fast.</w:t>
      </w:r>
    </w:p>
    <w:p>
      <w:pPr>
        <w:pStyle w:val="ListParagraph"/>
        <w:numPr>
          <w:ilvl w:val="0"/>
          <w:numId w:val="1"/>
        </w:numPr>
        <w:spacing w:after="100" w:line="290"/>
      </w:pPr>
      <w:r>
        <w:rPr>
          <w:sz w:val="21"/>
          <w:szCs w:val="21"/>
        </w:rPr>
        <w:t xml:space="preserve">Start practicing time management specifically — know roughly how many seconds you should spend per question in each section, and practice pacing yourself against a timer.</w:t>
      </w:r>
    </w:p>
    <w:p>
      <w:pPr>
        <w:pStyle w:val="Heading2"/>
        <w:spacing w:after="150" w:before="300"/>
      </w:pPr>
      <w:r>
        <w:rPr>
          <w:b/>
          <w:bCs/>
          <w:color w:val="2563EB"/>
          <w:sz w:val="24"/>
          <w:szCs w:val="24"/>
        </w:rPr>
        <w:t xml:space="preserve">Week 7: Full-Length Practice Test</w:t>
      </w:r>
    </w:p>
    <w:p>
      <w:pPr>
        <w:pStyle w:val="ListParagraph"/>
        <w:numPr>
          <w:ilvl w:val="0"/>
          <w:numId w:val="1"/>
        </w:numPr>
        <w:spacing w:after="100" w:line="290"/>
      </w:pPr>
      <w:r>
        <w:rPr>
          <w:sz w:val="21"/>
          <w:szCs w:val="21"/>
        </w:rPr>
        <w:t xml:space="preserve">Take one complete, timed, full-length practice test under real conditions — same time of day as your actual test if possible, no phone, proper breaks only where the real test allows them.</w:t>
      </w:r>
    </w:p>
    <w:p>
      <w:pPr>
        <w:pStyle w:val="ListParagraph"/>
        <w:numPr>
          <w:ilvl w:val="0"/>
          <w:numId w:val="1"/>
        </w:numPr>
        <w:spacing w:after="100" w:line="290"/>
      </w:pPr>
      <w:r>
        <w:rPr>
          <w:sz w:val="21"/>
          <w:szCs w:val="21"/>
        </w:rPr>
        <w:t xml:space="preserve">Score it and compare against your Week 1 diagnostic to see concrete improvement.</w:t>
      </w:r>
    </w:p>
    <w:p>
      <w:pPr>
        <w:pStyle w:val="ListParagraph"/>
        <w:numPr>
          <w:ilvl w:val="0"/>
          <w:numId w:val="1"/>
        </w:numPr>
        <w:spacing w:after="100" w:line="290"/>
      </w:pPr>
      <w:r>
        <w:rPr>
          <w:sz w:val="21"/>
          <w:szCs w:val="21"/>
        </w:rPr>
        <w:t xml:space="preserve">Spend the rest of the week reviewing every wrong answer from this test in detail, and doing light, targeted practice only on your remaining weak spots.</w:t>
      </w:r>
    </w:p>
    <w:p>
      <w:pPr>
        <w:pStyle w:val="ListParagraph"/>
        <w:numPr>
          <w:ilvl w:val="0"/>
          <w:numId w:val="1"/>
        </w:numPr>
        <w:spacing w:after="100" w:line="290"/>
      </w:pPr>
      <w:r>
        <w:rPr>
          <w:sz w:val="21"/>
          <w:szCs w:val="21"/>
        </w:rPr>
        <w:t xml:space="preserve">Don't cram new content this week — focus on reinforcing what you already know and building test-day confidence.</w:t>
      </w:r>
    </w:p>
    <w:p>
      <w:pPr>
        <w:pStyle w:val="Heading2"/>
        <w:spacing w:after="150" w:before="300"/>
      </w:pPr>
      <w:r>
        <w:rPr>
          <w:b/>
          <w:bCs/>
          <w:color w:val="2563EB"/>
          <w:sz w:val="24"/>
          <w:szCs w:val="24"/>
        </w:rPr>
        <w:t xml:space="preserve">Week 8: Taper &amp; Test Readiness</w:t>
      </w:r>
    </w:p>
    <w:p>
      <w:pPr>
        <w:pStyle w:val="ListParagraph"/>
        <w:numPr>
          <w:ilvl w:val="0"/>
          <w:numId w:val="1"/>
        </w:numPr>
        <w:spacing w:after="100" w:line="290"/>
      </w:pPr>
      <w:r>
        <w:rPr>
          <w:sz w:val="21"/>
          <w:szCs w:val="21"/>
        </w:rPr>
        <w:t xml:space="preserve">Reduce study volume — light review only (vocabulary flashcards, a few practice questions per day). Cramming heavily in the final week tends to increase anxiety without meaningfully raising scores.</w:t>
      </w:r>
    </w:p>
    <w:p>
      <w:pPr>
        <w:pStyle w:val="ListParagraph"/>
        <w:numPr>
          <w:ilvl w:val="0"/>
          <w:numId w:val="1"/>
        </w:numPr>
        <w:spacing w:after="100" w:line="290"/>
      </w:pPr>
      <w:r>
        <w:rPr>
          <w:sz w:val="21"/>
          <w:szCs w:val="21"/>
        </w:rPr>
        <w:t xml:space="preserve">Confirm all test-day logistics: location or login details, what to bring (admission ticket, ID, calculator if allowed, pencils), and what time to arrive.</w:t>
      </w:r>
    </w:p>
    <w:p>
      <w:pPr>
        <w:pStyle w:val="ListParagraph"/>
        <w:numPr>
          <w:ilvl w:val="0"/>
          <w:numId w:val="1"/>
        </w:numPr>
        <w:spacing w:after="100" w:line="290"/>
      </w:pPr>
      <w:r>
        <w:rPr>
          <w:sz w:val="21"/>
          <w:szCs w:val="21"/>
        </w:rPr>
        <w:t xml:space="preserve">Get a full night's sleep for at least the two nights before the test — sleep the night before matters less than most people think; the two nights before matter more.</w:t>
      </w:r>
    </w:p>
    <w:p>
      <w:pPr>
        <w:pStyle w:val="ListParagraph"/>
        <w:numPr>
          <w:ilvl w:val="0"/>
          <w:numId w:val="1"/>
        </w:numPr>
        <w:spacing w:after="100" w:line="290"/>
      </w:pPr>
      <w:r>
        <w:rPr>
          <w:sz w:val="21"/>
          <w:szCs w:val="21"/>
        </w:rPr>
        <w:t xml:space="preserve">On test day: eat a real breakfast, arrive early, and remind yourself that this is one part of your application, not the whole thing.</w:t>
      </w:r>
    </w:p>
    <w:p>
      <w:pPr>
        <w:pStyle w:val="Heading1"/>
        <w:pBdr>
          <w:bottom w:val="single" w:color="2563EB" w:sz="6" w:space="4"/>
        </w:pBdr>
        <w:spacing w:after="200" w:before="400"/>
      </w:pPr>
      <w:r>
        <w:rPr>
          <w:rFonts w:ascii="Georgia" w:cs="Georgia" w:eastAsia="Georgia" w:hAnsi="Georgia"/>
          <w:b/>
          <w:bCs/>
          <w:color w:val="1D2939"/>
          <w:sz w:val="32"/>
          <w:szCs w:val="32"/>
        </w:rPr>
        <w:t xml:space="preserve">Weekly Time Budget (Suggested)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D2939" w:val="clear"/>
            <w:tcMar>
              <w:top w:type="dxa" w:w="100"/>
              <w:left w:type="dxa" w:w="120"/>
              <w:bottom w:type="dxa" w:w="100"/>
              <w:right w:type="dxa" w:w="120"/>
            </w:tcMar>
          </w:tcPr>
          <w:p>
            <w:r>
              <w:rPr>
                <w:b/>
                <w:bCs/>
                <w:color w:val="FFFFFF"/>
                <w:sz w:val="19"/>
                <w:szCs w:val="19"/>
              </w:rPr>
              <w:t xml:space="preserve">Activity</w:t>
            </w:r>
          </w:p>
        </w:tc>
        <w:tc>
          <w:tcPr>
            <w:tcW w:type="dxa" w:w="3000"/>
            <w:shd w:fill="1D2939" w:val="clear"/>
            <w:tcMar>
              <w:top w:type="dxa" w:w="100"/>
              <w:left w:type="dxa" w:w="120"/>
              <w:bottom w:type="dxa" w:w="100"/>
              <w:right w:type="dxa" w:w="120"/>
            </w:tcMar>
          </w:tcPr>
          <w:p>
            <w:r>
              <w:rPr>
                <w:b/>
                <w:bCs/>
                <w:color w:val="FFFFFF"/>
                <w:sz w:val="19"/>
                <w:szCs w:val="19"/>
              </w:rPr>
              <w:t xml:space="preserve">Time per week</w:t>
            </w:r>
          </w:p>
        </w:tc>
      </w:tr>
      <w:tr>
        <w:tc>
          <w:tcPr>
            <w:tcW w:type="dxa" w:w="6350"/>
            <w:shd w:fill="FFFFFF" w:val="clear"/>
            <w:tcMar>
              <w:top w:type="dxa" w:w="100"/>
              <w:left w:type="dxa" w:w="120"/>
              <w:bottom w:type="dxa" w:w="100"/>
              <w:right w:type="dxa" w:w="120"/>
            </w:tcMar>
          </w:tcPr>
          <w:p>
            <w:r>
              <w:rPr>
                <w:color w:val="1D2939"/>
                <w:sz w:val="19"/>
                <w:szCs w:val="19"/>
              </w:rPr>
              <w:t xml:space="preserve">Vocabulary building</w:t>
            </w:r>
          </w:p>
        </w:tc>
        <w:tc>
          <w:tcPr>
            <w:tcW w:type="dxa" w:w="3000"/>
            <w:shd w:fill="FFFFFF" w:val="clear"/>
            <w:tcMar>
              <w:top w:type="dxa" w:w="100"/>
              <w:left w:type="dxa" w:w="120"/>
              <w:bottom w:type="dxa" w:w="100"/>
              <w:right w:type="dxa" w:w="120"/>
            </w:tcMar>
          </w:tcPr>
          <w:p>
            <w:r>
              <w:rPr>
                <w:color w:val="1D2939"/>
                <w:sz w:val="19"/>
                <w:szCs w:val="19"/>
              </w:rPr>
              <w:t xml:space="preserve">45–60 minutes</w:t>
            </w:r>
          </w:p>
        </w:tc>
      </w:tr>
      <w:tr>
        <w:tc>
          <w:tcPr>
            <w:tcW w:type="dxa" w:w="6350"/>
            <w:shd w:fill="F2F4F7" w:val="clear"/>
            <w:tcMar>
              <w:top w:type="dxa" w:w="100"/>
              <w:left w:type="dxa" w:w="120"/>
              <w:bottom w:type="dxa" w:w="100"/>
              <w:right w:type="dxa" w:w="120"/>
            </w:tcMar>
          </w:tcPr>
          <w:p>
            <w:r>
              <w:rPr>
                <w:color w:val="1D2939"/>
                <w:sz w:val="19"/>
                <w:szCs w:val="19"/>
              </w:rPr>
              <w:t xml:space="preserve">Math concept review &amp; practice</w:t>
            </w:r>
          </w:p>
        </w:tc>
        <w:tc>
          <w:tcPr>
            <w:tcW w:type="dxa" w:w="3000"/>
            <w:shd w:fill="F2F4F7" w:val="clear"/>
            <w:tcMar>
              <w:top w:type="dxa" w:w="100"/>
              <w:left w:type="dxa" w:w="120"/>
              <w:bottom w:type="dxa" w:w="100"/>
              <w:right w:type="dxa" w:w="120"/>
            </w:tcMar>
          </w:tcPr>
          <w:p>
            <w:r>
              <w:rPr>
                <w:color w:val="1D2939"/>
                <w:sz w:val="19"/>
                <w:szCs w:val="19"/>
              </w:rPr>
              <w:t xml:space="preserve">90 minutes</w:t>
            </w:r>
          </w:p>
        </w:tc>
      </w:tr>
      <w:tr>
        <w:tc>
          <w:tcPr>
            <w:tcW w:type="dxa" w:w="6350"/>
            <w:shd w:fill="FFFFFF" w:val="clear"/>
            <w:tcMar>
              <w:top w:type="dxa" w:w="100"/>
              <w:left w:type="dxa" w:w="120"/>
              <w:bottom w:type="dxa" w:w="100"/>
              <w:right w:type="dxa" w:w="120"/>
            </w:tcMar>
          </w:tcPr>
          <w:p>
            <w:r>
              <w:rPr>
                <w:color w:val="1D2939"/>
                <w:sz w:val="19"/>
                <w:szCs w:val="19"/>
              </w:rPr>
              <w:t xml:space="preserve">Reading practice</w:t>
            </w:r>
          </w:p>
        </w:tc>
        <w:tc>
          <w:tcPr>
            <w:tcW w:type="dxa" w:w="3000"/>
            <w:shd w:fill="FFFFFF" w:val="clear"/>
            <w:tcMar>
              <w:top w:type="dxa" w:w="100"/>
              <w:left w:type="dxa" w:w="120"/>
              <w:bottom w:type="dxa" w:w="100"/>
              <w:right w:type="dxa" w:w="120"/>
            </w:tcMar>
          </w:tcPr>
          <w:p>
            <w:r>
              <w:rPr>
                <w:color w:val="1D2939"/>
                <w:sz w:val="19"/>
                <w:szCs w:val="19"/>
              </w:rPr>
              <w:t xml:space="preserve">60–90 minutes</w:t>
            </w:r>
          </w:p>
        </w:tc>
      </w:tr>
      <w:tr>
        <w:tc>
          <w:tcPr>
            <w:tcW w:type="dxa" w:w="6350"/>
            <w:shd w:fill="F2F4F7" w:val="clear"/>
            <w:tcMar>
              <w:top w:type="dxa" w:w="100"/>
              <w:left w:type="dxa" w:w="120"/>
              <w:bottom w:type="dxa" w:w="100"/>
              <w:right w:type="dxa" w:w="120"/>
            </w:tcMar>
          </w:tcPr>
          <w:p>
            <w:r>
              <w:rPr>
                <w:color w:val="1D2939"/>
                <w:sz w:val="19"/>
                <w:szCs w:val="19"/>
              </w:rPr>
              <w:t xml:space="preserve">Timed section practice (weeks 5+)</w:t>
            </w:r>
          </w:p>
        </w:tc>
        <w:tc>
          <w:tcPr>
            <w:tcW w:type="dxa" w:w="3000"/>
            <w:shd w:fill="F2F4F7" w:val="clear"/>
            <w:tcMar>
              <w:top w:type="dxa" w:w="100"/>
              <w:left w:type="dxa" w:w="120"/>
              <w:bottom w:type="dxa" w:w="100"/>
              <w:right w:type="dxa" w:w="120"/>
            </w:tcMar>
          </w:tcPr>
          <w:p>
            <w:r>
              <w:rPr>
                <w:color w:val="1D2939"/>
                <w:sz w:val="19"/>
                <w:szCs w:val="19"/>
              </w:rPr>
              <w:t xml:space="preserve">60–90 minutes</w:t>
            </w:r>
          </w:p>
        </w:tc>
      </w:tr>
      <w:tr>
        <w:tc>
          <w:tcPr>
            <w:tcW w:type="dxa" w:w="6350"/>
            <w:shd w:fill="FFFFFF" w:val="clear"/>
            <w:tcMar>
              <w:top w:type="dxa" w:w="100"/>
              <w:left w:type="dxa" w:w="120"/>
              <w:bottom w:type="dxa" w:w="100"/>
              <w:right w:type="dxa" w:w="120"/>
            </w:tcMar>
          </w:tcPr>
          <w:p>
            <w:r>
              <w:rPr>
                <w:color w:val="1D2939"/>
                <w:sz w:val="19"/>
                <w:szCs w:val="19"/>
              </w:rPr>
              <w:t xml:space="preserve">Review of mistakes</w:t>
            </w:r>
          </w:p>
        </w:tc>
        <w:tc>
          <w:tcPr>
            <w:tcW w:type="dxa" w:w="3000"/>
            <w:shd w:fill="FFFFFF" w:val="clear"/>
            <w:tcMar>
              <w:top w:type="dxa" w:w="100"/>
              <w:left w:type="dxa" w:w="120"/>
              <w:bottom w:type="dxa" w:w="100"/>
              <w:right w:type="dxa" w:w="120"/>
            </w:tcMar>
          </w:tcPr>
          <w:p>
            <w:r>
              <w:rPr>
                <w:color w:val="1D2939"/>
                <w:sz w:val="19"/>
                <w:szCs w:val="19"/>
              </w:rPr>
              <w:t xml:space="preserve">30–45 minutes</w:t>
            </w:r>
          </w:p>
        </w:tc>
      </w:tr>
    </w:tbl>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F2F4F7" w:val="clear"/>
            <w:tcMar>
              <w:top w:type="dxa" w:w="200"/>
              <w:left w:type="dxa" w:w="200"/>
              <w:bottom w:type="dxa" w:w="200"/>
              <w:right w:type="dxa" w:w="200"/>
            </w:tcMar>
          </w:tcPr>
          <w:p>
            <w:pPr>
              <w:spacing w:after="80"/>
            </w:pPr>
            <w:r>
              <w:rPr>
                <w:b/>
                <w:bCs/>
                <w:color w:val="2563EB"/>
                <w:sz w:val="20"/>
                <w:szCs w:val="20"/>
              </w:rPr>
              <w:t xml:space="preserve">Ask your mentor</w:t>
            </w:r>
          </w:p>
          <w:p>
            <w:pPr>
              <w:spacing w:line="280"/>
            </w:pPr>
            <w:r>
              <w:rPr>
                <w:color w:val="1D2939"/>
                <w:sz w:val="20"/>
                <w:szCs w:val="20"/>
              </w:rPr>
              <w:t xml:space="preserve">Every Bridge to Boarding mentor has taken a standardized test like this one recently. If a specific concept isn't clicking, or you want an accountability check-in on your study schedule, message your mentor through your dashboard.</w:t>
            </w:r>
          </w:p>
        </w:tc>
      </w:tr>
    </w:tbl>
    <w:p>
      <w:pPr>
        <w:pBdr>
          <w:top w:val="single" w:color="D0D5DD" w:sz="4" w:space="8"/>
        </w:pBdr>
        <w:spacing w:before="300"/>
      </w:pPr>
      <w:r>
        <w:rPr>
          <w:i/>
          <w:iCs/>
          <w:color w:val="667085"/>
          <w:sz w:val="17"/>
          <w:szCs w:val="17"/>
        </w:rPr>
        <w:t xml:space="preserve">This guide is an independent study resource provided free by Bridge to Boarding. It is not affiliated with, endorsed by, or sponsored by the Secondary School Admission Test Board. Official practice materials are available at ssat.org.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2026-07-12T12:14:52.953Z</dcterms:created>
  <dcterms:modified xsi:type="dcterms:W3CDTF">2026-07-12T12:14:52.954Z</dcterms:modified>
</cp:coreProperties>
</file>

<file path=docProps/custom.xml><?xml version="1.0" encoding="utf-8"?>
<Properties xmlns="http://schemas.openxmlformats.org/officeDocument/2006/custom-properties" xmlns:vt="http://schemas.openxmlformats.org/officeDocument/2006/docPropsVTypes"/>
</file>