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t xml:space="preserve">OSSA × NIST CAISI</w:t>
      </w:r>
    </w:p>
    <w:p>
      <w:pPr>
        <w:spacing w:after="200"/>
        <w:jc w:val="center"/>
      </w:pPr>
      <w:r>
        <w:t xml:space="preserve">Unified Project Submission and RFI Response</w:t>
      </w:r>
    </w:p>
    <w:p>
      <w:pPr>
        <w:spacing w:after="400"/>
        <w:jc w:val="center"/>
      </w:pPr>
      <w:r>
        <w:t xml:space="preserve">Open Standard for Software Agents (OSSA) v0.4.6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12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Submitting Organization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BlueFly.io / Open Standard for Software Agents (OSSA)</w:t>
            </w:r>
          </w:p>
        </w:tc>
      </w:tr>
      <w:tr>
        <w:tc>
          <w:tcPr>
            <w:tcW w:type="dxa" w:w="312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thomas@openstandardagents.org</w:t>
            </w:r>
          </w:p>
        </w:tc>
      </w:tr>
      <w:tr>
        <w:tc>
          <w:tcPr>
            <w:tcW w:type="dxa" w:w="312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Website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https://openstandardagents.org</w:t>
            </w:r>
          </w:p>
        </w:tc>
      </w:tr>
      <w:tr>
        <w:tc>
          <w:tcPr>
            <w:tcW w:type="dxa" w:w="312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https://gitlab.com/bluefly/openstandardagents</w:t>
            </w:r>
          </w:p>
        </w:tc>
      </w:tr>
      <w:tr>
        <w:tc>
          <w:tcPr>
            <w:tcW w:type="dxa" w:w="312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Specification Version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v0.4.6</w:t>
            </w:r>
          </w:p>
        </w:tc>
      </w:tr>
      <w:tr>
        <w:tc>
          <w:tcPr>
            <w:tcW w:type="dxa" w:w="312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License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MIT</w:t>
            </w:r>
          </w:p>
        </w:tc>
      </w:tr>
      <w:tr>
        <w:tc>
          <w:tcPr>
            <w:tcW w:type="dxa" w:w="312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Docket Number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NIST-2025-0035</w:t>
            </w:r>
          </w:p>
        </w:tc>
      </w:tr>
      <w:tr>
        <w:tc>
          <w:tcPr>
            <w:tcW w:type="dxa" w:w="312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 2026</w:t>
            </w:r>
          </w:p>
        </w:tc>
      </w:tr>
    </w:tbl>
    <w:p>
      <w:pPr>
        <w:spacing w:after="300"/>
      </w:pPr>
    </w:p>
    <w:p>
      <w:pPr>
        <w:spacing w:after="200" w:before="200"/>
      </w:pPr>
      <w:r>
        <w:t xml:space="preserve">Executive Summary</w:t>
      </w:r>
    </w:p>
    <w:p>
      <w:pPr>
        <w:spacing w:after="200"/>
        <w:jc w:val="both"/>
      </w:pPr>
      <w:r>
        <w:t xml:space="preserve">Thomas Scola submits this response in support of the CAISI initiative on behalf of the Open Standard for Software Agents (OSSA), an open-source, schema-driven specification for interoperable, secure AI agents.</w:t>
      </w:r>
    </w:p>
    <w:p>
      <w:pPr>
        <w:spacing w:after="200"/>
        <w:jc w:val="both"/>
      </w:pPr>
      <w:r>
        <w:t xml:space="preserve">Thomas is the founder of BlueFly.io and a Customer Success Architect at GitLab. He has been a core contributor to Drupal since 2003 and brings over two decades of experience in government-grade platforms, cloud-native architecture, and secure software delivery.</w:t>
      </w:r>
    </w:p>
    <w:p>
      <w:pPr>
        <w:spacing w:after="200"/>
        <w:jc w:val="both"/>
      </w:pPr>
      <w:r>
        <w:t xml:space="preserve">OSSA v0.4.6 natively combines W3C Decentralized Identifiers (DIDs), Cedar (Amazon's formally verified policy language), cryptographic manifest attestation, and machine-readable resource governance. Evidence includes: 119 agents registered across 51 projects, 8 framework adapters (LangChain, LangGraph, CrewAI, AG2, kagent, MCP, A2A, Drupal AI), JSON Schema validation, Ed25519 manifest signing, Cedar policy integration, and UADP discovery with REST (OpenAPI 3.1) and AsyncAPI 3.0.</w:t>
      </w:r>
    </w:p>
    <w:p>
      <w:pPr>
        <w:spacing w:after="200"/>
        <w:jc w:val="both"/>
      </w:pPr>
      <w:r>
        <w:t xml:space="preserve">This document addresses RFI questions 1a, 1d, 2a, 2e, 3a, 3b, 4a, 4b, and 4d.</w:t>
      </w:r>
    </w:p>
    <w:p>
      <w:pPr>
        <w:spacing w:after="300"/>
      </w:pPr>
      <w:r>
        <w:t xml:space="preserve">Scope Note: This response addresses RFI questions 1a, 1d, 2a, 2e, 3a, 3b, 4a, 4b, and 4d. Questions 1b, 1c, 2b, 2c, 2d, 3c, 4c, and 4e are outside current scope.</w:t>
      </w:r>
    </w:p>
    <w:p>
      <w:pPr>
        <w:spacing w:after="300"/>
      </w:pPr>
      <w:r>
        <w:t xml:space="preserve">Disclosure: Thomas Scola is employed by GitLab Inc. as a Customer Success Architect. This submission is made independently on behalf of BlueFly.io and OSSA. It does not represent GitLab Inc.'s positions or endorsement. OSSA is an independent, MIT-licensed open-source initiative.</w:t>
      </w:r>
    </w:p>
    <w:p>
      <w:pPr>
        <w:pageBreakBefore/>
      </w:pPr>
    </w:p>
    <w:p>
      <w:pPr>
        <w:spacing w:after="200" w:before="200"/>
      </w:pPr>
      <w:r>
        <w:t xml:space="preserve">Part I — Project Submission Statement</w:t>
      </w:r>
    </w:p>
    <w:p>
      <w:pPr>
        <w:spacing w:after="150" w:before="150"/>
      </w:pPr>
      <w:r>
        <w:t xml:space="preserve">Submitted Project Assets</w:t>
      </w:r>
    </w:p>
    <w:p>
      <w:pPr>
        <w:spacing w:after="200"/>
      </w:pPr>
      <w:r>
        <w:t xml:space="preserve">Website: https://openstandardagents.org | npm: @bluefly/openstandardagents</w:t>
      </w:r>
    </w:p>
    <w:p>
      <w:pPr>
        <w:spacing w:after="150" w:before="150"/>
      </w:pPr>
      <w:r>
        <w:t xml:space="preserve">What We Are Submitting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Machine-readable manifest model for agent definitions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CLI implementation for validation and workflows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Target export patterns for operational environments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Public documentation and versioned distribution</w:t>
      </w:r>
    </w:p>
    <w:p>
      <w:pPr>
        <w:spacing w:after="150" w:before="150"/>
      </w:pPr>
      <w:r>
        <w:t xml:space="preserve">Current Technical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34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Dimension</w:t>
            </w:r>
          </w:p>
        </w:tc>
        <w:tc>
          <w:tcPr>
            <w:tcW w:type="dxa" w:w="702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Interoperability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contract transforms across toolchains and deployment contexts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Portability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Manifest-driven definitions reduce framework lock-in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Governance Readiness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 and CLI validation create auditable controls foundation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 Adoption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npm distribution supports repeatable installation and updates</w:t>
            </w:r>
          </w:p>
        </w:tc>
      </w:tr>
    </w:tbl>
    <w:p>
      <w:pPr>
        <w:spacing w:after="150" w:before="150"/>
      </w:pPr>
      <w:r>
        <w:t xml:space="preserve">Alignment with NIST CAISI Priorities (2026)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CAISI RFI on securing AI agent systems — OSSA provides implementation inputs for threat modeling.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CAISI listening sessions on AI adoption barriers — OSSA provides ecosystem feedback.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AI Agent Standards Initiative — OSSA provides reference implementation for standards.</w:t>
      </w:r>
    </w:p>
    <w:p>
      <w:pPr>
        <w:spacing w:after="150" w:before="150"/>
      </w:pPr>
      <w:r>
        <w:t xml:space="preserve">Proposed Collaboration Scope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Agent identity and authorization metadata for manifests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Conformance test fixtures and validation outputs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Secure export mappings across runtime targets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Public feedback loops with CAISI/NCCoE activities</w:t>
      </w:r>
    </w:p>
    <w:p>
      <w:pPr>
        <w:spacing w:after="150" w:before="15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D1: OSSA-to-CAISI mapping note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D2: Draft conformance profile and validation fixtures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D3: Reference implementation updates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D4: Pilot report with findings and recommendations</w:t>
      </w:r>
    </w:p>
    <w:p>
      <w:pPr>
        <w:spacing w:after="150" w:before="150"/>
      </w:pPr>
      <w:r>
        <w:t xml:space="preserve">Near-Term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34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</w:t>
            </w:r>
          </w:p>
        </w:tc>
        <w:tc>
          <w:tcPr>
            <w:tcW w:type="dxa" w:w="702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Activity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1–2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Submission alignment and requirements mapping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3–4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Conformance and security profile drafting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5–6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Multi-target validation and refinement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7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Publication of pilot outcomes</w:t>
            </w:r>
          </w:p>
        </w:tc>
      </w:tr>
    </w:tbl>
    <w:p>
      <w:pPr>
        <w:spacing w:after="300" w:before="150"/>
      </w:pPr>
      <w:r>
        <w:t xml:space="preserve">Timeline assumes dedicated contributor availability (accelerated track). Conservative 12–16 week timeline may be appropriate for community review. Phase 0 (weeks 0–2): NIST alignment review and gap analysis before implementation.</w:t>
      </w:r>
    </w:p>
    <w:p>
      <w:pPr>
        <w:pageBreakBefore/>
      </w:pPr>
    </w:p>
    <w:p>
      <w:pPr>
        <w:spacing w:after="200" w:before="200"/>
      </w:pPr>
      <w:r>
        <w:t xml:space="preserve">Part II — RFI Question Responses (Docket NIST-2025-0035)</w:t>
      </w:r>
    </w:p>
    <w:p>
      <w:pPr>
        <w:spacing w:after="150" w:before="150"/>
      </w:pPr>
      <w:r>
        <w:t xml:space="preserve">Question 1a — Agent Identity: Persistent Global Identifier</w:t>
      </w:r>
    </w:p>
    <w:p>
      <w:pPr>
        <w:spacing w:after="200"/>
        <w:jc w:val="both"/>
      </w:pPr>
      <w:r>
        <w:t xml:space="preserve">OSSA implements mandatory Global Agent Identifier (GAID) using W3C DID syntax. GAID persists across restarts because bound to registry entry and DID document, not ephemeral runtime state. Syntax: did:ossa:&lt;uuid&gt; or did:web:&lt;host&gt;:&lt;path&gt;. Identity extension contains full W3C DID document per DID Core 1.0.</w:t>
      </w:r>
    </w:p>
    <w:p>
      <w:pPr>
        <w:pBdr>
          <w:top w:val="single" w:color="4472C4" w:sz="12" w:space="1"/>
          <w:bottom w:val="single" w:color="4472C4" w:sz="12" w:space="1"/>
          <w:left w:val="single" w:color="4472C4" w:sz="12" w:space="1"/>
          <w:right w:val="single" w:color="4472C4" w:sz="12" w:space="1"/>
        </w:pBdr>
        <w:shd w:fill="D6EAF8" w:val="clear"/>
        <w:spacing w:after="150" w:before="150"/>
        <w:ind w:left="360" w:right="360"/>
        <w:jc w:val="both"/>
      </w:pPr>
      <w:r>
        <w:t xml:space="preserve">Recommendation to NIST: NIST should mandate federal AI agents have persistent, globally resolvable identifiers (GAID) with resolution via W3C DID Core.</w:t>
      </w:r>
    </w:p>
    <w:p>
      <w:pPr>
        <w:spacing w:after="150" w:before="150"/>
      </w:pPr>
      <w:r>
        <w:t xml:space="preserve">Question 1d — Revocation and Identity Lifecycle</w:t>
      </w:r>
    </w:p>
    <w:p>
      <w:pPr>
        <w:spacing w:after="200"/>
        <w:jc w:val="both"/>
      </w:pPr>
      <w:r>
        <w:t xml:space="preserve">OSSA supports immediate revocation via: (1) Registry-level revocation (PUT /registry/revoke/{agentId}); (2) Event-driven notification (UADP uadp.agents.revoked AsyncAPI 3.0); (3) DID document signal; (4) Auditability with timestamp and revokedBy DID.</w:t>
      </w:r>
    </w:p>
    <w:p>
      <w:pPr>
        <w:pBdr>
          <w:top w:val="single" w:color="4472C4" w:sz="12" w:space="1"/>
          <w:bottom w:val="single" w:color="4472C4" w:sz="12" w:space="1"/>
          <w:left w:val="single" w:color="4472C4" w:sz="12" w:space="1"/>
          <w:right w:val="single" w:color="4472C4" w:sz="12" w:space="1"/>
        </w:pBdr>
        <w:shd w:fill="D6EAF8" w:val="clear"/>
        <w:spacing w:after="150" w:before="150"/>
        <w:ind w:left="360" w:right="360"/>
        <w:jc w:val="both"/>
      </w:pPr>
      <w:r>
        <w:t xml:space="preserve">Recommendation to NIST: NIST should require revocation endpoints conforming to W3C DID Core CredentialRegistry conventions and mandate real-time propagation.</w:t>
      </w:r>
    </w:p>
    <w:p>
      <w:pPr>
        <w:pageBreakBefore/>
      </w:pPr>
    </w:p>
    <w:p>
      <w:pPr>
        <w:spacing w:after="150" w:before="150"/>
      </w:pPr>
      <w:r>
        <w:t xml:space="preserve">Question 2a — Authorization Model and Pre-Authorization</w:t>
      </w:r>
    </w:p>
    <w:p>
      <w:pPr>
        <w:spacing w:after="200"/>
        <w:jc w:val="both"/>
      </w:pPr>
      <w:r>
        <w:t xml:space="preserve">OSSA uses Cedar (formally verified policy language) for pre-authorization. Every tool invocation evaluated before execution. Principal hierarchy: Human user → Orchestrator Agent → Worker Agents → tool calls. Tier taxonomy (see Exhibit C) maps to Cedar policies. Delegation: Agent A issues signed credential to Agent B; Cedar checks both policies and scope.</w:t>
      </w:r>
    </w:p>
    <w:p>
      <w:pPr>
        <w:pBdr>
          <w:top w:val="single" w:color="4472C4" w:sz="12" w:space="1"/>
          <w:bottom w:val="single" w:color="4472C4" w:sz="12" w:space="1"/>
          <w:left w:val="single" w:color="4472C4" w:sz="12" w:space="1"/>
          <w:right w:val="single" w:color="4472C4" w:sz="12" w:space="1"/>
        </w:pBdr>
        <w:shd w:fill="D6EAF8" w:val="clear"/>
        <w:spacing w:after="150" w:before="150"/>
        <w:ind w:left="360" w:right="360"/>
        <w:jc w:val="both"/>
      </w:pPr>
      <w:r>
        <w:t xml:space="preserve">Recommendation to NIST: NIST should adopt formally verified policy language (e.g., Cedar) for high-assurance authorization and require pre-authorization before tool execution.</w:t>
      </w:r>
    </w:p>
    <w:p>
      <w:pPr>
        <w:spacing w:after="100" w:before="100"/>
      </w:pPr>
      <w:r>
        <w:t xml:space="preserve">Delegation Model Specifics (FIX 4):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Credential format: W3C Verifiable Credentials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Scope encoding: Cedar policy attributes with explicit capability bounds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Depth limits: Configurable delegation chain depth with default maximum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Revocation: UADP uadp.agents.revoked event propagation; registry excludes revoked agents by default; optional short TTL on discovery cache</w:t>
      </w:r>
    </w:p>
    <w:p>
      <w:pPr>
        <w:spacing w:after="150" w:before="150"/>
      </w:pPr>
      <w:r>
        <w:t xml:space="preserve">Question 2e — Interoperability of Authorization Across Systems</w:t>
      </w:r>
    </w:p>
    <w:p>
      <w:pPr>
        <w:spacing w:after="200"/>
        <w:jc w:val="both"/>
      </w:pPr>
      <w:r>
        <w:t xml:space="preserve">OSSA enables interoperability via: (1) Machine-readable tiers and capabilities in manifest for local mapping; (2) DID as cross-system principal used in registry, policies, and delegation; (3) A2A extension defining agent-to-agent envelope with sender DID and optional delegation credential.</w:t>
      </w:r>
    </w:p>
    <w:p>
      <w:pPr>
        <w:pBdr>
          <w:top w:val="single" w:color="4472C4" w:sz="12" w:space="1"/>
          <w:bottom w:val="single" w:color="4472C4" w:sz="12" w:space="1"/>
          <w:left w:val="single" w:color="4472C4" w:sz="12" w:space="1"/>
          <w:right w:val="single" w:color="4472C4" w:sz="12" w:space="1"/>
        </w:pBdr>
        <w:shd w:fill="D6EAF8" w:val="clear"/>
        <w:spacing w:after="150" w:before="150"/>
        <w:ind w:left="360" w:right="360"/>
        <w:jc w:val="both"/>
      </w:pPr>
      <w:r>
        <w:t xml:space="preserve">Recommendation to NIST: NIST should standardize minimal agent credential format (e.g., W3C VC profile) carrying GAID, scope, and expiry for cross-organizational interoperability.</w:t>
      </w:r>
    </w:p>
    <w:p>
      <w:pPr>
        <w:pageBreakBefore/>
      </w:pPr>
    </w:p>
    <w:p>
      <w:pPr>
        <w:spacing w:after="150" w:before="150"/>
      </w:pPr>
      <w:r>
        <w:t xml:space="preserve">Question 3a — Tool Disclosure and Attestation</w:t>
      </w:r>
    </w:p>
    <w:p>
      <w:pPr>
        <w:spacing w:after="200"/>
        <w:jc w:val="both"/>
      </w:pPr>
      <w:r>
        <w:t xml:space="preserve">OSSA requires declarative tool disclosure in manifest. Every tool listed with name, description, input/output schema, rate limits, required capability. MCP (Model Context Protocol) exposes tools; registry-backed and validated against OpenAPI specs. Manifest signed (UADP x-signature); verified-signature tier accepts only signed agents.</w:t>
      </w:r>
    </w:p>
    <w:p>
      <w:pPr>
        <w:pBdr>
          <w:top w:val="single" w:color="4472C4" w:sz="12" w:space="1"/>
          <w:bottom w:val="single" w:color="4472C4" w:sz="12" w:space="1"/>
          <w:left w:val="single" w:color="4472C4" w:sz="12" w:space="1"/>
          <w:right w:val="single" w:color="4472C4" w:sz="12" w:space="1"/>
        </w:pBdr>
        <w:shd w:fill="D6EAF8" w:val="clear"/>
        <w:spacing w:after="150" w:before="150"/>
        <w:ind w:left="360" w:right="360"/>
        <w:jc w:val="both"/>
      </w:pPr>
      <w:r>
        <w:t xml:space="preserve">Recommendation to NIST: NIST should require all agent tools declared in machine-readable manifest before deployment and require authentication (mTLS) for tool endpoints in federal contexts.</w:t>
      </w:r>
    </w:p>
    <w:p>
      <w:pPr>
        <w:spacing w:after="150" w:before="150"/>
      </w:pPr>
      <w:r>
        <w:t xml:space="preserve">Question 3b — Tool Security and Rate Limiting</w:t>
      </w:r>
    </w:p>
    <w:p>
      <w:pPr>
        <w:spacing w:after="200"/>
        <w:jc w:val="both"/>
      </w:pPr>
      <w:r>
        <w:t xml:space="preserve">OSSA addresses tool security via: (1) Pre-authorization (Cedar gates every call); (2) Rate limits in manifest enforced by platform (not advisory); (3) Input schema validation (JSON Schema) enabling gateway rejection of invalid input.</w:t>
      </w:r>
    </w:p>
    <w:p>
      <w:pPr>
        <w:pBdr>
          <w:top w:val="single" w:color="4472C4" w:sz="12" w:space="1"/>
          <w:bottom w:val="single" w:color="4472C4" w:sz="12" w:space="1"/>
          <w:left w:val="single" w:color="4472C4" w:sz="12" w:space="1"/>
          <w:right w:val="single" w:color="4472C4" w:sz="12" w:space="1"/>
        </w:pBdr>
        <w:shd w:fill="D6EAF8" w:val="clear"/>
        <w:spacing w:after="150" w:before="150"/>
        <w:ind w:left="360" w:right="360"/>
        <w:jc w:val="both"/>
      </w:pPr>
      <w:r>
        <w:t xml:space="preserve">Recommendation to NIST: NIST should define rate-limit enforcement as requirement (not optional) and require mutual TLS for tool-calling protocols in federal deployments.</w:t>
      </w:r>
    </w:p>
    <w:p>
      <w:pPr>
        <w:pageBreakBefore/>
      </w:pPr>
    </w:p>
    <w:p>
      <w:pPr>
        <w:spacing w:after="150" w:before="150"/>
      </w:pPr>
      <w:r>
        <w:t xml:space="preserve">Question 4a — Resource and Token Governance</w:t>
      </w:r>
    </w:p>
    <w:p>
      <w:pPr>
        <w:spacing w:after="200"/>
        <w:jc w:val="both"/>
      </w:pPr>
      <w:r>
        <w:t xml:space="preserve">OSSA token-efficiency extension enforces budgets: max_tokens_per_call, max_calls_per_session, max_total_session_tokens. Optional techniques declared. Every invocation logged with agent_gaid, principal_did, token_count for attribution.</w:t>
      </w:r>
    </w:p>
    <w:p>
      <w:pPr>
        <w:pBdr>
          <w:top w:val="single" w:color="4472C4" w:sz="12" w:space="1"/>
          <w:bottom w:val="single" w:color="4472C4" w:sz="12" w:space="1"/>
          <w:left w:val="single" w:color="4472C4" w:sz="12" w:space="1"/>
          <w:right w:val="single" w:color="4472C4" w:sz="12" w:space="1"/>
        </w:pBdr>
        <w:shd w:fill="D6EAF8" w:val="clear"/>
        <w:spacing w:after="150" w:before="150"/>
        <w:ind w:left="360" w:right="360"/>
        <w:jc w:val="both"/>
      </w:pPr>
      <w:r>
        <w:t xml:space="preserve">Recommendation to NIST: NIST should mandate resource budgets in agent specifications for federal deployments and require invocation attribution to principal for audit.</w:t>
      </w:r>
    </w:p>
    <w:p>
      <w:pPr>
        <w:spacing w:after="100" w:before="100"/>
      </w:pPr>
      <w:r>
        <w:t xml:space="preserve">Token Efficiency Enforcement (FIX 7):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Hard budget caps: max_tokens_per_call, max_calls_per_session, max_total_session_tokens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13 optimization techniques: circuit_breaker, checkpoint_retry, cascade_composition, and others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Enforcement: When budget exceeded, agent runtime MUST reject further tool calls and log violation with principal attribution</w:t>
      </w:r>
    </w:p>
    <w:p>
      <w:pPr>
        <w:spacing w:after="150" w:before="150"/>
      </w:pPr>
      <w:r>
        <w:t xml:space="preserve">Question 4b — Observability and Audit</w:t>
      </w:r>
    </w:p>
    <w:p>
      <w:pPr>
        <w:spacing w:after="200"/>
        <w:jc w:val="both"/>
      </w:pPr>
      <w:r>
        <w:t xml:space="preserve">OSSA implementations produce structured audit logs per invocation: timestamp, agent_gaid, principal_did, cedar_decision, token_count, exit_status. Full traceability: user principal → agent chain → tool call. Dragonfly publishes to TimescaleDB; AgentDash provides visibility; sub-minute MTTD for regression failures.</w:t>
      </w:r>
    </w:p>
    <w:p>
      <w:pPr>
        <w:pBdr>
          <w:top w:val="single" w:color="4472C4" w:sz="12" w:space="1"/>
          <w:bottom w:val="single" w:color="4472C4" w:sz="12" w:space="1"/>
          <w:left w:val="single" w:color="4472C4" w:sz="12" w:space="1"/>
          <w:right w:val="single" w:color="4472C4" w:sz="12" w:space="1"/>
        </w:pBdr>
        <w:shd w:fill="D6EAF8" w:val="clear"/>
        <w:spacing w:after="150" w:before="150"/>
        <w:ind w:left="360" w:right="360"/>
        <w:jc w:val="both"/>
      </w:pPr>
      <w:r>
        <w:t xml:space="preserve">Recommendation to NIST: NIST should require structured audit logs for all agent tool invocations in federal deployments, including policy decision, with full execution traceability.</w:t>
      </w:r>
    </w:p>
    <w:p>
      <w:pPr>
        <w:pageBreakBefore/>
      </w:pPr>
    </w:p>
    <w:p>
      <w:pPr>
        <w:spacing w:after="150" w:before="150"/>
      </w:pPr>
      <w:r>
        <w:t xml:space="preserve">Question 4d — Threat Mitigation and Security Controls</w:t>
      </w:r>
    </w:p>
    <w:p>
      <w:pPr>
        <w:spacing w:after="150"/>
        <w:jc w:val="both"/>
      </w:pPr>
      <w:r>
        <w:t xml:space="preserve">Threat matrix mapping to OSSA controls and NIST SP 800-53 Rev. 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6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Threat</w:t>
            </w:r>
          </w:p>
        </w:tc>
        <w:tc>
          <w:tcPr>
            <w:tcW w:type="dxa" w:w="234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OSSA Control</w:t>
            </w:r>
          </w:p>
        </w:tc>
        <w:tc>
          <w:tcPr>
            <w:tcW w:type="dxa" w:w="546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NIST 800-53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Identity spoofing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GAID + DID + x-signature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Privilege escalation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Cedar + tier/capability bounds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Unbounded resource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token-efficiency budgets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 abuse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Declarative + pre-auth + mTLS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AC/SC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Revocation lag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UADP events + registry filtering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IA/AU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evasion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 logs + principal attribution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</w:t>
            </w:r>
          </w:p>
        </w:tc>
      </w:tr>
    </w:tbl>
    <w:p>
      <w:pPr>
        <w:spacing w:after="150"/>
      </w:pPr>
    </w:p>
    <w:p>
      <w:pPr>
        <w:pBdr>
          <w:top w:val="single" w:color="4472C4" w:sz="12" w:space="1"/>
          <w:bottom w:val="single" w:color="4472C4" w:sz="12" w:space="1"/>
          <w:left w:val="single" w:color="4472C4" w:sz="12" w:space="1"/>
          <w:right w:val="single" w:color="4472C4" w:sz="12" w:space="1"/>
        </w:pBdr>
        <w:shd w:fill="D6EAF8" w:val="clear"/>
        <w:spacing w:after="150" w:before="150"/>
        <w:ind w:left="360" w:right="360"/>
        <w:jc w:val="both"/>
      </w:pPr>
      <w:r>
        <w:t xml:space="preserve">Recommendation to NIST: NIST should align federal agent security requirements with threat model covering identity, authorization, resource governance, and revocation.</w:t>
      </w:r>
    </w:p>
    <w:p>
      <w:pPr>
        <w:pageBreakBefore/>
      </w:pPr>
    </w:p>
    <w:p>
      <w:pPr>
        <w:spacing w:after="200" w:before="200"/>
      </w:pPr>
      <w:r>
        <w:t xml:space="preserve">Part III — Additional Technical Context</w:t>
      </w:r>
    </w:p>
    <w:p>
      <w:pPr>
        <w:spacing w:after="150" w:before="150"/>
      </w:pPr>
      <w:r>
        <w:t xml:space="preserve">Framework Interoperability</w:t>
      </w:r>
    </w:p>
    <w:p>
      <w:pPr>
        <w:spacing w:after="300"/>
        <w:jc w:val="both"/>
      </w:pPr>
      <w:r>
        <w:t xml:space="preserve">OSSA has adapters for LangChain, LangGraph, CrewAI, AG2, kagent, MCP, A2A, Drupal AI. Common identity layer (GAIDs/DIDs) enables resolution across platforms.</w:t>
      </w:r>
    </w:p>
    <w:p>
      <w:pPr>
        <w:spacing w:after="150" w:before="150"/>
      </w:pPr>
      <w:r>
        <w:t xml:space="preserve">Alignment with NIST AI RMF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34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Function</w:t>
            </w:r>
          </w:p>
        </w:tc>
        <w:tc>
          <w:tcPr>
            <w:tcW w:type="dxa" w:w="234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</w:t>
            </w:r>
          </w:p>
        </w:tc>
        <w:tc>
          <w:tcPr>
            <w:tcW w:type="dxa" w:w="468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GOVERN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Cedar policies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Policy-as-code authorization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Registry/discovery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catalog, UADP, evaluation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MEASURE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token-efficiency, Dragonfly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Budgets, telemetry, observability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Fleet Manager, AgentDash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Lifecycle, dashboard, revocation</w:t>
            </w:r>
          </w:p>
        </w:tc>
      </w:tr>
    </w:tbl>
    <w:p>
      <w:pPr>
        <w:spacing w:after="300"/>
      </w:pPr>
    </w:p>
    <w:p>
      <w:pPr>
        <w:spacing w:after="150" w:before="150"/>
      </w:pPr>
      <w:r>
        <w:t xml:space="preserve">Standards Foundation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Identity: W3C DID Core 1.0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Authorization: Cedar policy language (formally verified)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APIs: OpenAPI 3.1 (UADP REST), AsyncAPI 3.0 (events)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Controls: NIST SP 800-53 Rev. 5 families AC, AU, SC, IA-5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Tools: Model Context Protocol (MCP); signed manifests (x-signature)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Credentials: W3C Verifiable Credentials</w:t>
      </w:r>
    </w:p>
    <w:p>
      <w:pPr>
        <w:spacing w:after="100" w:before="100"/>
      </w:pPr>
      <w:r>
        <w:t xml:space="preserve">OSCAL Machine-Readable Control Mappings (FIX 5):</w:t>
      </w:r>
    </w:p>
    <w:p>
      <w:pPr>
        <w:spacing w:after="300"/>
      </w:pPr>
      <w:r>
        <w:t xml:space="preserve">OSCAL machine-readable control mappings are planned for future release. Current NIST SP 800-53 Rev. 5 mappings in this document are human-authored and not yet encoded in OSCAL format.</w:t>
      </w:r>
    </w:p>
    <w:p>
      <w:pPr>
        <w:spacing w:after="150" w:before="150"/>
      </w:pPr>
      <w:r>
        <w:t xml:space="preserve">Open Source Availability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Specification: https://openstandardagents.org/spec/v0.4.6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Schema: openstandardagents repository (JSON Schema, MIT)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npm Package: @bluefly/openstandardagents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Drupal Integration: drupal/ai_agents_ossa</w:t>
      </w:r>
    </w:p>
    <w:p>
      <w:pPr>
        <w:spacing w:after="300" w:before="150"/>
        <w:jc w:val="both"/>
      </w:pPr>
      <w:r>
        <w:t xml:space="preserve">We invite NIST to review OSSA v0.4.6 as reference implementation and welcome collaboration in ITL AI Agent Standards Initiative.</w:t>
      </w:r>
    </w:p>
    <w:p>
      <w:pPr>
        <w:pageBreakBefore/>
      </w:pPr>
    </w:p>
    <w:p>
      <w:pPr>
        <w:spacing w:after="200" w:before="200"/>
      </w:pPr>
      <w:r>
        <w:t xml:space="preserve">Exhibits</w:t>
      </w:r>
    </w:p>
    <w:p>
      <w:pPr>
        <w:spacing w:after="150" w:before="150"/>
      </w:pPr>
      <w:r>
        <w:t xml:space="preserve">Exhibit A — OSSA Schema Excerpt</w:t>
      </w:r>
    </w:p>
    <w:p>
      <w:pPr>
        <w:spacing w:after="300"/>
        <w:jc w:val="both"/>
      </w:pPr>
      <w:r>
        <w:t xml:space="preserve">OSSA v0.4.6 defines three core schemas: (1) Agent Card (core contract for discovery, identity, security), (2) Identity Extension (W3C DID for GAID resolution), (3) Token Efficiency Extension (resource budgets and 13 optimization techniques including circuit_breaker, checkpoint_retry, cascade_composition, dynamic_budgets, knowledge_graph_refs, template_compression, semantic_compression, observation_masking, lazy_loading, hierarchical_context, intelligent_routing, prefiltering, manifest_fingerprint).</w:t>
      </w:r>
    </w:p>
    <w:p>
      <w:pPr>
        <w:pageBreakBefore/>
      </w:pPr>
    </w:p>
    <w:p>
      <w:pPr>
        <w:spacing w:after="150" w:before="150"/>
      </w:pPr>
      <w:r>
        <w:t xml:space="preserve">Exhibit B — UADP Protocol and CAISI Alignment</w:t>
      </w:r>
    </w:p>
    <w:p>
      <w:pPr>
        <w:spacing w:after="300"/>
        <w:jc w:val="both"/>
      </w:pPr>
      <w:r>
        <w:t xml:space="preserve">UADP Endpoints: REST GET /.well-known/agent-card.json (identity, capabilities); GET /registry (discovery); PUT /registry/revoke/{agentId} (revocation); AsyncAPI uadp.agents.registered (new agent events); AsyncAPI uadp.agents.revoked (revocation propagation). Transport: HTTPS TLS 1.2+ with optional mTLS; WebSocket/TLS with optional OAuth. CAISI Alignment: Identity (GAID/DID in registry), Authorization (Cedar + DIDs), Tools (declarative manifest), Token Efficiency (budgets + attribution), Observability (events + telemetry), Interoperability (REST + AsyncAPI + A2A).</w:t>
      </w:r>
    </w:p>
    <w:p>
      <w:pPr>
        <w:pageBreakBefore/>
      </w:pPr>
    </w:p>
    <w:p>
      <w:pPr>
        <w:spacing w:after="150" w:before="150"/>
      </w:pPr>
      <w:r>
        <w:t xml:space="preserve">Exhibit C — OSSA / UADP Trust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6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</w:t>
            </w:r>
          </w:p>
        </w:tc>
        <w:tc>
          <w:tcPr>
            <w:tcW w:type="dxa" w:w="156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351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2730"/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Verification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official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Official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Curated by platform owner</w:t>
            </w:r>
          </w:p>
        </w:tc>
        <w:tc>
          <w:tcPr>
            <w:tcW w:type="dxa" w:w="27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Registry flag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verified-signature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Verified Sig.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Manifest signed and verified</w:t>
            </w:r>
          </w:p>
        </w:tc>
        <w:tc>
          <w:tcPr>
            <w:tcW w:type="dxa" w:w="27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x-signature; DID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signed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Signed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 signature, key not trusted</w:t>
            </w:r>
          </w:p>
        </w:tc>
        <w:tc>
          <w:tcPr>
            <w:tcW w:type="dxa" w:w="27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Signature valid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Listed, no signature required</w:t>
            </w:r>
          </w:p>
        </w:tc>
        <w:tc>
          <w:tcPr>
            <w:tcW w:type="dxa" w:w="27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Discovery only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experimental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Experimental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for production</w:t>
            </w:r>
          </w:p>
        </w:tc>
        <w:tc>
          <w:tcPr>
            <w:tcW w:type="dxa" w:w="27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 only</w:t>
            </w:r>
          </w:p>
        </w:tc>
      </w:tr>
    </w:tbl>
    <w:p>
      <w:pPr>
        <w:spacing w:after="300" w:before="150"/>
        <w:jc w:val="both"/>
      </w:pPr>
      <w:r>
        <w:t xml:space="preserve">Cedar Authorization: principal.tier in policies restricts actions; agent card trust_tier restricts tool access; delegation tier checks prevent elevated actions. Federal Mapping: official → High assurance; verified-signature → Medium-High; signed → Medium; community → Low; experimental → Not for production.</w:t>
      </w:r>
    </w:p>
    <w:p>
      <w:pPr>
        <w:pageBreakBefore/>
      </w:pPr>
    </w:p>
    <w:p>
      <w:pPr>
        <w:spacing w:after="150" w:before="150"/>
      </w:pPr>
      <w:r>
        <w:t xml:space="preserve">Exhibit D — Threat Matrix and NIST 800-53 Mapping</w:t>
      </w:r>
    </w:p>
    <w:p>
      <w:pPr>
        <w:spacing w:after="300"/>
        <w:jc w:val="both"/>
      </w:pPr>
      <w:r>
        <w:t xml:space="preserve">Control Framework: Identity (DID resolution, GAID in logs, signed manifest), Authorization (Cedar pre-auth, tier/capability, delegation scope), Resource (hard budgets, rate limits, attribution), Revocation (registry endpoint, event propagation, cache TTL), Audit (structured logs, full traceability, principal attribution).</w:t>
      </w:r>
    </w:p>
    <w:p>
      <w:pPr>
        <w:pageBreakBefore/>
      </w:pPr>
    </w:p>
    <w:p>
      <w:pPr>
        <w:spacing w:after="200" w:before="200"/>
      </w:pPr>
      <w:r>
        <w:t xml:space="preserve">References</w:t>
      </w:r>
    </w:p>
    <w:p>
      <w:pPr>
        <w:spacing w:after="150"/>
        <w:jc w:val="both"/>
      </w:pPr>
      <w:r>
        <w:t xml:space="preserve">[1] OSSA Project Site: https://openstandardagents.org/</w:t>
      </w:r>
    </w:p>
    <w:p>
      <w:pPr>
        <w:spacing w:after="150"/>
        <w:jc w:val="both"/>
      </w:pPr>
      <w:r>
        <w:t xml:space="preserve">[2] OSSA npm Package: https://www.npmjs.com/package/@bluefly/openstandardagents</w:t>
      </w:r>
    </w:p>
    <w:p>
      <w:pPr>
        <w:spacing w:after="150"/>
        <w:jc w:val="both"/>
      </w:pPr>
      <w:r>
        <w:t xml:space="preserve">[3] CAISI RFI: https://www.nist.gov/news-events/news/2026/01/caisi-issues-request-information-about-securing-ai-agent-systems</w:t>
      </w:r>
    </w:p>
    <w:p>
      <w:pPr>
        <w:spacing w:after="150"/>
        <w:jc w:val="both"/>
      </w:pPr>
      <w:r>
        <w:t xml:space="preserve">[4] CAISI Listening Sessions: https://www.nist.gov/news-events/news/2026/02/caisi-host-listening-sessions-barriers-ai-adoption</w:t>
      </w:r>
    </w:p>
    <w:p>
      <w:pPr>
        <w:spacing w:after="150"/>
        <w:jc w:val="both"/>
      </w:pPr>
      <w:r>
        <w:t xml:space="preserve">[5] CAISI Overview: https://www.nist.gov/caisi</w:t>
      </w:r>
    </w:p>
    <w:p>
      <w:pPr>
        <w:spacing w:after="150"/>
        <w:jc w:val="both"/>
      </w:pPr>
      <w:r>
        <w:t xml:space="preserve">[6] AI Agent Standards Initiative: https://www.nist.gov/caisi/ai-agent-standards-initiative</w:t>
      </w:r>
    </w:p>
    <w:p>
      <w:pPr>
        <w:spacing w:after="150"/>
        <w:jc w:val="both"/>
      </w:pPr>
      <w:r>
        <w:t xml:space="preserve">[7] NIST AI RMF 1.0: https://www.nist.gov/itl/ai-risk-management-framework</w:t>
      </w:r>
    </w:p>
    <w:p>
      <w:pPr>
        <w:spacing w:after="150"/>
        <w:jc w:val="both"/>
      </w:pPr>
      <w:r>
        <w:t xml:space="preserve">[8] W3C DID Core 1.0: https://www.w3.org/TR/did-core/</w:t>
      </w:r>
    </w:p>
    <w:p>
      <w:pPr>
        <w:spacing w:after="150"/>
        <w:jc w:val="both"/>
      </w:pPr>
      <w:r>
        <w:t xml:space="preserve">[9] Cedar Policy Language: https://www.cedarpolicy.com/</w:t>
      </w:r>
    </w:p>
    <w:p>
      <w:pPr>
        <w:spacing w:after="150"/>
        <w:jc w:val="both"/>
      </w:pPr>
      <w:r>
        <w:t xml:space="preserve">[10] W3C Verifiable Credentials: https://www.w3.org/TR/vc-data-model/</w:t>
      </w:r>
    </w:p>
    <w:p>
      <w:pPr>
        <w:spacing w:after="150"/>
        <w:jc w:val="both"/>
      </w:pPr>
      <w:r>
        <w:t xml:space="preserve">[11] OSCAL: https://pages.nist.gov/OSCAL/</w:t>
      </w:r>
    </w:p>
    <w:p>
      <w:pPr>
        <w:spacing w:after="150"/>
        <w:jc w:val="both"/>
      </w:pPr>
      <w:r>
        <w:t xml:space="preserve">[12] NIST SP 800-53 Rev. 5: https://csrc.nist.gov/publications/detail/sp/800-53/rev-5/final</w:t>
      </w:r>
    </w:p>
    <w:p>
      <w:pPr>
        <w:spacing w:after="100" w:before="400"/>
        <w:jc w:val="center"/>
      </w:pPr>
      <w:r>
        <w:t xml:space="preserve">Submitted by Thomas Scola, Founder — BlueFly.io | Customer Success Architect — GitLab</w:t>
      </w:r>
    </w:p>
    <w:p>
      <w:pPr>
        <w:spacing w:after="300"/>
        <w:jc w:val="center"/>
      </w:pPr>
      <w:r>
        <w:t xml:space="preserve">Contact: thomas@openstandardagents.org | https://openstandardagents.org | https://bluefly.io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2026-03-05T17:02:05.196Z</dcterms:created>
  <dcterms:modified xsi:type="dcterms:W3CDTF">2026-03-05T17:02:05.196Z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